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03802-6k_bitfarms.htm"/>
      <w:bookmarkStart w:id="1" w:name="ksea02038026k_bitfarms"/>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979" w:right="97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979" w:right="97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979" w:right="97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979" w:right="978"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979" w:right="978" w:hanging="0"/>
        <w:jc w:val="center"/>
        <w:rPr>
          <w:caps w:val="false"/>
          <w:smallCaps w:val="false"/>
        </w:rPr>
      </w:pPr>
      <w:r>
        <w:rPr>
          <w:caps w:val="false"/>
          <w:smallCaps w:val="false"/>
        </w:rPr>
        <w:t> </w:t>
      </w:r>
    </w:p>
    <w:p>
      <w:pPr>
        <w:pStyle w:val="TextBody"/>
        <w:bidi w:val="0"/>
        <w:ind w:left="979" w:right="978" w:hanging="0"/>
        <w:jc w:val="left"/>
        <w:rPr>
          <w:bdr w:val="single" w:sz="12" w:space="1" w:color="000000"/>
        </w:rPr>
      </w:pPr>
      <w:r>
        <w:rPr>
          <w:bdr w:val="single" w:sz="12" w:space="1" w:color="000000"/>
        </w:rPr>
        <w:t> </w:t>
      </w:r>
    </w:p>
    <w:p>
      <w:pPr>
        <w:pStyle w:val="TextBody"/>
        <w:bidi w:val="0"/>
        <w:spacing w:before="0" w:after="0"/>
        <w:ind w:left="979" w:right="978" w:hanging="0"/>
        <w:jc w:val="center"/>
        <w:rPr>
          <w:caps w:val="false"/>
          <w:smallCaps w:val="false"/>
        </w:rPr>
      </w:pPr>
      <w:r>
        <w:rPr>
          <w:caps w:val="false"/>
          <w:smallCaps w:val="false"/>
        </w:rPr>
        <w:t> </w:t>
      </w:r>
    </w:p>
    <w:p>
      <w:pPr>
        <w:pStyle w:val="TextBody"/>
        <w:bidi w:val="0"/>
        <w:spacing w:before="0" w:after="0"/>
        <w:ind w:left="2907" w:right="290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w:t>
        <w:b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979" w:right="97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April 2024</w:t>
      </w:r>
    </w:p>
    <w:p>
      <w:pPr>
        <w:pStyle w:val="TextBody"/>
        <w:bidi w:val="0"/>
        <w:spacing w:before="0" w:after="0"/>
        <w:ind w:left="979" w:right="979"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979" w:right="97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001-40370</w:t>
      </w:r>
    </w:p>
    <w:p>
      <w:pPr>
        <w:pStyle w:val="TextBody"/>
        <w:bidi w:val="0"/>
        <w:spacing w:before="0" w:after="0"/>
        <w:ind w:left="979" w:right="977" w:hanging="0"/>
        <w:jc w:val="center"/>
        <w:rPr>
          <w:caps w:val="false"/>
          <w:smallCaps w:val="false"/>
        </w:rPr>
      </w:pPr>
      <w:r>
        <w:rPr>
          <w:caps w:val="false"/>
          <w:smallCaps w:val="false"/>
        </w:rPr>
        <w:t> </w:t>
      </w:r>
    </w:p>
    <w:p>
      <w:pPr>
        <w:pStyle w:val="TextBody"/>
        <w:bidi w:val="0"/>
        <w:ind w:left="979" w:right="977" w:hanging="0"/>
        <w:jc w:val="left"/>
        <w:rPr>
          <w:bdr w:val="single" w:sz="12" w:space="1" w:color="000000"/>
        </w:rPr>
      </w:pPr>
      <w:r>
        <w:rPr>
          <w:bdr w:val="single" w:sz="12" w:space="1" w:color="000000"/>
        </w:rPr>
        <w:t> </w:t>
      </w:r>
    </w:p>
    <w:p>
      <w:pPr>
        <w:pStyle w:val="TextBody"/>
        <w:bidi w:val="0"/>
        <w:spacing w:before="0" w:after="0"/>
        <w:ind w:left="979" w:right="977" w:hanging="0"/>
        <w:jc w:val="center"/>
        <w:rPr>
          <w:caps w:val="false"/>
          <w:smallCaps w:val="false"/>
        </w:rPr>
      </w:pPr>
      <w:r>
        <w:rPr>
          <w:caps w:val="false"/>
          <w:smallCaps w:val="false"/>
        </w:rPr>
        <w:t> </w:t>
      </w:r>
    </w:p>
    <w:p>
      <w:pPr>
        <w:pStyle w:val="TextBody"/>
        <w:bidi w:val="0"/>
        <w:spacing w:before="0" w:after="0"/>
        <w:ind w:left="978" w:right="97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p>
      <w:pPr>
        <w:pStyle w:val="TextBody"/>
        <w:bidi w:val="0"/>
        <w:spacing w:before="0" w:after="0"/>
        <w:ind w:left="978" w:right="979"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978" w:right="979" w:hanging="0"/>
        <w:jc w:val="center"/>
        <w:rPr>
          <w:caps w:val="false"/>
          <w:smallCaps w:val="false"/>
        </w:rPr>
      </w:pPr>
      <w:r>
        <w:rPr>
          <w:caps w:val="false"/>
          <w:smallCaps w:val="false"/>
        </w:rPr>
        <w:t> </w:t>
      </w:r>
    </w:p>
    <w:p>
      <w:pPr>
        <w:pStyle w:val="TextBody"/>
        <w:bidi w:val="0"/>
        <w:ind w:left="978" w:right="979" w:hanging="0"/>
        <w:jc w:val="left"/>
        <w:rPr>
          <w:bdr w:val="single" w:sz="12" w:space="1" w:color="000000"/>
        </w:rPr>
      </w:pPr>
      <w:r>
        <w:rPr>
          <w:bdr w:val="single" w:sz="12" w:space="1" w:color="000000"/>
        </w:rPr>
        <w:t> </w:t>
      </w:r>
    </w:p>
    <w:p>
      <w:pPr>
        <w:pStyle w:val="TextBody"/>
        <w:bidi w:val="0"/>
        <w:spacing w:before="0" w:after="0"/>
        <w:ind w:left="978" w:right="979" w:hanging="0"/>
        <w:jc w:val="center"/>
        <w:rPr>
          <w:caps w:val="false"/>
          <w:smallCaps w:val="false"/>
        </w:rPr>
      </w:pPr>
      <w:r>
        <w:rPr>
          <w:caps w:val="false"/>
          <w:smallCaps w:val="false"/>
        </w:rPr>
        <w:t> </w:t>
      </w:r>
    </w:p>
    <w:p>
      <w:pPr>
        <w:pStyle w:val="TextBody"/>
        <w:bidi w:val="0"/>
        <w:spacing w:before="0" w:after="0"/>
        <w:ind w:left="979" w:right="97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 Yonge Street, Suite 1601, Toronto, Ontario, Canada M5C 1T4</w:t>
      </w:r>
    </w:p>
    <w:p>
      <w:pPr>
        <w:pStyle w:val="TextBody"/>
        <w:bidi w:val="0"/>
        <w:spacing w:before="0" w:after="0"/>
        <w:ind w:left="979" w:right="979"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979" w:right="979" w:hanging="0"/>
        <w:jc w:val="center"/>
        <w:rPr>
          <w:caps w:val="false"/>
          <w:smallCaps w:val="false"/>
        </w:rPr>
      </w:pPr>
      <w:r>
        <w:rPr>
          <w:caps w:val="false"/>
          <w:smallCaps w:val="false"/>
        </w:rPr>
        <w:t> </w:t>
      </w:r>
    </w:p>
    <w:p>
      <w:pPr>
        <w:pStyle w:val="TextBody"/>
        <w:bidi w:val="0"/>
        <w:ind w:left="979" w:right="979" w:hanging="0"/>
        <w:jc w:val="left"/>
        <w:rPr>
          <w:bdr w:val="single" w:sz="12" w:space="1" w:color="000000"/>
        </w:rPr>
      </w:pPr>
      <w:r>
        <w:rPr>
          <w:bdr w:val="single" w:sz="12" w:space="1" w:color="000000"/>
        </w:rPr>
        <w:t> </w:t>
      </w:r>
    </w:p>
    <w:p>
      <w:pPr>
        <w:pStyle w:val="TextBody"/>
        <w:bidi w:val="0"/>
        <w:spacing w:before="0" w:after="0"/>
        <w:ind w:left="979" w:right="979" w:hanging="0"/>
        <w:jc w:val="center"/>
        <w:rPr>
          <w:caps w:val="false"/>
          <w:smallCaps w:val="false"/>
        </w:rPr>
      </w:pPr>
      <w:r>
        <w:rPr>
          <w:caps w:val="false"/>
          <w:smallCaps w:val="false"/>
        </w:rPr>
        <w:t> </w:t>
      </w:r>
    </w:p>
    <w:p>
      <w:pPr>
        <w:pStyle w:val="TextBody"/>
        <w:bidi w:val="0"/>
        <w:spacing w:before="0" w:after="0"/>
        <w:ind w:left="160" w:right="15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1"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1" w:right="0" w:hanging="0"/>
        <w:jc w:val="center"/>
        <w:rPr>
          <w:caps w:val="false"/>
          <w:smallCaps w:val="false"/>
        </w:rPr>
      </w:pPr>
      <w:r>
        <w:rPr>
          <w:caps w:val="false"/>
          <w:smallCaps w:val="false"/>
        </w:rPr>
        <w:t> </w:t>
      </w:r>
    </w:p>
    <w:p>
      <w:pPr>
        <w:pStyle w:val="TextBody"/>
        <w:bidi w:val="0"/>
        <w:ind w:left="1" w:right="0" w:hanging="0"/>
        <w:jc w:val="left"/>
        <w:rPr>
          <w:bdr w:val="single" w:sz="8" w:space="1" w:color="000000"/>
        </w:rPr>
      </w:pPr>
      <w:r>
        <w:rPr>
          <w:bdr w:val="single" w:sz="8" w:space="1" w:color="000000"/>
        </w:rPr>
        <w:t> </w:t>
      </w:r>
    </w:p>
    <w:p>
      <w:pPr>
        <w:pStyle w:val="TextBody"/>
        <w:bidi w:val="0"/>
        <w:spacing w:before="0" w:after="0"/>
        <w:ind w:left="1" w:right="0" w:hanging="0"/>
        <w:jc w:val="center"/>
        <w:rPr>
          <w:caps w:val="false"/>
          <w:smallCaps w:val="false"/>
        </w:rPr>
      </w:pPr>
      <w:r>
        <w:rPr>
          <w:caps w:val="false"/>
          <w:smallCaps w:val="false"/>
        </w:rPr>
        <w:t> </w:t>
      </w:r>
    </w:p>
    <w:p>
      <w:pPr>
        <w:pStyle w:val="TextBody"/>
        <w:bidi w:val="0"/>
        <w:spacing w:before="0" w:after="0"/>
        <w:ind w:left="1"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1"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INCLUDED AS PART OF THIS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On April 12, 2024, the Registrant filed with the Canadian Securities Regulatory Authorities on the System for Electronic Data Analysis and Retrieval + (SEDAR +) a material change report that includes a copy of a press release, a copy of which is attached hereto as Exhibit 99.1, and which is incorporated by reference to the Company’s Registration Statement on </w:t>
      </w:r>
      <w:hyperlink r:id="rId2">
        <w:r>
          <w:rPr>
            <w:rStyle w:val="InternetLink"/>
            <w:rFonts w:ascii="Times New Roman;Times;Serif" w:hAnsi="Times New Roman;Times;Serif"/>
            <w:b w:val="false"/>
            <w:i w:val="false"/>
            <w:caps w:val="false"/>
            <w:smallCaps w:val="false"/>
            <w:sz w:val="20"/>
          </w:rPr>
          <w:t>Form F-10</w:t>
        </w:r>
      </w:hyperlink>
      <w:r>
        <w:rPr>
          <w:rFonts w:ascii="Times New Roman;Times;Serif" w:hAnsi="Times New Roman;Times;Serif"/>
          <w:b w:val="false"/>
          <w:i w:val="false"/>
          <w:caps w:val="false"/>
          <w:smallCaps w:val="false"/>
          <w:sz w:val="20"/>
        </w:rPr>
        <w:t xml:space="preserve"> (File No. 333-272989).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Exhibits listed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Exhibits</w:t>
      </w:r>
      <w:r>
        <w:rPr>
          <w:rFonts w:ascii="Times New Roman;Times;Serif" w:hAnsi="Times New Roman;Times;Serif"/>
          <w:b w:val="false"/>
          <w:i w:val="false"/>
          <w:caps w:val="false"/>
          <w:smallCaps w:val="false"/>
          <w:sz w:val="20"/>
        </w:rPr>
        <w:t xml:space="preserve">  </w:t>
      </w:r>
    </w:p>
    <w:p>
      <w:pPr>
        <w:pStyle w:val="TextBody"/>
        <w:bidi w:val="0"/>
        <w:spacing w:before="0" w:after="283"/>
        <w:jc w:val="left"/>
        <w:rPr/>
      </w:pPr>
      <w:r>
        <w:rPr/>
        <w:t> </w:t>
      </w:r>
    </w:p>
    <w:tbl>
      <w:tblPr>
        <w:tblW w:w="4765" w:type="dxa"/>
        <w:jc w:val="left"/>
        <w:tblInd w:w="0" w:type="dxa"/>
        <w:tblLayout w:type="fixed"/>
        <w:tblCellMar>
          <w:top w:w="0" w:type="dxa"/>
          <w:left w:w="0" w:type="dxa"/>
          <w:bottom w:w="28" w:type="dxa"/>
          <w:right w:w="0" w:type="dxa"/>
        </w:tblCellMar>
      </w:tblPr>
      <w:tblGrid>
        <w:gridCol w:w="980"/>
        <w:gridCol w:w="60"/>
        <w:gridCol w:w="3725"/>
      </w:tblGrid>
      <w:tr>
        <w:trPr/>
        <w:tc>
          <w:tcPr>
            <w:tcW w:w="980" w:type="dxa"/>
            <w:tcBorders>
              <w:bottom w:val="single" w:sz="12" w:space="0" w:color="000000"/>
            </w:tcBorders>
            <w:shd w:fill="FFFFFF" w:val="clear"/>
            <w:vAlign w:val="center"/>
          </w:tcPr>
          <w:p>
            <w:pPr>
              <w:pStyle w:val="TableContents"/>
              <w:bidi w:val="0"/>
              <w:spacing w:before="0" w:after="283"/>
              <w:jc w:val="both"/>
              <w:rPr>
                <w:sz w:val="20"/>
              </w:rPr>
            </w:pPr>
            <w:r>
              <w:rPr>
                <w:sz w:val="20"/>
              </w:rPr>
              <w:t>Exhibit 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25" w:type="dxa"/>
            <w:tcBorders>
              <w:bottom w:val="single" w:sz="12" w:space="0" w:color="000000"/>
            </w:tcBorders>
            <w:shd w:fill="FFFFFF" w:val="clear"/>
            <w:vAlign w:val="center"/>
          </w:tcPr>
          <w:p>
            <w:pPr>
              <w:pStyle w:val="TableContents"/>
              <w:bidi w:val="0"/>
              <w:spacing w:before="0" w:after="283"/>
              <w:jc w:val="both"/>
              <w:rPr>
                <w:sz w:val="20"/>
              </w:rPr>
            </w:pPr>
            <w:r>
              <w:rPr>
                <w:sz w:val="20"/>
              </w:rPr>
              <w:t>Description</w:t>
            </w:r>
          </w:p>
        </w:tc>
      </w:tr>
      <w:tr>
        <w:trPr/>
        <w:tc>
          <w:tcPr>
            <w:tcW w:w="980" w:type="dxa"/>
            <w:tcBorders/>
            <w:shd w:fill="CCEEFF" w:val="clear"/>
            <w:tcMar>
              <w:bottom w:w="0" w:type="dxa"/>
            </w:tcMar>
            <w:vAlign w:val="center"/>
          </w:tcPr>
          <w:p>
            <w:pPr>
              <w:pStyle w:val="TableContents"/>
              <w:bidi w:val="0"/>
              <w:spacing w:before="0" w:after="283"/>
              <w:jc w:val="both"/>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25" w:type="dxa"/>
            <w:tcBorders/>
            <w:shd w:fill="CCEEFF" w:val="clear"/>
            <w:tcMar>
              <w:bottom w:w="0" w:type="dxa"/>
            </w:tcMar>
            <w:vAlign w:val="center"/>
          </w:tcPr>
          <w:p>
            <w:pPr>
              <w:pStyle w:val="TableContents"/>
              <w:bidi w:val="0"/>
              <w:spacing w:before="0" w:after="283"/>
              <w:jc w:val="both"/>
              <w:rPr/>
            </w:pPr>
            <w:hyperlink w:anchor="ea020380201ex99-1_bitfarms.htm">
              <w:r>
                <w:rPr>
                  <w:rStyle w:val="InternetLink"/>
                  <w:sz w:val="20"/>
                </w:rPr>
                <w:t>Material Change Report dated April 12, 2024</w:t>
              </w:r>
            </w:hyperlink>
          </w:p>
        </w:tc>
      </w:tr>
    </w:tbl>
    <w:p>
      <w:pPr>
        <w:pStyle w:val="TextBody"/>
        <w:bidi w:val="0"/>
        <w:spacing w:before="0" w:after="0"/>
        <w:ind w:left="979" w:right="978" w:hanging="0"/>
        <w:jc w:val="center"/>
        <w:rPr>
          <w:caps w:val="false"/>
          <w:smallCaps w:val="false"/>
        </w:rPr>
      </w:pPr>
      <w:r>
        <w:rPr>
          <w:caps w:val="false"/>
          <w:smallCaps w:val="false"/>
        </w:rPr>
        <w:t> </w:t>
      </w:r>
    </w:p>
    <w:p>
      <w:pPr>
        <w:pStyle w:val="TextBody"/>
        <w:bidi w:val="0"/>
        <w:spacing w:before="0" w:after="0"/>
        <w:ind w:left="979" w:right="978"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979" w:right="978" w:hanging="0"/>
        <w:jc w:val="center"/>
        <w:rPr>
          <w:caps w:val="false"/>
          <w:smallCaps w:val="false"/>
        </w:rPr>
      </w:pPr>
      <w:r>
        <w:rPr>
          <w:caps w:val="false"/>
          <w:smallCaps w:val="false"/>
        </w:rPr>
        <w:t> </w:t>
      </w:r>
    </w:p>
    <w:p>
      <w:pPr>
        <w:pStyle w:val="TextBody"/>
        <w:bidi w:val="0"/>
        <w:spacing w:before="0" w:after="0"/>
        <w:ind w:left="979" w:right="978"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160" w:right="0" w:hanging="0"/>
        <w:jc w:val="left"/>
        <w:rPr>
          <w:caps w:val="false"/>
          <w:smallCaps w:val="false"/>
        </w:rPr>
      </w:pPr>
      <w:r>
        <w:rPr>
          <w:caps w:val="false"/>
          <w:smallCaps w:val="false"/>
        </w:rPr>
        <w:t> </w:t>
      </w:r>
    </w:p>
    <w:tbl>
      <w:tblPr>
        <w:tblW w:w="4095" w:type="dxa"/>
        <w:jc w:val="left"/>
        <w:tblInd w:w="0" w:type="dxa"/>
        <w:tblLayout w:type="fixed"/>
        <w:tblCellMar>
          <w:top w:w="0" w:type="dxa"/>
          <w:left w:w="0" w:type="dxa"/>
          <w:bottom w:w="0" w:type="dxa"/>
          <w:right w:w="0" w:type="dxa"/>
        </w:tblCellMar>
      </w:tblPr>
      <w:tblGrid>
        <w:gridCol w:w="75"/>
        <w:gridCol w:w="320"/>
        <w:gridCol w:w="545"/>
        <w:gridCol w:w="3155"/>
      </w:tblGrid>
      <w:tr>
        <w:trPr/>
        <w:tc>
          <w:tcPr>
            <w:tcW w:w="75" w:type="dxa"/>
            <w:tcBorders/>
            <w:vAlign w:val="center"/>
          </w:tcPr>
          <w:p>
            <w:pPr>
              <w:pStyle w:val="TableContents"/>
              <w:bidi w:val="0"/>
              <w:spacing w:before="0" w:after="283"/>
              <w:jc w:val="left"/>
              <w:rPr/>
            </w:pPr>
            <w:r>
              <w:rPr/>
              <w:t> </w:t>
            </w:r>
          </w:p>
        </w:tc>
        <w:tc>
          <w:tcPr>
            <w:tcW w:w="4020" w:type="dxa"/>
            <w:gridSpan w:val="3"/>
            <w:tcBorders/>
            <w:vAlign w:val="center"/>
          </w:tcPr>
          <w:p>
            <w:pPr>
              <w:pStyle w:val="TableContents"/>
              <w:bidi w:val="0"/>
              <w:spacing w:before="0" w:after="283"/>
              <w:jc w:val="left"/>
              <w:rPr>
                <w:b/>
                <w:sz w:val="20"/>
              </w:rPr>
            </w:pPr>
            <w:r>
              <w:rPr>
                <w:b/>
                <w:sz w:val="20"/>
              </w:rPr>
              <w:t>BITFARMS LTD.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700"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L. Geoffrey Morphy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3155" w:type="dxa"/>
            <w:tcBorders/>
            <w:vAlign w:val="center"/>
          </w:tcPr>
          <w:p>
            <w:pPr>
              <w:pStyle w:val="TableContents"/>
              <w:bidi w:val="0"/>
              <w:spacing w:before="0" w:after="283"/>
              <w:jc w:val="left"/>
              <w:rPr/>
            </w:pPr>
            <w:r>
              <w:rPr/>
              <w:t> </w:t>
            </w:r>
            <w:r>
              <w:rPr>
                <w:sz w:val="20"/>
              </w:rPr>
              <w:t>L. Geoffrey Morphy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3155" w:type="dxa"/>
            <w:tcBorders/>
            <w:vAlign w:val="center"/>
          </w:tcPr>
          <w:p>
            <w:pPr>
              <w:pStyle w:val="TableContents"/>
              <w:bidi w:val="0"/>
              <w:spacing w:before="0" w:after="283"/>
              <w:jc w:val="left"/>
              <w:rPr/>
            </w:pPr>
            <w:r>
              <w:rPr/>
              <w:t> </w:t>
            </w:r>
            <w:r>
              <w:rPr>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12, 2024</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808"/>
        <w:jc w:val="right"/>
        <w:rPr>
          <w:rFonts w:ascii="Times New Roman;Times;Serif" w:hAnsi="Times New Roman;Times;Serif"/>
          <w:b/>
          <w:i w:val="false"/>
          <w:caps w:val="false"/>
          <w:smallCaps w:val="false"/>
          <w:sz w:val="20"/>
        </w:rPr>
      </w:pPr>
      <w:bookmarkStart w:id="2" w:name="ea020380201ex99-1_bitfarms.htm"/>
      <w:bookmarkStart w:id="3" w:name="ksea020380201ex991_bitfarms"/>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51-102F3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CHANGE REPORT</w:t>
      </w:r>
    </w:p>
    <w:p>
      <w:pPr>
        <w:pStyle w:val="TextBody"/>
        <w:bidi w:val="0"/>
        <w:spacing w:before="0" w:after="0"/>
        <w:jc w:val="center"/>
        <w:rPr>
          <w:caps w:val="false"/>
          <w:smallCaps w:val="false"/>
        </w:rPr>
      </w:pPr>
      <w:r>
        <w:rPr>
          <w:caps w:val="false"/>
          <w:smallCaps w:val="false"/>
        </w:rPr>
        <w:t> </w:t>
      </w:r>
    </w:p>
    <w:tbl>
      <w:tblPr>
        <w:tblW w:w="4008" w:type="dxa"/>
        <w:jc w:val="left"/>
        <w:tblInd w:w="0" w:type="dxa"/>
        <w:tblLayout w:type="fixed"/>
        <w:tblCellMar>
          <w:top w:w="0" w:type="dxa"/>
          <w:left w:w="0" w:type="dxa"/>
          <w:bottom w:w="0" w:type="dxa"/>
          <w:right w:w="0" w:type="dxa"/>
        </w:tblCellMar>
      </w:tblPr>
      <w:tblGrid>
        <w:gridCol w:w="38"/>
        <w:gridCol w:w="665"/>
        <w:gridCol w:w="3305"/>
      </w:tblGrid>
      <w:tr>
        <w:trPr/>
        <w:tc>
          <w:tcPr>
            <w:tcW w:w="3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b/>
              </w:rPr>
            </w:pPr>
            <w:r>
              <w:rPr>
                <w:b/>
              </w:rPr>
              <w:t>Item 1</w:t>
            </w:r>
          </w:p>
        </w:tc>
        <w:tc>
          <w:tcPr>
            <w:tcW w:w="3305" w:type="dxa"/>
            <w:tcBorders/>
            <w:vAlign w:val="center"/>
          </w:tcPr>
          <w:p>
            <w:pPr>
              <w:pStyle w:val="TableContents"/>
              <w:bidi w:val="0"/>
              <w:spacing w:before="0" w:after="283"/>
              <w:jc w:val="left"/>
              <w:rPr>
                <w:b/>
              </w:rPr>
            </w:pPr>
            <w:r>
              <w:rPr>
                <w:b/>
              </w:rPr>
              <w:t>Name and Address of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Ltd. (“Bitfarms” or the “Company”)</w:t>
        <w:br/>
        <w:t xml:space="preserve">110 Yonge Street, Suite 1601 </w:t>
        <w:br/>
        <w:t>Toronto, Ontario M5C 1T4</w:t>
      </w:r>
    </w:p>
    <w:p>
      <w:pPr>
        <w:pStyle w:val="TextBody"/>
        <w:bidi w:val="0"/>
        <w:spacing w:before="0" w:after="0"/>
        <w:jc w:val="left"/>
        <w:rPr>
          <w:caps w:val="false"/>
          <w:smallCaps w:val="false"/>
        </w:rPr>
      </w:pPr>
      <w:r>
        <w:rPr>
          <w:caps w:val="false"/>
          <w:smallCaps w:val="false"/>
        </w:rPr>
        <w:t> </w:t>
      </w:r>
    </w:p>
    <w:tbl>
      <w:tblPr>
        <w:tblW w:w="3258" w:type="dxa"/>
        <w:jc w:val="left"/>
        <w:tblInd w:w="0" w:type="dxa"/>
        <w:tblLayout w:type="fixed"/>
        <w:tblCellMar>
          <w:top w:w="0" w:type="dxa"/>
          <w:left w:w="0" w:type="dxa"/>
          <w:bottom w:w="0" w:type="dxa"/>
          <w:right w:w="0" w:type="dxa"/>
        </w:tblCellMar>
      </w:tblPr>
      <w:tblGrid>
        <w:gridCol w:w="38"/>
        <w:gridCol w:w="665"/>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b/>
              </w:rPr>
            </w:pPr>
            <w:r>
              <w:rPr>
                <w:b/>
              </w:rPr>
              <w:t>Item 2</w:t>
            </w:r>
          </w:p>
        </w:tc>
        <w:tc>
          <w:tcPr>
            <w:tcW w:w="2555" w:type="dxa"/>
            <w:tcBorders/>
            <w:vAlign w:val="center"/>
          </w:tcPr>
          <w:p>
            <w:pPr>
              <w:pStyle w:val="TableContents"/>
              <w:bidi w:val="0"/>
              <w:spacing w:before="0" w:after="283"/>
              <w:jc w:val="left"/>
              <w:rPr>
                <w:b/>
              </w:rPr>
            </w:pPr>
            <w:r>
              <w:rPr>
                <w:b/>
              </w:rPr>
              <w:t>Date of Material Change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12, 2024.</w:t>
      </w:r>
    </w:p>
    <w:p>
      <w:pPr>
        <w:pStyle w:val="TextBody"/>
        <w:bidi w:val="0"/>
        <w:spacing w:before="0" w:after="0"/>
        <w:jc w:val="left"/>
        <w:rPr>
          <w:caps w:val="false"/>
          <w:smallCaps w:val="false"/>
        </w:rPr>
      </w:pPr>
      <w:r>
        <w:rPr>
          <w:caps w:val="false"/>
          <w:smallCaps w:val="false"/>
        </w:rPr>
        <w:t> </w:t>
      </w:r>
    </w:p>
    <w:tbl>
      <w:tblPr>
        <w:tblW w:w="2118" w:type="dxa"/>
        <w:jc w:val="left"/>
        <w:tblInd w:w="0" w:type="dxa"/>
        <w:tblLayout w:type="fixed"/>
        <w:tblCellMar>
          <w:top w:w="0" w:type="dxa"/>
          <w:left w:w="0" w:type="dxa"/>
          <w:bottom w:w="0" w:type="dxa"/>
          <w:right w:w="0" w:type="dxa"/>
        </w:tblCellMar>
      </w:tblPr>
      <w:tblGrid>
        <w:gridCol w:w="38"/>
        <w:gridCol w:w="665"/>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b/>
              </w:rPr>
            </w:pPr>
            <w:r>
              <w:rPr>
                <w:b/>
              </w:rPr>
              <w:t>Item 3</w:t>
            </w:r>
          </w:p>
        </w:tc>
        <w:tc>
          <w:tcPr>
            <w:tcW w:w="1415" w:type="dxa"/>
            <w:tcBorders/>
            <w:vAlign w:val="center"/>
          </w:tcPr>
          <w:p>
            <w:pPr>
              <w:pStyle w:val="TableContents"/>
              <w:bidi w:val="0"/>
              <w:spacing w:before="0" w:after="283"/>
              <w:jc w:val="left"/>
              <w:rPr>
                <w:b/>
              </w:rPr>
            </w:pPr>
            <w:r>
              <w:rPr>
                <w:b/>
              </w:rPr>
              <w:t>News Release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attached as Schedule “A” was released on April 12, 2024, by a newswire company in Canada.</w:t>
      </w:r>
    </w:p>
    <w:p>
      <w:pPr>
        <w:pStyle w:val="TextBody"/>
        <w:bidi w:val="0"/>
        <w:spacing w:before="0" w:after="0"/>
        <w:jc w:val="left"/>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38"/>
        <w:gridCol w:w="665"/>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b/>
              </w:rPr>
            </w:pPr>
            <w:r>
              <w:rPr>
                <w:b/>
              </w:rPr>
              <w:t>Item 4</w:t>
            </w:r>
          </w:p>
        </w:tc>
        <w:tc>
          <w:tcPr>
            <w:tcW w:w="3080" w:type="dxa"/>
            <w:tcBorders/>
            <w:vAlign w:val="center"/>
          </w:tcPr>
          <w:p>
            <w:pPr>
              <w:pStyle w:val="TableContents"/>
              <w:bidi w:val="0"/>
              <w:spacing w:before="0" w:after="283"/>
              <w:jc w:val="left"/>
              <w:rPr>
                <w:b/>
              </w:rPr>
            </w:pPr>
            <w:r>
              <w:rPr>
                <w:b/>
              </w:rPr>
              <w:t>Summary of Material Change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change is described in the press release attached as Schedule “A”.</w:t>
      </w:r>
    </w:p>
    <w:p>
      <w:pPr>
        <w:pStyle w:val="TextBody"/>
        <w:bidi w:val="0"/>
        <w:spacing w:before="0" w:after="0"/>
        <w:jc w:val="left"/>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665"/>
        <w:gridCol w:w="3710"/>
      </w:tblGrid>
      <w:tr>
        <w:trPr/>
        <w:tc>
          <w:tcPr>
            <w:tcW w:w="3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b/>
              </w:rPr>
            </w:pPr>
            <w:r>
              <w:rPr>
                <w:b/>
              </w:rPr>
              <w:t>Item 5</w:t>
            </w:r>
          </w:p>
        </w:tc>
        <w:tc>
          <w:tcPr>
            <w:tcW w:w="3710" w:type="dxa"/>
            <w:tcBorders/>
            <w:vAlign w:val="center"/>
          </w:tcPr>
          <w:p>
            <w:pPr>
              <w:pStyle w:val="TableContents"/>
              <w:bidi w:val="0"/>
              <w:spacing w:before="0" w:after="283"/>
              <w:jc w:val="left"/>
              <w:rPr>
                <w:b/>
              </w:rPr>
            </w:pPr>
            <w:r>
              <w:rPr>
                <w:b/>
              </w:rPr>
              <w:t>Full Description of Material Change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change is described in the press release attached as Schedule “A”.</w:t>
      </w:r>
    </w:p>
    <w:p>
      <w:pPr>
        <w:pStyle w:val="TextBody"/>
        <w:bidi w:val="0"/>
        <w:spacing w:before="0" w:after="0"/>
        <w:jc w:val="left"/>
        <w:rPr>
          <w:caps w:val="false"/>
          <w:smallCaps w:val="false"/>
        </w:rPr>
      </w:pPr>
      <w:r>
        <w:rPr>
          <w:caps w:val="false"/>
          <w:smallCaps w:val="false"/>
        </w:rPr>
        <w:t> </w:t>
      </w:r>
    </w:p>
    <w:tbl>
      <w:tblPr>
        <w:tblW w:w="6723" w:type="dxa"/>
        <w:jc w:val="left"/>
        <w:tblInd w:w="0" w:type="dxa"/>
        <w:tblLayout w:type="fixed"/>
        <w:tblCellMar>
          <w:top w:w="0" w:type="dxa"/>
          <w:left w:w="0" w:type="dxa"/>
          <w:bottom w:w="0" w:type="dxa"/>
          <w:right w:w="0" w:type="dxa"/>
        </w:tblCellMar>
      </w:tblPr>
      <w:tblGrid>
        <w:gridCol w:w="38"/>
        <w:gridCol w:w="665"/>
        <w:gridCol w:w="6020"/>
      </w:tblGrid>
      <w:tr>
        <w:trPr/>
        <w:tc>
          <w:tcPr>
            <w:tcW w:w="3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b/>
              </w:rPr>
              <w:t>Item</w:t>
            </w:r>
            <w:r>
              <w:rPr/>
              <w:t xml:space="preserve"> </w:t>
            </w:r>
            <w:r>
              <w:rPr>
                <w:b/>
              </w:rPr>
              <w:t>6</w:t>
            </w:r>
          </w:p>
        </w:tc>
        <w:tc>
          <w:tcPr>
            <w:tcW w:w="6020" w:type="dxa"/>
            <w:tcBorders/>
            <w:vAlign w:val="center"/>
          </w:tcPr>
          <w:p>
            <w:pPr>
              <w:pStyle w:val="TableContents"/>
              <w:bidi w:val="0"/>
              <w:spacing w:before="0" w:after="283"/>
              <w:jc w:val="both"/>
              <w:rPr>
                <w:b/>
              </w:rPr>
            </w:pPr>
            <w:r>
              <w:rPr>
                <w:b/>
              </w:rPr>
              <w:t>Reliance of subsection 7.1(2) of National Instrument 51-102</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left"/>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38"/>
        <w:gridCol w:w="665"/>
        <w:gridCol w:w="2150"/>
      </w:tblGrid>
      <w:tr>
        <w:trPr/>
        <w:tc>
          <w:tcPr>
            <w:tcW w:w="3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b/>
              </w:rPr>
            </w:pPr>
            <w:r>
              <w:rPr>
                <w:b/>
              </w:rPr>
              <w:t>Item 7</w:t>
            </w:r>
          </w:p>
        </w:tc>
        <w:tc>
          <w:tcPr>
            <w:tcW w:w="2150" w:type="dxa"/>
            <w:tcBorders/>
            <w:vAlign w:val="center"/>
          </w:tcPr>
          <w:p>
            <w:pPr>
              <w:pStyle w:val="TableContents"/>
              <w:bidi w:val="0"/>
              <w:spacing w:before="0" w:after="283"/>
              <w:jc w:val="left"/>
              <w:rPr>
                <w:b/>
              </w:rPr>
            </w:pPr>
            <w:r>
              <w:rPr>
                <w:b/>
              </w:rPr>
              <w:t>Omitted Information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left"/>
        <w:rPr>
          <w:caps w:val="false"/>
          <w:smallCaps w:val="false"/>
        </w:rPr>
      </w:pPr>
      <w:r>
        <w:rPr>
          <w:caps w:val="false"/>
          <w:smallCaps w:val="false"/>
        </w:rPr>
        <w:t> </w:t>
      </w:r>
    </w:p>
    <w:tbl>
      <w:tblPr>
        <w:tblW w:w="2493" w:type="dxa"/>
        <w:jc w:val="left"/>
        <w:tblInd w:w="0" w:type="dxa"/>
        <w:tblLayout w:type="fixed"/>
        <w:tblCellMar>
          <w:top w:w="0" w:type="dxa"/>
          <w:left w:w="0" w:type="dxa"/>
          <w:bottom w:w="0" w:type="dxa"/>
          <w:right w:w="0" w:type="dxa"/>
        </w:tblCellMar>
      </w:tblPr>
      <w:tblGrid>
        <w:gridCol w:w="38"/>
        <w:gridCol w:w="665"/>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b/>
              </w:rPr>
            </w:pPr>
            <w:r>
              <w:rPr>
                <w:b/>
              </w:rPr>
              <w:t>Item 8</w:t>
            </w:r>
          </w:p>
        </w:tc>
        <w:tc>
          <w:tcPr>
            <w:tcW w:w="1790" w:type="dxa"/>
            <w:tcBorders/>
            <w:vAlign w:val="center"/>
          </w:tcPr>
          <w:p>
            <w:pPr>
              <w:pStyle w:val="TableContents"/>
              <w:bidi w:val="0"/>
              <w:spacing w:before="0" w:after="283"/>
              <w:jc w:val="left"/>
              <w:rPr>
                <w:b/>
              </w:rPr>
            </w:pPr>
            <w:r>
              <w:rPr>
                <w:b/>
              </w:rPr>
              <w:t>Executive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Geoffrey Morphy</w:t>
        <w:br/>
        <w:t>President &amp; Chief Executive Officer</w:t>
        <w:br/>
        <w:t xml:space="preserve">Bitfarms Ltd. </w:t>
      </w:r>
      <w:r>
        <w:rPr>
          <w:rFonts w:ascii="Times New Roman;Times;Serif" w:hAnsi="Times New Roman;Times;Serif"/>
          <w:b w:val="false"/>
          <w:i w:val="false"/>
          <w:caps w:val="false"/>
          <w:smallCaps w:val="false"/>
          <w:strike w:val="false"/>
          <w:dstrike w:val="false"/>
          <w:sz w:val="20"/>
          <w:u w:val="none"/>
          <w:effect w:val="none"/>
        </w:rPr>
        <w:br/>
        <w:t>gmorphy@bitfarms.com</w:t>
      </w:r>
    </w:p>
    <w:p>
      <w:pPr>
        <w:pStyle w:val="TextBody"/>
        <w:bidi w:val="0"/>
        <w:spacing w:before="0" w:after="0"/>
        <w:jc w:val="left"/>
        <w:rPr>
          <w:caps w:val="false"/>
          <w:smallCaps w:val="false"/>
        </w:rPr>
      </w:pPr>
      <w:r>
        <w:rPr>
          <w:caps w:val="false"/>
          <w:smallCaps w:val="false"/>
        </w:rPr>
        <w:t> </w:t>
      </w:r>
    </w:p>
    <w:tbl>
      <w:tblPr>
        <w:tblW w:w="2253" w:type="dxa"/>
        <w:jc w:val="left"/>
        <w:tblInd w:w="0" w:type="dxa"/>
        <w:tblLayout w:type="fixed"/>
        <w:tblCellMar>
          <w:top w:w="0" w:type="dxa"/>
          <w:left w:w="0" w:type="dxa"/>
          <w:bottom w:w="0" w:type="dxa"/>
          <w:right w:w="0" w:type="dxa"/>
        </w:tblCellMar>
      </w:tblPr>
      <w:tblGrid>
        <w:gridCol w:w="38"/>
        <w:gridCol w:w="665"/>
        <w:gridCol w:w="1550"/>
      </w:tblGrid>
      <w:tr>
        <w:trPr/>
        <w:tc>
          <w:tcPr>
            <w:tcW w:w="3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b/>
              </w:rPr>
            </w:pPr>
            <w:r>
              <w:rPr>
                <w:b/>
              </w:rPr>
              <w:t>Item 9</w:t>
            </w:r>
          </w:p>
        </w:tc>
        <w:tc>
          <w:tcPr>
            <w:tcW w:w="1550" w:type="dxa"/>
            <w:tcBorders/>
            <w:vAlign w:val="center"/>
          </w:tcPr>
          <w:p>
            <w:pPr>
              <w:pStyle w:val="TableContents"/>
              <w:bidi w:val="0"/>
              <w:spacing w:before="0" w:after="283"/>
              <w:jc w:val="left"/>
              <w:rPr>
                <w:b/>
              </w:rPr>
            </w:pPr>
            <w:r>
              <w:rPr>
                <w:b/>
              </w:rPr>
              <w:t>Date of Report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12, 2024.</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rPr>
      </w:pPr>
      <w:r>
        <w:rPr>
          <w:sz w:val="20"/>
        </w:rPr>
        <w:t>Schedule “A”</w:t>
      </w:r>
    </w:p>
    <w:p>
      <w:pPr>
        <w:pStyle w:val="TextBody"/>
        <w:bidi w:val="0"/>
        <w:spacing w:before="0" w:after="0"/>
        <w:jc w:val="center"/>
        <w:rPr/>
      </w:pPr>
      <w:r>
        <w:rPr/>
        <w:t> </w:t>
      </w:r>
    </w:p>
    <w:p>
      <w:pPr>
        <w:pStyle w:val="TextBody"/>
        <w:bidi w:val="0"/>
        <w:spacing w:before="0" w:after="0"/>
        <w:jc w:val="center"/>
        <w:rPr/>
      </w:pPr>
      <w:r>
        <w:rPr/>
        <w:drawing>
          <wp:inline distT="0" distB="0" distL="0" distR="0">
            <wp:extent cx="2257425"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2257425" cy="590550"/>
                    </a:xfrm>
                    <a:prstGeom prst="rect">
                      <a:avLst/>
                    </a:prstGeom>
                  </pic:spPr>
                </pic:pic>
              </a:graphicData>
            </a:graphic>
          </wp:inline>
        </w:drawing>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Bitfarms Reaches 7 EH/s with Completion of Fleet Upgrade at Garlock and Farnham Facilities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Corporate energy efficiency improves 9% to 31 w/TH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news release constitutes a “designated news release” for the purposes of the Company’s prospectus supplement dated March 8, 2024, to its short form base shelf prospectus dated November 10, 2023.</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Toronto, Ontario and Brossard, Québec (April 12, 2024)</w:t>
      </w:r>
      <w:r>
        <w:rPr>
          <w:rFonts w:ascii="Times New Roman;Times;Serif" w:hAnsi="Times New Roman;Times;Serif"/>
          <w:b w:val="false"/>
          <w:i w:val="false"/>
          <w:caps w:val="false"/>
          <w:smallCaps w:val="false"/>
          <w:sz w:val="20"/>
        </w:rPr>
        <w:t xml:space="preserve"> - Bitfarms Ltd. (NASDAQ/TSX: BITF), </w:t>
      </w:r>
      <w:r>
        <w:rPr>
          <w:rFonts w:ascii="Times New Roman;Times;Serif" w:hAnsi="Times New Roman;Times;Serif"/>
          <w:b w:val="false"/>
          <w:i w:val="false"/>
          <w:caps w:val="false"/>
          <w:smallCaps w:val="false"/>
          <w:sz w:val="20"/>
          <w:shd w:fill="FFFFFF" w:val="clear"/>
        </w:rPr>
        <w:t>a global vertically integrated Bitcoin mining company</w:t>
      </w:r>
      <w:r>
        <w:rPr>
          <w:rFonts w:ascii="Times New Roman;Times;Serif" w:hAnsi="Times New Roman;Times;Serif"/>
          <w:b w:val="false"/>
          <w:i w:val="false"/>
          <w:caps w:val="false"/>
          <w:smallCaps w:val="false"/>
          <w:sz w:val="20"/>
        </w:rPr>
        <w:t>, today announced the completion of its first two farm upgrades with over 5,000 Bitmain T21 miners installed and operating in Québec.</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Our Bitmain miner installations kickstart our transformative fleet upgrade and have improved energy efficiency by approximately 51% at both our Garlock and Farnham farms,” said Geoff Morphy, President and CEO of Bitfarms. “The 51% improvement in site energy efficiency demonstrates the transformative nature of our upgrade plan and how well it positions Bitfarms leading into and after the upcoming halving event.”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Upgrade Highlights:</w:t>
      </w:r>
    </w:p>
    <w:p>
      <w:pPr>
        <w:pStyle w:val="TextBody"/>
        <w:bidi w:val="0"/>
        <w:spacing w:before="0" w:after="0"/>
        <w:jc w:val="both"/>
        <w:rPr>
          <w:caps w:val="false"/>
          <w:smallCaps w:val="false"/>
        </w:rPr>
      </w:pPr>
      <w:r>
        <w:rPr>
          <w:caps w:val="false"/>
          <w:smallCaps w:val="false"/>
        </w:rPr>
        <w:t> </w:t>
      </w:r>
    </w:p>
    <w:tbl>
      <w:tblPr>
        <w:tblW w:w="4668" w:type="dxa"/>
        <w:jc w:val="left"/>
        <w:tblInd w:w="0" w:type="dxa"/>
        <w:tblLayout w:type="fixed"/>
        <w:tblCellMar>
          <w:top w:w="0" w:type="dxa"/>
          <w:left w:w="0" w:type="dxa"/>
          <w:bottom w:w="0" w:type="dxa"/>
          <w:right w:w="0" w:type="dxa"/>
        </w:tblCellMar>
      </w:tblPr>
      <w:tblGrid>
        <w:gridCol w:w="38"/>
        <w:gridCol w:w="95"/>
        <w:gridCol w:w="453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both"/>
              <w:rPr/>
            </w:pPr>
            <w:r>
              <w:rPr/>
              <w:t>At Garlock, the Company installed 3,168 T21s.</w:t>
            </w:r>
          </w:p>
        </w:tc>
      </w:tr>
    </w:tbl>
    <w:p>
      <w:pPr>
        <w:pStyle w:val="TextBody"/>
        <w:bidi w:val="0"/>
        <w:spacing w:before="0" w:after="0"/>
        <w:jc w:val="left"/>
        <w:rPr>
          <w:caps w:val="false"/>
          <w:smallCaps w:val="false"/>
        </w:rPr>
      </w:pPr>
      <w:r>
        <w:rPr>
          <w:caps w:val="false"/>
          <w:smallCaps w:val="false"/>
        </w:rPr>
        <w:t> </w:t>
      </w:r>
    </w:p>
    <w:tbl>
      <w:tblPr>
        <w:tblW w:w="7653" w:type="dxa"/>
        <w:jc w:val="left"/>
        <w:tblInd w:w="0" w:type="dxa"/>
        <w:tblLayout w:type="fixed"/>
        <w:tblCellMar>
          <w:top w:w="0" w:type="dxa"/>
          <w:left w:w="0" w:type="dxa"/>
          <w:bottom w:w="0" w:type="dxa"/>
          <w:right w:w="0" w:type="dxa"/>
        </w:tblCellMar>
      </w:tblPr>
      <w:tblGrid>
        <w:gridCol w:w="38"/>
        <w:gridCol w:w="95"/>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both"/>
              <w:rPr/>
            </w:pPr>
            <w:r>
              <w:rPr/>
              <w:t>At Farnham, the Company installed 1,710 T21s and 100 M53S+ hydro miners.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both"/>
              <w:rPr/>
            </w:pPr>
            <w:r>
              <w:rPr/>
              <w:t>In Q2 2024, more than 30,000 additional T21s are scheduled to be delivered to the Company’s existing locations including its newest development in Paso Pe, Paraguay.</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Chief Mining Officer, Ben Gagnon, stated, “Leveraging our existing facilities and the strength of our operations team, Bitfarms has already energized over 5,000 T21s with installations at our third location underway. As we deploy an additional 30,000 miners this quarter, we expect to drive rapid increases in both our hashrate and energy efficiency, while executing towards our 12 EH/s and 21 EH/s targets in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pPr>
      <w:r>
        <w:rPr/>
        <w:drawing>
          <wp:inline distT="0" distB="0" distL="0" distR="0">
            <wp:extent cx="4486275" cy="3362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4486275" cy="3362325"/>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pPr>
      <w:r>
        <w:rPr/>
        <w:drawing>
          <wp:inline distT="0" distB="0" distL="0" distR="0">
            <wp:extent cx="4486275" cy="3209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
                    <a:stretch>
                      <a:fillRect/>
                    </a:stretch>
                  </pic:blipFill>
                  <pic:spPr bwMode="auto">
                    <a:xfrm>
                      <a:off x="0" y="0"/>
                      <a:ext cx="4486275" cy="3209925"/>
                    </a:xfrm>
                    <a:prstGeom prst="rect">
                      <a:avLst/>
                    </a:prstGeom>
                  </pic:spPr>
                </pic:pic>
              </a:graphicData>
            </a:graphic>
          </wp:inline>
        </w:drawing>
      </w:r>
    </w:p>
    <w:p>
      <w:pPr>
        <w:pStyle w:val="TextBody"/>
        <w:bidi w:val="0"/>
        <w:spacing w:before="0" w:after="0"/>
        <w:jc w:val="left"/>
        <w:rPr/>
      </w:pPr>
      <w:r>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Bitfarms Ltd.</w:t>
      </w:r>
    </w:p>
    <w:p>
      <w:pPr>
        <w:pStyle w:val="TextBody"/>
        <w:shd w:fill="FEFEFE" w:val="clear"/>
        <w:bidi w:val="0"/>
        <w:spacing w:before="0" w:after="0"/>
        <w:ind w:left="0" w:right="0" w:hanging="11"/>
        <w:jc w:val="left"/>
        <w:rPr>
          <w:caps w:val="false"/>
          <w:smallCaps w:val="false"/>
        </w:rPr>
      </w:pPr>
      <w:r>
        <w:rPr>
          <w:caps w:val="false"/>
          <w:smallCaps w:val="false"/>
        </w:rPr>
        <w:t> </w:t>
      </w:r>
    </w:p>
    <w:p>
      <w:pPr>
        <w:pStyle w:val="TextBody"/>
        <w:shd w:fill="FEFEFE" w:val="clear"/>
        <w:bidi w:val="0"/>
        <w:spacing w:before="0" w:after="0"/>
        <w:ind w:left="0" w:right="0" w:hanging="1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2017, Bitfarms is a global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pStyle w:val="TextBody"/>
        <w:shd w:fill="FEFEFE" w:val="clear"/>
        <w:bidi w:val="0"/>
        <w:spacing w:before="0" w:after="0"/>
        <w:ind w:left="0" w:right="0" w:hanging="11"/>
        <w:jc w:val="both"/>
        <w:rPr>
          <w:caps w:val="false"/>
          <w:smallCaps w:val="false"/>
        </w:rPr>
      </w:pPr>
      <w:r>
        <w:rPr>
          <w:caps w:val="false"/>
          <w:smallCaps w:val="false"/>
        </w:rPr>
        <w:t> </w:t>
      </w:r>
    </w:p>
    <w:p>
      <w:pPr>
        <w:pStyle w:val="TextBody"/>
        <w:bidi w:val="0"/>
        <w:spacing w:before="0" w:after="0"/>
        <w:ind w:left="0" w:right="0" w:hanging="11"/>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shd w:fill="FEFEFE" w:val="clear"/>
        <w:bidi w:val="0"/>
        <w:spacing w:before="0" w:after="0"/>
        <w:ind w:left="0" w:right="0" w:hanging="11"/>
        <w:jc w:val="both"/>
        <w:rPr>
          <w:caps w:val="false"/>
          <w:smallCaps w:val="false"/>
        </w:rPr>
      </w:pPr>
      <w:r>
        <w:rPr>
          <w:caps w:val="false"/>
          <w:smallCaps w:val="false"/>
        </w:rPr>
        <w:t> </w:t>
      </w:r>
    </w:p>
    <w:p>
      <w:pPr>
        <w:pStyle w:val="TextBody"/>
        <w:shd w:fill="FEFEFE" w:val="clear"/>
        <w:bidi w:val="0"/>
        <w:spacing w:before="0" w:after="0"/>
        <w:ind w:left="0" w:right="0" w:hanging="1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currently has 11 operating Bitcoin mining facilities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pStyle w:val="TextBody"/>
        <w:shd w:fill="FEFEFE" w:val="clear"/>
        <w:bidi w:val="0"/>
        <w:spacing w:before="0" w:after="0"/>
        <w:ind w:left="0" w:right="0" w:hanging="11"/>
        <w:jc w:val="left"/>
        <w:rPr>
          <w:caps w:val="false"/>
          <w:smallCaps w:val="false"/>
        </w:rPr>
      </w:pPr>
      <w:r>
        <w:rPr>
          <w:caps w:val="false"/>
          <w:smallCaps w:val="false"/>
        </w:rPr>
        <w:t> </w:t>
      </w:r>
    </w:p>
    <w:p>
      <w:pPr>
        <w:pStyle w:val="TextBody"/>
        <w:shd w:fill="FEFEFE" w:val="clear"/>
        <w:bidi w:val="0"/>
        <w:spacing w:before="0" w:after="0"/>
        <w:ind w:left="0" w:right="0" w:hanging="1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learn more about Bitfarms’ events, developments, and online communities:</w:t>
      </w:r>
    </w:p>
    <w:p>
      <w:pPr>
        <w:pStyle w:val="TextBody"/>
        <w:shd w:fill="FEFEFE" w:val="clear"/>
        <w:bidi w:val="0"/>
        <w:spacing w:before="0" w:after="0"/>
        <w:ind w:left="0" w:right="0" w:hanging="14"/>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www.bitfarms.com</w:t>
      </w:r>
    </w:p>
    <w:p>
      <w:pPr>
        <w:pStyle w:val="TextBody"/>
        <w:shd w:fill="FEFEFE" w:val="clear"/>
        <w:bidi w:val="0"/>
        <w:spacing w:before="0" w:after="0"/>
        <w:ind w:left="0" w:right="0" w:hanging="1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https://www.facebook.com/bitfarms/</w:t>
        <w:br/>
        <w:t>https://twitter.com/Bitfarms_io</w:t>
        <w:br/>
        <w:t>https://www.instagram.com/bitfarms/</w:t>
        <w:br/>
        <w:t>https://www.linkedin.com/company/bitfarms/</w:t>
      </w:r>
    </w:p>
    <w:p>
      <w:pPr>
        <w:pStyle w:val="TextBody"/>
        <w:shd w:fill="FEFEFE" w:val="clear"/>
        <w:bidi w:val="0"/>
        <w:spacing w:before="0" w:after="0"/>
        <w:jc w:val="both"/>
        <w:rPr>
          <w:caps w:val="false"/>
          <w:smallCaps w:val="false"/>
        </w:rPr>
      </w:pPr>
      <w:r>
        <w:rPr>
          <w:caps w:val="false"/>
          <w:smallCaps w:val="false"/>
        </w:rPr>
        <w:t> </w:t>
      </w:r>
    </w:p>
    <w:p>
      <w:pPr>
        <w:pStyle w:val="TextBody"/>
        <w:shd w:fill="FEFEFE"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Glossary of Terms</w:t>
      </w:r>
    </w:p>
    <w:p>
      <w:pPr>
        <w:pStyle w:val="TextBody"/>
        <w:shd w:fill="FEFEFE" w:val="clear"/>
        <w:bidi w:val="0"/>
        <w:spacing w:before="0" w:after="0"/>
        <w:jc w:val="both"/>
        <w:rPr>
          <w:caps w:val="false"/>
          <w:smallCaps w:val="false"/>
        </w:rPr>
      </w:pPr>
      <w:r>
        <w:rPr>
          <w:caps w:val="false"/>
          <w:smallCaps w:val="false"/>
        </w:rPr>
        <w:t> </w:t>
      </w:r>
    </w:p>
    <w:tbl>
      <w:tblPr>
        <w:tblW w:w="4698" w:type="dxa"/>
        <w:jc w:val="left"/>
        <w:tblInd w:w="0" w:type="dxa"/>
        <w:tblLayout w:type="fixed"/>
        <w:tblCellMar>
          <w:top w:w="0" w:type="dxa"/>
          <w:left w:w="0" w:type="dxa"/>
          <w:bottom w:w="0" w:type="dxa"/>
          <w:right w:w="0" w:type="dxa"/>
        </w:tblCellMar>
      </w:tblPr>
      <w:tblGrid>
        <w:gridCol w:w="38"/>
        <w:gridCol w:w="170"/>
        <w:gridCol w:w="4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EH or EH/s = Exahash or exahash per second</w:t>
            </w:r>
          </w:p>
        </w:tc>
      </w:tr>
    </w:tbl>
    <w:p>
      <w:pPr>
        <w:pStyle w:val="TextBody"/>
        <w:bidi w:val="0"/>
        <w:spacing w:before="0" w:after="0"/>
        <w:jc w:val="left"/>
        <w:rPr>
          <w:caps w:val="false"/>
          <w:smallCaps w:val="false"/>
        </w:rPr>
      </w:pPr>
      <w:r>
        <w:rPr>
          <w:caps w:val="false"/>
          <w:smallCaps w:val="false"/>
        </w:rPr>
        <w:t> </w:t>
      </w:r>
    </w:p>
    <w:tbl>
      <w:tblPr>
        <w:tblW w:w="8628" w:type="dxa"/>
        <w:jc w:val="left"/>
        <w:tblInd w:w="0" w:type="dxa"/>
        <w:tblLayout w:type="fixed"/>
        <w:tblCellMar>
          <w:top w:w="0" w:type="dxa"/>
          <w:left w:w="0" w:type="dxa"/>
          <w:bottom w:w="0" w:type="dxa"/>
          <w:right w:w="0" w:type="dxa"/>
        </w:tblCellMar>
      </w:tblPr>
      <w:tblGrid>
        <w:gridCol w:w="38"/>
        <w:gridCol w:w="170"/>
        <w:gridCol w:w="8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20"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w/TH = Watts/Terahash efficiency (includes cost of powering supplementary equipment)</w:t>
            </w:r>
          </w:p>
        </w:tc>
      </w:tr>
    </w:tbl>
    <w:p>
      <w:pPr>
        <w:pStyle w:val="TextBody"/>
        <w:shd w:fill="FEFEFE" w:val="clear"/>
        <w:bidi w:val="0"/>
        <w:spacing w:before="0" w:after="0"/>
        <w:jc w:val="both"/>
        <w:rPr>
          <w:caps w:val="false"/>
          <w:smallCaps w:val="false"/>
        </w:rPr>
      </w:pPr>
      <w:r>
        <w:rPr>
          <w:caps w:val="false"/>
          <w:smallCaps w:val="false"/>
        </w:rPr>
        <w:t> </w:t>
      </w:r>
    </w:p>
    <w:p>
      <w:pPr>
        <w:pStyle w:val="TextBody"/>
        <w:shd w:fill="FEFEFE"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Statement</w:t>
      </w:r>
    </w:p>
    <w:p>
      <w:pPr>
        <w:pStyle w:val="TextBody"/>
        <w:shd w:fill="FEFEFE" w:val="clear"/>
        <w:bidi w:val="0"/>
        <w:spacing w:before="0" w:after="0"/>
        <w:jc w:val="both"/>
        <w:rPr>
          <w:caps w:val="false"/>
          <w:smallCaps w:val="false"/>
        </w:rPr>
      </w:pPr>
      <w:r>
        <w:rPr>
          <w:caps w:val="false"/>
          <w:smallCaps w:val="false"/>
        </w:rPr>
        <w:t> </w:t>
      </w:r>
    </w:p>
    <w:p>
      <w:pPr>
        <w:pStyle w:val="TextBody"/>
        <w:shd w:fill="FEFEFE" w:val="clear"/>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pStyle w:val="TextBody"/>
        <w:shd w:fill="FEFEFE" w:val="clear"/>
        <w:bidi w:val="0"/>
        <w:spacing w:before="0" w:after="0"/>
        <w:jc w:val="both"/>
        <w:rPr>
          <w:caps w:val="false"/>
          <w:smallCaps w:val="false"/>
        </w:rPr>
      </w:pPr>
      <w:r>
        <w:rPr>
          <w:caps w:val="false"/>
          <w:smallCaps w:val="false"/>
        </w:rPr>
        <w:t> </w:t>
      </w:r>
    </w:p>
    <w:p>
      <w:pPr>
        <w:pStyle w:val="TextBody"/>
        <w:shd w:fill="FEFEFE"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shd w:fill="FEFEFE" w:val="clear"/>
        <w:bidi w:val="0"/>
        <w:spacing w:before="0" w:after="0"/>
        <w:jc w:val="both"/>
        <w:rPr>
          <w:caps w:val="false"/>
          <w:smallCaps w:val="false"/>
        </w:rPr>
      </w:pPr>
      <w:r>
        <w:rPr>
          <w:caps w:val="false"/>
          <w:smallCaps w:val="false"/>
        </w:rPr>
        <w:t> </w:t>
      </w:r>
    </w:p>
    <w:p>
      <w:pPr>
        <w:pStyle w:val="TextBody"/>
        <w:shd w:fill="FEFEFE" w:val="clear"/>
        <w:bidi w:val="0"/>
        <w:spacing w:before="0" w:after="0"/>
        <w:jc w:val="left"/>
        <w:rPr>
          <w:rFonts w:ascii="Times New Roman;Times;Serif" w:hAnsi="Times New Roman;Times;Serif"/>
          <w:b w:val="false"/>
          <w:i/>
          <w:caps w:val="false"/>
          <w:smallCaps w:val="false"/>
          <w:sz w:val="20"/>
          <w:shd w:fill="FEFEFE" w:val="clear"/>
        </w:rPr>
      </w:pPr>
      <w:r>
        <w:rPr>
          <w:rFonts w:ascii="Times New Roman;Times;Serif" w:hAnsi="Times New Roman;Times;Serif"/>
          <w:b w:val="false"/>
          <w:i/>
          <w:caps w:val="false"/>
          <w:smallCaps w:val="false"/>
          <w:sz w:val="20"/>
          <w:shd w:fill="FEFEFE" w:val="clear"/>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potential performance of new equipment purchases, projected growth, target hashrate, the benefits of upgrading and deployment of miners, the potential for improved financial performance and other statements regarding future growth, plans and objectives of the Company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pStyle w:val="TextBody"/>
        <w:shd w:fill="FEFEFE" w:val="clear"/>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shd w:fill="FEFEFE" w:val="clear"/>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shd w:fill="FEFEFE" w:val="clear"/>
        </w:rPr>
      </w:pPr>
      <w:r>
        <w:rPr>
          <w:rFonts w:ascii="Times New Roman;Times;Serif" w:hAnsi="Times New Roman;Times;Serif"/>
          <w:b w:val="false"/>
          <w:i/>
          <w:caps w:val="false"/>
          <w:smallCaps w:val="false"/>
          <w:sz w:val="20"/>
          <w:shd w:fill="FEFEFE" w:val="clear"/>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construction and operation of the Company’s facilities may not occur as currently planned, or at all; expansion (including through the addition of new miners)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including the Company’s ability to utilize the Company’s at-the-market equity offering program (the “ATM Program”) and the prices at which the Company may sell Common Shares in the ATM Program; any regulations or laws that will prevent Bitfarms from operating its business;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www.sec.gov/EDGAR), including the MD&amp;A for the year-ended December 31, 2023, filed on March 7, 2024.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contacts:</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Tracy Krumme (Bitfarms)</w:t>
      </w:r>
    </w:p>
    <w:p>
      <w:pPr>
        <w:pStyle w:val="TextBody"/>
        <w:shd w:fill="FFFFFF" w:val="clea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+1 786-671-5638</w:t>
      </w:r>
    </w:p>
    <w:p>
      <w:pPr>
        <w:pStyle w:val="TextBody"/>
        <w:shd w:fill="FFFFFF" w:val="clear"/>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tkrumme@bitfarms.com</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Barnard (LHA)</w:t>
      </w:r>
    </w:p>
    <w:p>
      <w:pPr>
        <w:pStyle w:val="TextBody"/>
        <w:shd w:fill="FFFFFF" w:val="clea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+1 415-433-3777</w:t>
      </w:r>
    </w:p>
    <w:p>
      <w:pPr>
        <w:pStyle w:val="TextBody"/>
        <w:shd w:fill="FFFFFF" w:val="clear"/>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Investors@bitfarms.com</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contacts:</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Agency</w:t>
      </w:r>
    </w:p>
    <w:p>
      <w:pPr>
        <w:pStyle w:val="TextBody"/>
        <w:shd w:fill="FFFFFF" w:val="clea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Khushboo Chaudhary</w:t>
        <w:br/>
        <w:t>+1 646-373-9946</w:t>
        <w:br/>
      </w:r>
      <w:r>
        <w:rPr>
          <w:rFonts w:ascii="Times New Roman;Times;Serif" w:hAnsi="Times New Roman;Times;Serif"/>
          <w:b/>
          <w:i w:val="false"/>
          <w:caps w:val="false"/>
          <w:smallCaps w:val="false"/>
          <w:sz w:val="20"/>
        </w:rPr>
        <w:t>mediarelations@bitfarms.com</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Québec Media: Tact</w:t>
      </w:r>
    </w:p>
    <w:p>
      <w:pPr>
        <w:pStyle w:val="TextBody"/>
        <w:shd w:fill="FFFFFF" w:val="clea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Louis-Martin Leclerc</w:t>
      </w:r>
    </w:p>
    <w:p>
      <w:pPr>
        <w:pStyle w:val="TextBody"/>
        <w:shd w:fill="FFFFFF" w:val="clea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+1 418-693-2425</w:t>
      </w:r>
    </w:p>
    <w:p>
      <w:pPr>
        <w:pStyle w:val="TextBody"/>
        <w:shd w:fill="FFFFFF" w:val="clear"/>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lmleclerc@tactconseil.ca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2477/000121390023052498/ea180981-f10_bitfarmsltd.htm" TargetMode="External"/><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1578</Words>
  <Characters>9284</Characters>
  <CharactersWithSpaces>10879</CharactersWithSpaces>
  <Paragraphs>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