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142875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156845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month of November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156845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156845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142875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110 Yonge Street, Suite 1601, Toronto, Ontario, Canada M5C 1T4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142875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jc w:val="center"/>
        <w:ind w:right="19"/>
        <w:spacing w:after="0" w:line="207" w:lineRule="exact"/>
        <w:tabs>
          <w:tab w:leader="none" w:pos="30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180340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206375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514985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09"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INCLUDED AS PART OF THIS FORM 6-K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November 20, 2024, the Registrant filed with the Canadian Securities Regulatory Authorities on the System for Electronic Data Analysis and Retrieval</w:t>
      </w:r>
    </w:p>
    <w:p>
      <w:pPr>
        <w:spacing w:after="0" w:line="27" w:lineRule="exact"/>
        <w:rPr>
          <w:sz w:val="20"/>
          <w:szCs w:val="20"/>
          <w:color w:val="auto"/>
        </w:rPr>
      </w:pPr>
    </w:p>
    <w:p>
      <w:pPr>
        <w:jc w:val="both"/>
        <w:ind w:right="120" w:firstLine="8"/>
        <w:spacing w:after="0" w:line="255" w:lineRule="auto"/>
        <w:tabs>
          <w:tab w:leader="none" w:pos="146"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(SEDAR +) a material change report that includes a copy of a press release, a copy of which is attached hereto as Exhibit 99.1, which is incorporated by reference into the Registration Statements of Bitfarms Ltd. on </w:t>
      </w:r>
      <w:hyperlink r:id="rId19">
        <w:r>
          <w:rPr>
            <w:rFonts w:ascii="Times New Roman" w:cs="Times New Roman" w:eastAsia="Times New Roman" w:hAnsi="Times New Roman"/>
            <w:sz w:val="18"/>
            <w:szCs w:val="18"/>
            <w:u w:val="single" w:color="auto"/>
            <w:color w:val="0000EE"/>
          </w:rPr>
          <w:t>Form F-10</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 No. 333-272989), </w:t>
      </w:r>
      <w:hyperlink r:id="rId20">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 No. 333-278868) and </w:t>
      </w:r>
      <w:hyperlink r:id="rId21">
        <w:r>
          <w:rPr>
            <w:rFonts w:ascii="Times New Roman" w:cs="Times New Roman" w:eastAsia="Times New Roman" w:hAnsi="Times New Roman"/>
            <w:sz w:val="18"/>
            <w:szCs w:val="18"/>
            <w:u w:val="single" w:color="auto"/>
            <w:color w:val="0000EE"/>
          </w:rPr>
          <w:t>Form F-4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333-282657).</w:t>
      </w:r>
    </w:p>
    <w:p>
      <w:pPr>
        <w:spacing w:after="0" w:line="186"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See the Exhibits listed below.</w:t>
      </w:r>
    </w:p>
    <w:p>
      <w:pPr>
        <w:spacing w:after="0" w:line="221" w:lineRule="exact"/>
        <w:rPr>
          <w:rFonts w:ascii="Times New Roman" w:cs="Times New Roman" w:eastAsia="Times New Roman" w:hAnsi="Times New Roman"/>
          <w:sz w:val="18"/>
          <w:szCs w:val="18"/>
          <w:color w:val="auto"/>
        </w:rPr>
      </w:pPr>
    </w:p>
    <w:tbl>
      <w:tblPr>
        <w:tblLayout w:type="fixed"/>
        <w:tblInd w:w="0" w:type="dxa"/>
        <w:tblCellMar>
          <w:top w:w="0" w:type="dxa"/>
          <w:left w:w="0" w:type="dxa"/>
          <w:bottom w:w="0" w:type="dxa"/>
          <w:right w:w="0" w:type="dxa"/>
        </w:tblCellMar>
      </w:tblPr>
      <w:tr>
        <w:trPr>
          <w:trHeight w:val="238"/>
        </w:trPr>
        <w:tc>
          <w:tcPr>
            <w:tcW w:w="11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3700" w:type="dxa"/>
            <w:vAlign w:val="bottom"/>
          </w:tcPr>
          <w:p>
            <w:pPr>
              <w:spacing w:after="0"/>
              <w:rPr>
                <w:sz w:val="20"/>
                <w:szCs w:val="20"/>
                <w:color w:val="auto"/>
              </w:rPr>
            </w:pPr>
          </w:p>
        </w:tc>
        <w:tc>
          <w:tcPr>
            <w:tcW w:w="6400" w:type="dxa"/>
            <w:vAlign w:val="bottom"/>
          </w:tcPr>
          <w:p>
            <w:pPr>
              <w:spacing w:after="0"/>
              <w:rPr>
                <w:sz w:val="20"/>
                <w:szCs w:val="20"/>
                <w:color w:val="auto"/>
              </w:rPr>
            </w:pPr>
          </w:p>
        </w:tc>
      </w:tr>
      <w:tr>
        <w:trPr>
          <w:trHeight w:val="453"/>
        </w:trPr>
        <w:tc>
          <w:tcPr>
            <w:tcW w:w="1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Exhibit No.</w:t>
            </w: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16"/>
        </w:trPr>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700" w:type="dxa"/>
            <w:vAlign w:val="bottom"/>
            <w:tcBorders>
              <w:top w:val="single" w:sz="8" w:color="auto"/>
            </w:tcBorders>
          </w:tcPr>
          <w:p>
            <w:pPr>
              <w:spacing w:after="0"/>
              <w:rPr>
                <w:sz w:val="18"/>
                <w:szCs w:val="18"/>
                <w:color w:val="auto"/>
              </w:rPr>
            </w:pPr>
          </w:p>
        </w:tc>
        <w:tc>
          <w:tcPr>
            <w:tcW w:w="6400" w:type="dxa"/>
            <w:vAlign w:val="bottom"/>
            <w:tcBorders>
              <w:top w:val="single" w:sz="8" w:color="auto"/>
            </w:tcBorders>
          </w:tcPr>
          <w:p>
            <w:pPr>
              <w:spacing w:after="0"/>
              <w:rPr>
                <w:sz w:val="18"/>
                <w:szCs w:val="18"/>
                <w:color w:val="auto"/>
              </w:rPr>
            </w:pPr>
          </w:p>
        </w:tc>
      </w:tr>
      <w:tr>
        <w:trPr>
          <w:trHeight w:val="196"/>
        </w:trPr>
        <w:tc>
          <w:tcPr>
            <w:tcW w:w="1020" w:type="dxa"/>
            <w:vAlign w:val="bottom"/>
            <w:tcBorders>
              <w:bottom w:val="single" w:sz="8" w:color="CCEEFF"/>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bottom w:val="single" w:sz="8" w:color="CCEEFF"/>
            </w:tcBorders>
            <w:shd w:val="clear" w:color="auto" w:fill="CCEEFF"/>
          </w:tcPr>
          <w:p>
            <w:pPr>
              <w:spacing w:after="0"/>
              <w:rPr>
                <w:sz w:val="17"/>
                <w:szCs w:val="17"/>
                <w:color w:val="auto"/>
              </w:rPr>
            </w:pPr>
          </w:p>
        </w:tc>
        <w:tc>
          <w:tcPr>
            <w:tcW w:w="3700" w:type="dxa"/>
            <w:vAlign w:val="bottom"/>
            <w:tcBorders>
              <w:bottom w:val="single" w:sz="8" w:color="0000EE"/>
              <w:right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Material Change Report dated November 20, 2024</w:t>
            </w:r>
          </w:p>
        </w:tc>
        <w:tc>
          <w:tcPr>
            <w:tcW w:w="6400" w:type="dxa"/>
            <w:vAlign w:val="bottom"/>
            <w:tcBorders>
              <w:bottom w:val="single" w:sz="8" w:color="CCEEFF"/>
            </w:tcBorders>
            <w:shd w:val="clear" w:color="auto" w:fill="CCEEFF"/>
          </w:tcPr>
          <w:p>
            <w:pPr>
              <w:spacing w:after="0"/>
              <w:rPr>
                <w:sz w:val="17"/>
                <w:szCs w:val="17"/>
                <w:color w:val="auto"/>
              </w:rPr>
            </w:pPr>
          </w:p>
        </w:tc>
      </w:tr>
      <w:tr>
        <w:trPr>
          <w:trHeight w:val="176"/>
        </w:trPr>
        <w:tc>
          <w:tcPr>
            <w:tcW w:w="10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99.2</w:t>
            </w:r>
          </w:p>
        </w:tc>
        <w:tc>
          <w:tcPr>
            <w:tcW w:w="120" w:type="dxa"/>
            <w:vAlign w:val="bottom"/>
          </w:tcPr>
          <w:p>
            <w:pPr>
              <w:spacing w:after="0"/>
              <w:rPr>
                <w:sz w:val="15"/>
                <w:szCs w:val="15"/>
                <w:color w:val="auto"/>
              </w:rPr>
            </w:pPr>
          </w:p>
        </w:tc>
        <w:tc>
          <w:tcPr>
            <w:tcW w:w="1010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0000EE"/>
              </w:rPr>
              <w:t>Report of Voting Results dated November 20, 2024</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700" w:type="dxa"/>
            <w:vAlign w:val="bottom"/>
            <w:tcBorders>
              <w:right w:val="single" w:sz="8" w:color="0000EE"/>
            </w:tcBorders>
            <w:shd w:val="clear" w:color="auto" w:fill="0000EE"/>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r>
    </w:tbl>
    <w:p>
      <w:pPr>
        <w:spacing w:after="0" w:line="200" w:lineRule="exact"/>
        <w:rPr>
          <w:rFonts w:ascii="Times New Roman" w:cs="Times New Roman" w:eastAsia="Times New Roman" w:hAnsi="Times New Roman"/>
          <w:sz w:val="18"/>
          <w:szCs w:val="18"/>
          <w:color w:val="auto"/>
        </w:rPr>
      </w:pPr>
    </w:p>
    <w:p>
      <w:pPr>
        <w:spacing w:after="0" w:line="268"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ind w:left="5120"/>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Ben Gagnon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21"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Ben Gagnon</w:t>
      </w:r>
    </w:p>
    <w:p>
      <w:pPr>
        <w:spacing w:after="0" w:line="23"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22, 2024</w:t>
      </w: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80"/>
          </w:cols>
          <w:pgMar w:left="320" w:top="904" w:right="12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51-102F3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MATERIAL CHANGE REPORT</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Name and Address of Company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 (“Bitfarms” or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110 Yonge Street, Suite 1601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Toronto, Ontario M5C 1T4</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Date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20, 2024</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3</w:t>
        <w:tab/>
        <w:t>News Release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press release attached as Schedule “A” was released on November 20, 2024 by a newswire company in Canada.</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Summary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change is described in the press release attached as Schedule “A”.</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Full Description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change is described in the press release attached as Schedule “A”.</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Reliance of subsection 7.1(2) of National Instrument 51-102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Omitted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 Gagnon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Bgagnon@bitfarms.com</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Date of Report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jc w:val="center"/>
        <w:ind w:right="-119"/>
        <w:spacing w:after="0"/>
        <w:rPr>
          <w:sz w:val="20"/>
          <w:szCs w:val="20"/>
          <w:color w:val="auto"/>
        </w:rPr>
      </w:pPr>
      <w:r>
        <w:rPr>
          <w:rFonts w:ascii="Times New Roman" w:cs="Times New Roman" w:eastAsia="Times New Roman" w:hAnsi="Times New Roman"/>
          <w:sz w:val="18"/>
          <w:szCs w:val="18"/>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2542540</wp:posOffset>
            </wp:positionH>
            <wp:positionV relativeFrom="paragraph">
              <wp:posOffset>17145</wp:posOffset>
            </wp:positionV>
            <wp:extent cx="2031365" cy="5314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203136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Bitfarms Announces Results of Special Meeting of Shareholders</w:t>
      </w:r>
    </w:p>
    <w:p>
      <w:pPr>
        <w:spacing w:after="0" w:line="229" w:lineRule="exact"/>
        <w:rPr>
          <w:sz w:val="20"/>
          <w:szCs w:val="20"/>
          <w:color w:val="auto"/>
        </w:rPr>
      </w:pPr>
    </w:p>
    <w:p>
      <w:pPr>
        <w:jc w:val="center"/>
        <w:ind w:left="3640" w:right="2260" w:hanging="1261"/>
        <w:spacing w:after="0" w:line="261" w:lineRule="auto"/>
        <w:tabs>
          <w:tab w:leader="none" w:pos="247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Bitfarms Board of Directors Increased to Six Members, Five of whom are Independent – -Andrew J. Chang Appointed as Independent Director-</w:t>
      </w:r>
    </w:p>
    <w:p>
      <w:pPr>
        <w:ind w:left="4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 Rights Plan Approved-</w:t>
      </w:r>
    </w:p>
    <w:p>
      <w:pPr>
        <w:spacing w:after="0" w:line="205"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This news release constitutes a “designated news release” for the purposes of the Company’s amended and restated prospectus supplement dated October 4, 2024, to its short form base shelf prospectus dated November 10, 2023.</w:t>
      </w:r>
    </w:p>
    <w:p>
      <w:pPr>
        <w:spacing w:after="0" w:line="156" w:lineRule="exact"/>
        <w:rPr>
          <w:sz w:val="20"/>
          <w:szCs w:val="20"/>
          <w:color w:val="auto"/>
        </w:rPr>
      </w:pPr>
    </w:p>
    <w:p>
      <w:pPr>
        <w:ind w:right="20" w:hanging="11"/>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Toronto, Ontario and Brossard, Québec (November 20, 2024) </w:t>
      </w:r>
      <w:r>
        <w:rPr>
          <w:rFonts w:ascii="Times New Roman" w:cs="Times New Roman" w:eastAsia="Times New Roman" w:hAnsi="Times New Roman"/>
          <w:sz w:val="18"/>
          <w:szCs w:val="18"/>
          <w:color w:val="auto"/>
        </w:rPr>
        <w:t>- Bitfarms Ltd. (NASDAQ/TSX: BITF) (“Bitfarms” or, the “Company”), a global leader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vertically integrated Bitcoin data center operations, today announced the results of its special meeting (the “Special Meeting”) of shareholders of the Company (the “Shareholders”), held virtually on November 20, 2024. A total of 230,227,376 common shares, representing 50.83% of the issued and outstanding common shares of the Company were represented at the Special Meeting.</w:t>
      </w:r>
    </w:p>
    <w:p>
      <w:pPr>
        <w:spacing w:after="0" w:line="180" w:lineRule="exact"/>
        <w:rPr>
          <w:sz w:val="20"/>
          <w:szCs w:val="20"/>
          <w:color w:val="auto"/>
        </w:rPr>
      </w:pPr>
    </w:p>
    <w:p>
      <w:pPr>
        <w:ind w:hanging="11"/>
        <w:spacing w:after="0" w:line="261" w:lineRule="auto"/>
        <w:rPr>
          <w:sz w:val="20"/>
          <w:szCs w:val="20"/>
          <w:color w:val="auto"/>
        </w:rPr>
      </w:pPr>
      <w:r>
        <w:rPr>
          <w:rFonts w:ascii="Times New Roman" w:cs="Times New Roman" w:eastAsia="Times New Roman" w:hAnsi="Times New Roman"/>
          <w:sz w:val="18"/>
          <w:szCs w:val="18"/>
          <w:color w:val="auto"/>
        </w:rPr>
        <w:t>Pursuant to a settlement agreement between the Company and Riot Platforms, Inc. dated September 23, 2024 (the “Settlement Agreement”), at the Special Meeting, shareholders were asked: (i) to approve an expansion of the board of directors (the “Board”) from five members to six members, (ii) to elect an independent director nominated by the Board to serve as the sixth member of the Board, and (iii) to ratify the Company’s shareholder rights plan adopted on July 24, 2024. More details regarding the Settlement Agreement may be found in the press release of the Company dated September 23, 2024.</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the proxies received and the votes cast at the Special Meeting, Shareholders voted “For” the following:</w:t>
      </w:r>
    </w:p>
    <w:p>
      <w:pPr>
        <w:spacing w:after="0" w:line="225" w:lineRule="exact"/>
        <w:rPr>
          <w:sz w:val="20"/>
          <w:szCs w:val="20"/>
          <w:color w:val="auto"/>
        </w:rPr>
      </w:pPr>
    </w:p>
    <w:p>
      <w:pPr>
        <w:ind w:left="660" w:hanging="32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expansion of the Board from five members to six members, with votes “For” totaling 225,261,549 common shares, representing 97.84% of the votes cast, and votes “Against” totaling 4,965,822 common shares, or 2.16% (proxies representing a total of 5 common shares were not voted in respect of this item of business);</w:t>
      </w:r>
    </w:p>
    <w:p>
      <w:pPr>
        <w:spacing w:after="0" w:line="175" w:lineRule="exact"/>
        <w:rPr>
          <w:rFonts w:ascii="Times New Roman" w:cs="Times New Roman" w:eastAsia="Times New Roman" w:hAnsi="Times New Roman"/>
          <w:sz w:val="18"/>
          <w:szCs w:val="18"/>
          <w:color w:val="auto"/>
        </w:rPr>
      </w:pPr>
    </w:p>
    <w:p>
      <w:pPr>
        <w:jc w:val="both"/>
        <w:ind w:left="660" w:right="40" w:hanging="32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Andrew J. Chang as Independent Director with votes “For” totaling 159,301,723 (98.65%) common shares and votes “Withheld” totaling 2,172,110 common shares (proxies representing a total of 68,753,543 common shares were not voted in respect of this item of business); and</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ratification of the Company’s shareholder rights plan adopted on July 4, 2024, with votes “For” totaling 159,185,101 common shares</w:t>
      </w:r>
    </w:p>
    <w:p>
      <w:pPr>
        <w:spacing w:after="0" w:line="27" w:lineRule="exact"/>
        <w:rPr>
          <w:rFonts w:ascii="Times New Roman" w:cs="Times New Roman" w:eastAsia="Times New Roman" w:hAnsi="Times New Roman"/>
          <w:sz w:val="18"/>
          <w:szCs w:val="18"/>
          <w:color w:val="auto"/>
        </w:rPr>
      </w:pPr>
    </w:p>
    <w:p>
      <w:pPr>
        <w:ind w:left="660" w:right="20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(98.58%) and votes “Against” totaling 2,288,734 common shares (1.42%) (proxies representing a total of 68,753,541 common shares were not voted in respect of this item of business).</w:t>
      </w:r>
    </w:p>
    <w:p>
      <w:pPr>
        <w:spacing w:after="0" w:line="39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904"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Appointment of Andrew J. Chang to Bitfarms Board of Directors</w:t>
      </w:r>
    </w:p>
    <w:p>
      <w:pPr>
        <w:spacing w:after="0" w:line="229" w:lineRule="exact"/>
        <w:rPr>
          <w:sz w:val="20"/>
          <w:szCs w:val="20"/>
          <w:color w:val="auto"/>
        </w:rPr>
      </w:pPr>
    </w:p>
    <w:p>
      <w:pPr>
        <w:ind w:hanging="11"/>
        <w:spacing w:after="0" w:line="258" w:lineRule="auto"/>
        <w:rPr>
          <w:sz w:val="20"/>
          <w:szCs w:val="20"/>
          <w:color w:val="auto"/>
        </w:rPr>
      </w:pPr>
      <w:r>
        <w:rPr>
          <w:rFonts w:ascii="Times New Roman" w:cs="Times New Roman" w:eastAsia="Times New Roman" w:hAnsi="Times New Roman"/>
          <w:sz w:val="18"/>
          <w:szCs w:val="18"/>
          <w:color w:val="auto"/>
        </w:rPr>
        <w:t>Mr. Chang is a 20-year veteran of the technology industry with experience as an investor, operating executive, entrepreneur, and advisor. He was a founding partner of Liberty City Ventures, a leading venture capital fund. Mr. Chang also served as Chief Operating Officer of Paxos, a blockchain infrastructure platform that has powered solutions for PayPal, Stripe, and more. At Paxos, he helped grow the team from 8 to 190 employees and launched the first regulated blockchain focused trust company and the first regulated stablecoin in the U.S. During that time, Paxos raised $500M in capital and its most recent valuation is $2.4 billion.</w:t>
      </w:r>
    </w:p>
    <w:p>
      <w:pPr>
        <w:spacing w:after="0" w:line="183" w:lineRule="exact"/>
        <w:rPr>
          <w:sz w:val="20"/>
          <w:szCs w:val="20"/>
          <w:color w:val="auto"/>
        </w:rPr>
      </w:pPr>
    </w:p>
    <w:p>
      <w:pPr>
        <w:ind w:right="240" w:hanging="11"/>
        <w:spacing w:after="0" w:line="266" w:lineRule="auto"/>
        <w:rPr>
          <w:sz w:val="20"/>
          <w:szCs w:val="20"/>
          <w:color w:val="auto"/>
        </w:rPr>
      </w:pPr>
      <w:r>
        <w:rPr>
          <w:rFonts w:ascii="Times New Roman" w:cs="Times New Roman" w:eastAsia="Times New Roman" w:hAnsi="Times New Roman"/>
          <w:sz w:val="18"/>
          <w:szCs w:val="18"/>
          <w:color w:val="auto"/>
        </w:rPr>
        <w:t>Before joining Paxos, Andrew served as a Lead Strategic Partner Development Manager at Google, working in business development for display ad products. Prior to that, he was the Chief Operating Officer of ConditionOne and an associate at TechStars (New York). He also has experience managing innovation in research, analytics and digital media at WPP PLC-owned Kantar Video and at 360i, a digital marketing agency.</w:t>
      </w:r>
    </w:p>
    <w:p>
      <w:pPr>
        <w:spacing w:after="0" w:line="176" w:lineRule="exact"/>
        <w:rPr>
          <w:sz w:val="20"/>
          <w:szCs w:val="20"/>
          <w:color w:val="auto"/>
        </w:rPr>
      </w:pPr>
    </w:p>
    <w:p>
      <w:pPr>
        <w:ind w:right="280" w:hanging="11"/>
        <w:spacing w:after="0" w:line="282" w:lineRule="auto"/>
        <w:rPr>
          <w:sz w:val="20"/>
          <w:szCs w:val="20"/>
          <w:color w:val="auto"/>
        </w:rPr>
      </w:pPr>
      <w:r>
        <w:rPr>
          <w:rFonts w:ascii="Times New Roman" w:cs="Times New Roman" w:eastAsia="Times New Roman" w:hAnsi="Times New Roman"/>
          <w:sz w:val="18"/>
          <w:szCs w:val="18"/>
          <w:color w:val="auto"/>
        </w:rPr>
        <w:t>Andrew earned his MBA from New York University’s Leonard N. Stern School of Business, where he was President of the student body, and a BS from Boston College.</w:t>
      </w:r>
    </w:p>
    <w:p>
      <w:pPr>
        <w:spacing w:after="0" w:line="162" w:lineRule="exact"/>
        <w:rPr>
          <w:sz w:val="20"/>
          <w:szCs w:val="20"/>
          <w:color w:val="auto"/>
        </w:rPr>
      </w:pPr>
    </w:p>
    <w:p>
      <w:pPr>
        <w:ind w:right="540"/>
        <w:spacing w:after="0" w:line="312" w:lineRule="auto"/>
        <w:rPr>
          <w:sz w:val="20"/>
          <w:szCs w:val="20"/>
          <w:color w:val="auto"/>
        </w:rPr>
      </w:pPr>
      <w:r>
        <w:rPr>
          <w:rFonts w:ascii="Times New Roman" w:cs="Times New Roman" w:eastAsia="Times New Roman" w:hAnsi="Times New Roman"/>
          <w:sz w:val="17"/>
          <w:szCs w:val="17"/>
          <w:color w:val="auto"/>
        </w:rPr>
        <w:t>“Bitfarms has built an impressive operation in Bitcoin mining, and I’m thrilled to work with the Board to define the Company’s next chapter,” stated incoming Independent Director Andrew Chang. “There are incredible growth opportunities ahead and Bitfarms is well-positioned for success.”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7132320" cy="4114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-116840</wp:posOffset>
            </wp:positionV>
            <wp:extent cx="7123430" cy="17830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7123430" cy="1783080"/>
                    </a:xfrm>
                    <a:prstGeom prst="rect">
                      <a:avLst/>
                    </a:prstGeom>
                    <a:noFill/>
                  </pic:spPr>
                </pic:pic>
              </a:graphicData>
            </a:graphic>
          </wp:anchor>
        </w:drawing>
      </w:r>
    </w:p>
    <w:p>
      <w:pPr>
        <w:spacing w:after="0" w:line="209" w:lineRule="exact"/>
        <w:rPr>
          <w:sz w:val="20"/>
          <w:szCs w:val="20"/>
          <w:color w:val="auto"/>
        </w:rPr>
      </w:pPr>
    </w:p>
    <w:p>
      <w:pPr>
        <w:ind w:left="20" w:right="180" w:hanging="9"/>
        <w:spacing w:after="0" w:line="261" w:lineRule="auto"/>
        <w:rPr>
          <w:sz w:val="20"/>
          <w:szCs w:val="20"/>
          <w:color w:val="auto"/>
        </w:rPr>
      </w:pPr>
      <w:r>
        <w:rPr>
          <w:rFonts w:ascii="Times New Roman" w:cs="Times New Roman" w:eastAsia="Times New Roman" w:hAnsi="Times New Roman"/>
          <w:sz w:val="18"/>
          <w:szCs w:val="18"/>
          <w:color w:val="auto"/>
        </w:rPr>
        <w:t>Founded in 2017, Bitfarms is a global vertically integrated Bitcoin data center company that contributes its computational power to one or more mining pools from which it receives payment in Bitcoin. Bitfarms develops, owns, and operates vertically integrated mining facilities with in-house management and company-owned electrical engineering, installation service, and multiple onsite technical repair centers. The Company’s proprietary data analytics system delivers best-in-class operational performance and uptime.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currently has 12 operating Bitcoin data centers and two under development, as well as hosting agreements with two data centers, in four countries: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Canada, the United States, Paraguay, and Argentina. Powered predominantly by environmentally friendly hydro-electric and long-term power contracts,</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Bitfarms is committed to using sustainable and often underutilized energy infrastructure.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learn more about Bitfarms’ events, developments, and online communities: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www.bitfarms.com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7123430" cy="6858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extLst>
                    </a:blip>
                    <a:srcRect/>
                    <a:stretch>
                      <a:fillRect/>
                    </a:stretch>
                  </pic:blipFill>
                  <pic:spPr bwMode="auto">
                    <a:xfrm>
                      <a:off x="0" y="0"/>
                      <a:ext cx="7123430" cy="68580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https://www.facebook.com/bitfarms/</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https://twitter.com/Bitfarms_io</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https://www.instagram.com/bitfarms/</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https://www.linkedin.com/company/bitfarms/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216535</wp:posOffset>
            </wp:positionH>
            <wp:positionV relativeFrom="page">
              <wp:posOffset>448945</wp:posOffset>
            </wp:positionV>
            <wp:extent cx="712343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extLst>
                    </a:blip>
                    <a:srcRect/>
                    <a:stretch>
                      <a:fillRect/>
                    </a:stretch>
                  </pic:blipFill>
                  <pic:spPr bwMode="auto">
                    <a:xfrm>
                      <a:off x="0" y="0"/>
                      <a:ext cx="7123430" cy="137160"/>
                    </a:xfrm>
                    <a:prstGeom prst="rect">
                      <a:avLst/>
                    </a:prstGeom>
                    <a:noFill/>
                  </pic:spPr>
                </pic:pic>
              </a:graphicData>
            </a:graphic>
          </wp:anchor>
        </w:drawing>
        <w:t>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6459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extLst>
                    </a:blip>
                    <a:srcRect/>
                    <a:stretch>
                      <a:fillRect/>
                    </a:stretch>
                  </pic:blipFill>
                  <pic:spPr bwMode="auto">
                    <a:xfrm>
                      <a:off x="0" y="0"/>
                      <a:ext cx="7132320" cy="1645920"/>
                    </a:xfrm>
                    <a:prstGeom prst="rect">
                      <a:avLst/>
                    </a:prstGeom>
                    <a:noFill/>
                  </pic:spPr>
                </pic:pic>
              </a:graphicData>
            </a:graphic>
          </wp:anchor>
        </w:drawing>
      </w:r>
    </w:p>
    <w:p>
      <w:pPr>
        <w:spacing w:after="0" w:line="20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This news release contains certain “forward-looking information” and “forward-looking statements” (collectively, “forward-looking information”) that are based on expectations, estimates and projections as at the date of this news release and are covered by safe harbors under Canadian and United States securities laws. The statements and information in this release regarding holding the Special Meeting and the approval of the matters put before the Company’s shareholders at the Special Meeting are forward-looking information.</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“prospects”, “believes” or “intends” or variations of such words and phrases or stating that certain actions, events or results “may” or “could”, “would”, “might” or “will” be taken to occur or be achieved) are not statements of historical fact and may be forward-looking information.</w:t>
      </w:r>
    </w:p>
    <w:p>
      <w:pPr>
        <w:spacing w:after="0" w:line="183"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i w:val="1"/>
          <w:iCs w:val="1"/>
          <w:color w:val="auto"/>
        </w:rPr>
        <w:t>This forward-looking information is based on assumptions and estimates of management of Bitfarms at the time they were made, and involves known and unknown risks, uncertainties and other factors which may cause the actual results, performance, or achievements of Bitfarms to be materially different from any future results, performance or achievements expressed or implied by such forward-looking information. Such factors include, among others, risks relating to: the impact on the Company of new board members; the construction and operation of new facilities may not occur as currently planned, or at all; expansion of existing facilities may not materialize as currently anticipated, or at all; new miners may not perform up to expectations; revenue may not increase as currently anticipated, or at all; the ongoing ability to successfully mine Bitcoin is not assured; failure of the equipment upgrades to be installed and operated as planned; the availability of additional power may not occur as currently planned, or at all; expansion may not materialize as currently anticipated, or at all; and the power purchase agreements and economics thereof may not be as advantageous as expected. For further information concerning these and other risks and uncertainties, refer to Bitfarms’ filings on www.sedarplus.ca (which are also available on the website of the U.S. Securities and Exchange Commission (the “SEC”) at www.sec.gov), including the MD&amp;A for the year-ended December 31, 2023, filed on March 7, 2024 and the MD&amp;A for the three and nine months ended September 30, 2024 filed on November 13, 2024, and its registration statement on Form F-4 (File No.</w:t>
      </w:r>
    </w:p>
    <w:p>
      <w:pPr>
        <w:spacing w:after="0" w:line="4"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i w:val="1"/>
          <w:iCs w:val="1"/>
          <w:color w:val="auto"/>
        </w:rPr>
        <w:t>333-282657) filed by Bitfarms with the SEC (the “registration statement”), which includes a proxy statement of Stronghold Digital Mining, Inc. (Nasdaq: SDIG) (“Stronghold”) that also constitutes a prospectus of Bitfarms (the “proxy statement/prospectus”). Although Bitfarms has attempted to identify important factors that could cause actual results to differ materially from those expressed in forward-looking statements, there may be other factors that cause results not to be as anticipated, estimated or intended, including factors that are currently unknown to or deemed immaterial by Bitfarms. There can be no assurance that such statements will prove to be accurate as actual results, and future events could differ materially from those anticipated in such statements. Accordingly, readers should not place undue reliance on any forward-looking information. Bitfarms does not undertake any obligation to revise or update any forward-looking information other than as required by law. Trading in the securities of the Company should be considered highly speculative. No stock exchange, securities commission or other regulatory authority has approved or disapproved the information contained herein. Neither the Toronto Stock Exchange, Nasdaq, or any other securities exchange or regulatory authority accepts responsibility for the adequacy or accuracy of this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32320" cy="2057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extLst>
                    </a:blip>
                    <a:srcRect/>
                    <a:stretch>
                      <a:fillRect/>
                    </a:stretch>
                  </pic:blipFill>
                  <pic:spPr bwMode="auto">
                    <a:xfrm>
                      <a:off x="0" y="0"/>
                      <a:ext cx="7132320" cy="2057400"/>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Bitfarms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Tracy Krumme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SVP, Head of IR &amp; Corp. Comms.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+1 786-671-5638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tkrumme@bitfarms.com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Québec: 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Louis-Martin Leclerc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+1 418-693-2425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lmleclerc@tactconseil.ca</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22"/>
          <w:szCs w:val="22"/>
          <w:b w:val="1"/>
          <w:bCs w:val="1"/>
          <w:color w:val="auto"/>
        </w:rPr>
        <w:t>Exhibit 99.2</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Meeting of Shareholders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November 20,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on Voting Results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11.3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National Instrument 51-102 – </w:t>
      </w:r>
      <w:r>
        <w:rPr>
          <w:rFonts w:ascii="Times New Roman" w:cs="Times New Roman" w:eastAsia="Times New Roman" w:hAnsi="Times New Roman"/>
          <w:sz w:val="18"/>
          <w:szCs w:val="18"/>
          <w:i w:val="1"/>
          <w:iCs w:val="1"/>
          <w:color w:val="auto"/>
        </w:rPr>
        <w:t>Continuous Disclosure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right="400"/>
        <w:spacing w:after="0" w:line="268" w:lineRule="auto"/>
        <w:rPr>
          <w:sz w:val="20"/>
          <w:szCs w:val="20"/>
          <w:color w:val="auto"/>
        </w:rPr>
      </w:pPr>
      <w:r>
        <w:rPr>
          <w:rFonts w:ascii="Times New Roman" w:cs="Times New Roman" w:eastAsia="Times New Roman" w:hAnsi="Times New Roman"/>
          <w:sz w:val="18"/>
          <w:szCs w:val="18"/>
          <w:color w:val="auto"/>
        </w:rPr>
        <w:t>A special meeting (the “</w:t>
      </w:r>
      <w:r>
        <w:rPr>
          <w:rFonts w:ascii="Times New Roman" w:cs="Times New Roman" w:eastAsia="Times New Roman" w:hAnsi="Times New Roman"/>
          <w:sz w:val="18"/>
          <w:szCs w:val="18"/>
          <w:b w:val="1"/>
          <w:bCs w:val="1"/>
          <w:color w:val="auto"/>
        </w:rPr>
        <w:t>Meeting</w:t>
      </w:r>
      <w:r>
        <w:rPr>
          <w:rFonts w:ascii="Times New Roman" w:cs="Times New Roman" w:eastAsia="Times New Roman" w:hAnsi="Times New Roman"/>
          <w:sz w:val="18"/>
          <w:szCs w:val="18"/>
          <w:color w:val="auto"/>
        </w:rPr>
        <w:t>”) of shareholders (the “</w:t>
      </w:r>
      <w:r>
        <w:rPr>
          <w:rFonts w:ascii="Times New Roman" w:cs="Times New Roman" w:eastAsia="Times New Roman" w:hAnsi="Times New Roman"/>
          <w:sz w:val="18"/>
          <w:szCs w:val="18"/>
          <w:b w:val="1"/>
          <w:bCs w:val="1"/>
          <w:color w:val="auto"/>
        </w:rPr>
        <w:t>Shareholders</w:t>
      </w:r>
      <w:r>
        <w:rPr>
          <w:rFonts w:ascii="Times New Roman" w:cs="Times New Roman" w:eastAsia="Times New Roman" w:hAnsi="Times New Roman"/>
          <w:sz w:val="18"/>
          <w:szCs w:val="18"/>
          <w:color w:val="auto"/>
        </w:rPr>
        <w:t>”) of Bitfarms Ltd.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was held on November 20, 2024. Shareholders holding an aggregate of 230,227,376 common shares of the Company (“</w:t>
      </w:r>
      <w:r>
        <w:rPr>
          <w:rFonts w:ascii="Times New Roman" w:cs="Times New Roman" w:eastAsia="Times New Roman" w:hAnsi="Times New Roman"/>
          <w:sz w:val="18"/>
          <w:szCs w:val="18"/>
          <w:b w:val="1"/>
          <w:bCs w:val="1"/>
          <w:color w:val="auto"/>
        </w:rPr>
        <w:t>Common Shares</w:t>
      </w:r>
      <w:r>
        <w:rPr>
          <w:rFonts w:ascii="Times New Roman" w:cs="Times New Roman" w:eastAsia="Times New Roman" w:hAnsi="Times New Roman"/>
          <w:sz w:val="18"/>
          <w:szCs w:val="18"/>
          <w:color w:val="auto"/>
        </w:rPr>
        <w:t>”), being 50.83% of the issued and outstanding Common Shares as of the record date of October 17, 2024, were present or represented by proxy at the Meeting.</w:t>
      </w:r>
    </w:p>
    <w:p>
      <w:pPr>
        <w:spacing w:after="0" w:line="171"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Number of Directors</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Based on the proxies received and the votes at the Meeting, Shareholders voted in favor of increasing the number of directors of the Company from five to six. The outcome of the vote was as follows:</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3180" w:type="dxa"/>
            <w:vAlign w:val="bottom"/>
            <w:tcBorders>
              <w:top w:val="single" w:sz="8" w:color="auto"/>
              <w:left w:val="single" w:sz="8" w:color="auto"/>
              <w:bottom w:val="single" w:sz="8" w:color="auto"/>
              <w:right w:val="single" w:sz="8" w:color="auto"/>
            </w:tcBorders>
          </w:tcPr>
          <w:p>
            <w:pPr>
              <w:ind w:left="1140"/>
              <w:spacing w:after="0"/>
              <w:rPr>
                <w:sz w:val="20"/>
                <w:szCs w:val="20"/>
                <w:color w:val="auto"/>
              </w:rPr>
            </w:pPr>
            <w:r>
              <w:rPr>
                <w:rFonts w:ascii="Times New Roman" w:cs="Times New Roman" w:eastAsia="Times New Roman" w:hAnsi="Times New Roman"/>
                <w:sz w:val="18"/>
                <w:szCs w:val="18"/>
                <w:b w:val="1"/>
                <w:bCs w:val="1"/>
                <w:color w:val="auto"/>
              </w:rPr>
              <w:t>Votes For (#)</w:t>
            </w:r>
          </w:p>
        </w:tc>
        <w:tc>
          <w:tcPr>
            <w:tcW w:w="28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Votes Against (#)</w:t>
            </w:r>
          </w:p>
        </w:tc>
        <w:tc>
          <w:tcPr>
            <w:tcW w:w="25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Votes For (%)</w:t>
            </w:r>
          </w:p>
        </w:tc>
        <w:tc>
          <w:tcPr>
            <w:tcW w:w="26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Against (%)</w:t>
            </w:r>
          </w:p>
        </w:tc>
      </w:tr>
      <w:tr>
        <w:trPr>
          <w:trHeight w:val="209"/>
        </w:trPr>
        <w:tc>
          <w:tcPr>
            <w:tcW w:w="3180" w:type="dxa"/>
            <w:vAlign w:val="bottom"/>
            <w:tcBorders>
              <w:left w:val="single" w:sz="8" w:color="auto"/>
              <w:bottom w:val="single" w:sz="8" w:color="auto"/>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225,261,549</w:t>
            </w:r>
          </w:p>
        </w:tc>
        <w:tc>
          <w:tcPr>
            <w:tcW w:w="2800" w:type="dxa"/>
            <w:vAlign w:val="bottom"/>
            <w:tcBorders>
              <w:bottom w:val="single" w:sz="8" w:color="auto"/>
              <w:right w:val="single" w:sz="8" w:color="auto"/>
            </w:tcBorders>
          </w:tcPr>
          <w:p>
            <w:pPr>
              <w:jc w:val="right"/>
              <w:ind w:right="970"/>
              <w:spacing w:after="0"/>
              <w:rPr>
                <w:sz w:val="20"/>
                <w:szCs w:val="20"/>
                <w:color w:val="auto"/>
              </w:rPr>
            </w:pPr>
            <w:r>
              <w:rPr>
                <w:rFonts w:ascii="Times New Roman" w:cs="Times New Roman" w:eastAsia="Times New Roman" w:hAnsi="Times New Roman"/>
                <w:sz w:val="18"/>
                <w:szCs w:val="18"/>
                <w:color w:val="auto"/>
              </w:rPr>
              <w:t>4,965,822</w:t>
            </w:r>
          </w:p>
        </w:tc>
        <w:tc>
          <w:tcPr>
            <w:tcW w:w="2580" w:type="dxa"/>
            <w:vAlign w:val="bottom"/>
            <w:tcBorders>
              <w:bottom w:val="single" w:sz="8" w:color="auto"/>
              <w:right w:val="single" w:sz="8" w:color="auto"/>
            </w:tcBorders>
          </w:tcPr>
          <w:p>
            <w:pPr>
              <w:jc w:val="right"/>
              <w:ind w:right="1010"/>
              <w:spacing w:after="0"/>
              <w:rPr>
                <w:sz w:val="20"/>
                <w:szCs w:val="20"/>
                <w:color w:val="auto"/>
              </w:rPr>
            </w:pPr>
            <w:r>
              <w:rPr>
                <w:rFonts w:ascii="Times New Roman" w:cs="Times New Roman" w:eastAsia="Times New Roman" w:hAnsi="Times New Roman"/>
                <w:sz w:val="18"/>
                <w:szCs w:val="18"/>
                <w:color w:val="auto"/>
              </w:rPr>
              <w:t>97.84</w:t>
            </w:r>
          </w:p>
        </w:tc>
        <w:tc>
          <w:tcPr>
            <w:tcW w:w="2680" w:type="dxa"/>
            <w:vAlign w:val="bottom"/>
            <w:tcBorders>
              <w:bottom w:val="single" w:sz="8" w:color="auto"/>
              <w:right w:val="single" w:sz="8" w:color="auto"/>
            </w:tcBorders>
          </w:tcPr>
          <w:p>
            <w:pPr>
              <w:jc w:val="right"/>
              <w:ind w:right="1110"/>
              <w:spacing w:after="0"/>
              <w:rPr>
                <w:sz w:val="20"/>
                <w:szCs w:val="20"/>
                <w:color w:val="auto"/>
              </w:rPr>
            </w:pPr>
            <w:r>
              <w:rPr>
                <w:rFonts w:ascii="Times New Roman" w:cs="Times New Roman" w:eastAsia="Times New Roman" w:hAnsi="Times New Roman"/>
                <w:sz w:val="18"/>
                <w:szCs w:val="18"/>
                <w:color w:val="auto"/>
              </w:rPr>
              <w:t>2.16</w:t>
            </w:r>
          </w:p>
        </w:tc>
      </w:tr>
    </w:tbl>
    <w:p>
      <w:pPr>
        <w:spacing w:after="0"/>
        <w:rPr>
          <w:sz w:val="20"/>
          <w:szCs w:val="20"/>
          <w:color w:val="auto"/>
        </w:rPr>
      </w:pPr>
      <w:r>
        <w:rPr>
          <w:rFonts w:ascii="Times New Roman" w:cs="Times New Roman" w:eastAsia="Times New Roman" w:hAnsi="Times New Roman"/>
          <w:sz w:val="18"/>
          <w:szCs w:val="18"/>
          <w:color w:val="auto"/>
        </w:rPr>
        <w:t>Notes:</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 5 shares represented by proxy were not voted on this item of business.</w:t>
      </w:r>
    </w:p>
    <w:p>
      <w:pPr>
        <w:spacing w:after="0" w:line="203"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Election of Director</w:t>
      </w:r>
    </w:p>
    <w:p>
      <w:pPr>
        <w:spacing w:after="0" w:line="229"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Based on the proxies received and the votes at the Meeting, Shareholders voted in favor of electing Andrew J. Chang to the board of directors. The outcome of the vote was as follows:</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3180" w:type="dxa"/>
            <w:vAlign w:val="bottom"/>
            <w:tcBorders>
              <w:top w:val="single" w:sz="8" w:color="auto"/>
              <w:left w:val="single" w:sz="8" w:color="auto"/>
              <w:bottom w:val="single" w:sz="8" w:color="auto"/>
              <w:right w:val="single" w:sz="8" w:color="auto"/>
            </w:tcBorders>
          </w:tcPr>
          <w:p>
            <w:pPr>
              <w:ind w:left="1140"/>
              <w:spacing w:after="0"/>
              <w:rPr>
                <w:sz w:val="20"/>
                <w:szCs w:val="20"/>
                <w:color w:val="auto"/>
              </w:rPr>
            </w:pPr>
            <w:r>
              <w:rPr>
                <w:rFonts w:ascii="Times New Roman" w:cs="Times New Roman" w:eastAsia="Times New Roman" w:hAnsi="Times New Roman"/>
                <w:sz w:val="18"/>
                <w:szCs w:val="18"/>
                <w:b w:val="1"/>
                <w:bCs w:val="1"/>
                <w:color w:val="auto"/>
              </w:rPr>
              <w:t>Votes For (#)</w:t>
            </w:r>
          </w:p>
        </w:tc>
        <w:tc>
          <w:tcPr>
            <w:tcW w:w="28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Votes Against (#)</w:t>
            </w:r>
          </w:p>
        </w:tc>
        <w:tc>
          <w:tcPr>
            <w:tcW w:w="25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Votes For (%)</w:t>
            </w:r>
          </w:p>
        </w:tc>
        <w:tc>
          <w:tcPr>
            <w:tcW w:w="26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Against (%)</w:t>
            </w:r>
          </w:p>
        </w:tc>
      </w:tr>
      <w:tr>
        <w:trPr>
          <w:trHeight w:val="210"/>
        </w:trPr>
        <w:tc>
          <w:tcPr>
            <w:tcW w:w="3180" w:type="dxa"/>
            <w:vAlign w:val="bottom"/>
            <w:tcBorders>
              <w:left w:val="single" w:sz="8" w:color="auto"/>
              <w:bottom w:val="single" w:sz="8" w:color="auto"/>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159,301,723</w:t>
            </w:r>
          </w:p>
        </w:tc>
        <w:tc>
          <w:tcPr>
            <w:tcW w:w="2800" w:type="dxa"/>
            <w:vAlign w:val="bottom"/>
            <w:tcBorders>
              <w:bottom w:val="single" w:sz="8" w:color="auto"/>
              <w:right w:val="single" w:sz="8" w:color="auto"/>
            </w:tcBorders>
          </w:tcPr>
          <w:p>
            <w:pPr>
              <w:jc w:val="right"/>
              <w:ind w:right="970"/>
              <w:spacing w:after="0"/>
              <w:rPr>
                <w:sz w:val="20"/>
                <w:szCs w:val="20"/>
                <w:color w:val="auto"/>
              </w:rPr>
            </w:pPr>
            <w:r>
              <w:rPr>
                <w:rFonts w:ascii="Times New Roman" w:cs="Times New Roman" w:eastAsia="Times New Roman" w:hAnsi="Times New Roman"/>
                <w:sz w:val="18"/>
                <w:szCs w:val="18"/>
                <w:color w:val="auto"/>
              </w:rPr>
              <w:t>2,172,110</w:t>
            </w:r>
          </w:p>
        </w:tc>
        <w:tc>
          <w:tcPr>
            <w:tcW w:w="2580" w:type="dxa"/>
            <w:vAlign w:val="bottom"/>
            <w:tcBorders>
              <w:bottom w:val="single" w:sz="8" w:color="auto"/>
              <w:right w:val="single" w:sz="8" w:color="auto"/>
            </w:tcBorders>
          </w:tcPr>
          <w:p>
            <w:pPr>
              <w:jc w:val="right"/>
              <w:ind w:right="1010"/>
              <w:spacing w:after="0"/>
              <w:rPr>
                <w:sz w:val="20"/>
                <w:szCs w:val="20"/>
                <w:color w:val="auto"/>
              </w:rPr>
            </w:pPr>
            <w:r>
              <w:rPr>
                <w:rFonts w:ascii="Times New Roman" w:cs="Times New Roman" w:eastAsia="Times New Roman" w:hAnsi="Times New Roman"/>
                <w:sz w:val="18"/>
                <w:szCs w:val="18"/>
                <w:color w:val="auto"/>
              </w:rPr>
              <w:t>98.65</w:t>
            </w:r>
          </w:p>
        </w:tc>
        <w:tc>
          <w:tcPr>
            <w:tcW w:w="2680" w:type="dxa"/>
            <w:vAlign w:val="bottom"/>
            <w:tcBorders>
              <w:bottom w:val="single" w:sz="8" w:color="auto"/>
              <w:right w:val="single" w:sz="8" w:color="auto"/>
            </w:tcBorders>
          </w:tcPr>
          <w:p>
            <w:pPr>
              <w:jc w:val="right"/>
              <w:ind w:right="1110"/>
              <w:spacing w:after="0"/>
              <w:rPr>
                <w:sz w:val="20"/>
                <w:szCs w:val="20"/>
                <w:color w:val="auto"/>
              </w:rPr>
            </w:pPr>
            <w:r>
              <w:rPr>
                <w:rFonts w:ascii="Times New Roman" w:cs="Times New Roman" w:eastAsia="Times New Roman" w:hAnsi="Times New Roman"/>
                <w:sz w:val="18"/>
                <w:szCs w:val="18"/>
                <w:color w:val="auto"/>
              </w:rPr>
              <w:t>1.35</w:t>
            </w:r>
          </w:p>
        </w:tc>
      </w:tr>
    </w:tbl>
    <w:p>
      <w:pPr>
        <w:spacing w:after="0"/>
        <w:rPr>
          <w:sz w:val="20"/>
          <w:szCs w:val="20"/>
          <w:color w:val="auto"/>
        </w:rPr>
      </w:pPr>
      <w:r>
        <w:rPr>
          <w:rFonts w:ascii="Times New Roman" w:cs="Times New Roman" w:eastAsia="Times New Roman" w:hAnsi="Times New Roman"/>
          <w:sz w:val="18"/>
          <w:szCs w:val="18"/>
          <w:color w:val="auto"/>
        </w:rPr>
        <w:t>Notes:</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 68,753,543 shares represented by proxy were not voted on this item of business.</w:t>
      </w:r>
    </w:p>
    <w:p>
      <w:pPr>
        <w:spacing w:after="0" w:line="203"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Approval of the Rights Plan</w:t>
      </w:r>
    </w:p>
    <w:p>
      <w:pPr>
        <w:spacing w:after="0" w:line="22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Based on the proxies received and the votes at the Meeting, Shareholders voted in favor of approving the shareholder rights plan agreement entered into with TSX Trust Company as rights agent, dated July 24, 2024. The outcome of the vote was as follows:</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3180" w:type="dxa"/>
            <w:vAlign w:val="bottom"/>
            <w:tcBorders>
              <w:top w:val="single" w:sz="8" w:color="auto"/>
              <w:left w:val="single" w:sz="8" w:color="auto"/>
              <w:bottom w:val="single" w:sz="8" w:color="auto"/>
              <w:right w:val="single" w:sz="8" w:color="auto"/>
            </w:tcBorders>
          </w:tcPr>
          <w:p>
            <w:pPr>
              <w:ind w:left="1140"/>
              <w:spacing w:after="0"/>
              <w:rPr>
                <w:sz w:val="20"/>
                <w:szCs w:val="20"/>
                <w:color w:val="auto"/>
              </w:rPr>
            </w:pPr>
            <w:r>
              <w:rPr>
                <w:rFonts w:ascii="Times New Roman" w:cs="Times New Roman" w:eastAsia="Times New Roman" w:hAnsi="Times New Roman"/>
                <w:sz w:val="18"/>
                <w:szCs w:val="18"/>
                <w:b w:val="1"/>
                <w:bCs w:val="1"/>
                <w:color w:val="auto"/>
              </w:rPr>
              <w:t>Votes For (#)</w:t>
            </w:r>
          </w:p>
        </w:tc>
        <w:tc>
          <w:tcPr>
            <w:tcW w:w="28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Votes Against (#)</w:t>
            </w:r>
          </w:p>
        </w:tc>
        <w:tc>
          <w:tcPr>
            <w:tcW w:w="25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Votes For (%)</w:t>
            </w:r>
          </w:p>
        </w:tc>
        <w:tc>
          <w:tcPr>
            <w:tcW w:w="26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Against (%)</w:t>
            </w:r>
          </w:p>
        </w:tc>
      </w:tr>
      <w:tr>
        <w:trPr>
          <w:trHeight w:val="209"/>
        </w:trPr>
        <w:tc>
          <w:tcPr>
            <w:tcW w:w="3180" w:type="dxa"/>
            <w:vAlign w:val="bottom"/>
            <w:tcBorders>
              <w:left w:val="single" w:sz="8" w:color="auto"/>
              <w:bottom w:val="single" w:sz="8" w:color="auto"/>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159,185,101</w:t>
            </w:r>
          </w:p>
        </w:tc>
        <w:tc>
          <w:tcPr>
            <w:tcW w:w="2800" w:type="dxa"/>
            <w:vAlign w:val="bottom"/>
            <w:tcBorders>
              <w:bottom w:val="single" w:sz="8" w:color="auto"/>
              <w:right w:val="single" w:sz="8" w:color="auto"/>
            </w:tcBorders>
          </w:tcPr>
          <w:p>
            <w:pPr>
              <w:jc w:val="right"/>
              <w:ind w:right="970"/>
              <w:spacing w:after="0"/>
              <w:rPr>
                <w:sz w:val="20"/>
                <w:szCs w:val="20"/>
                <w:color w:val="auto"/>
              </w:rPr>
            </w:pPr>
            <w:r>
              <w:rPr>
                <w:rFonts w:ascii="Times New Roman" w:cs="Times New Roman" w:eastAsia="Times New Roman" w:hAnsi="Times New Roman"/>
                <w:sz w:val="18"/>
                <w:szCs w:val="18"/>
                <w:color w:val="auto"/>
              </w:rPr>
              <w:t>2,288,734</w:t>
            </w:r>
          </w:p>
        </w:tc>
        <w:tc>
          <w:tcPr>
            <w:tcW w:w="2580" w:type="dxa"/>
            <w:vAlign w:val="bottom"/>
            <w:tcBorders>
              <w:bottom w:val="single" w:sz="8" w:color="auto"/>
              <w:right w:val="single" w:sz="8" w:color="auto"/>
            </w:tcBorders>
          </w:tcPr>
          <w:p>
            <w:pPr>
              <w:jc w:val="right"/>
              <w:ind w:right="1010"/>
              <w:spacing w:after="0"/>
              <w:rPr>
                <w:sz w:val="20"/>
                <w:szCs w:val="20"/>
                <w:color w:val="auto"/>
              </w:rPr>
            </w:pPr>
            <w:r>
              <w:rPr>
                <w:rFonts w:ascii="Times New Roman" w:cs="Times New Roman" w:eastAsia="Times New Roman" w:hAnsi="Times New Roman"/>
                <w:sz w:val="18"/>
                <w:szCs w:val="18"/>
                <w:color w:val="auto"/>
              </w:rPr>
              <w:t>98.58</w:t>
            </w:r>
          </w:p>
        </w:tc>
        <w:tc>
          <w:tcPr>
            <w:tcW w:w="2680" w:type="dxa"/>
            <w:vAlign w:val="bottom"/>
            <w:tcBorders>
              <w:bottom w:val="single" w:sz="8" w:color="auto"/>
              <w:right w:val="single" w:sz="8" w:color="auto"/>
            </w:tcBorders>
          </w:tcPr>
          <w:p>
            <w:pPr>
              <w:jc w:val="right"/>
              <w:ind w:right="1110"/>
              <w:spacing w:after="0"/>
              <w:rPr>
                <w:sz w:val="20"/>
                <w:szCs w:val="20"/>
                <w:color w:val="auto"/>
              </w:rPr>
            </w:pPr>
            <w:r>
              <w:rPr>
                <w:rFonts w:ascii="Times New Roman" w:cs="Times New Roman" w:eastAsia="Times New Roman" w:hAnsi="Times New Roman"/>
                <w:sz w:val="18"/>
                <w:szCs w:val="18"/>
                <w:color w:val="auto"/>
              </w:rPr>
              <w:t>1.42</w:t>
            </w:r>
          </w:p>
        </w:tc>
      </w:tr>
    </w:tbl>
    <w:p>
      <w:pPr>
        <w:spacing w:after="0"/>
        <w:rPr>
          <w:sz w:val="20"/>
          <w:szCs w:val="20"/>
          <w:color w:val="auto"/>
        </w:rPr>
      </w:pPr>
      <w:r>
        <w:rPr>
          <w:rFonts w:ascii="Times New Roman" w:cs="Times New Roman" w:eastAsia="Times New Roman" w:hAnsi="Times New Roman"/>
          <w:sz w:val="18"/>
          <w:szCs w:val="18"/>
          <w:color w:val="auto"/>
        </w:rPr>
        <w:t>Notes:</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 68,753,541 shares represented by proxy were not voted on this item of business.</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2"/>
    </w:lvl>
  </w:abstractNum>
  <w:abstractNum w:abstractNumId="5">
    <w:nsid w:val="507ED7AB"/>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jpe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19" Type="http://schemas.openxmlformats.org/officeDocument/2006/relationships/hyperlink" Target="http://www.sec.gov/Archives/edgar/data/1812477/000121390023052498/ea180981-f10_bitfarmsltd.htm" TargetMode="External"/><Relationship Id="rId20" Type="http://schemas.openxmlformats.org/officeDocument/2006/relationships/hyperlink" Target="http://www.sec.gov/Archives/edgar/data/1812477/000121390024035021/ea0204332-s8_bitfarms.htm" TargetMode="External"/><Relationship Id="rId21" Type="http://schemas.openxmlformats.org/officeDocument/2006/relationships/hyperlink" Target="http://www.sec.gov/Archives/edgar/data/1812477/000121390024087834/ea0216025-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2024-11-22T15:59:36Z</dcterms:created>
  <dcterms:modified xsi:type="dcterms:W3CDTF">2024-11-22T15:59:36Z</dcterms:modified>
</cp:coreProperties>
</file>