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BITFARMS LTD.</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STRONGHOLD DIGITAL MINING,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001-40931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LinkedIn: September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3162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16293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X/Twitter: September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6052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605218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communication contains certain “forward-looking information” and “forward-looking statements” (collectively, “forward-looking information”) that are based on expectations, estimates and projections as at the date of this communication and are covered by safe harbors under Canadian and United States securities laws. The statements and information in this communication regarding receipt of the approval of the shareholders of Stronghold Digital Mining, Inc. (“Stronghold”) for the proposed acquisition (the “Transaction”) by Bitfarms Ltd. (“Bitfarms” or the “Company”) as well as all other applicable regulatory approvals, closing of the Transaction on a timely basis and on the terms as announced, the benefits of the Transaction, the ability to gain access to additional electrical power and grow the hashrate of the Stronghold business, performance of the plants and equipment upgrades and the impact on operating capacity including the target hashrate to take the Stronghold business to 10 EH/s in 2025, to increase the Bitfarms energy portfolio to 950 MW by year-end 2025 and multi-year expansion capacity up to 1.6 GW, the opportunities to leverage Bitfarms’ proven expertise to successfully enhance energy efficiency and hashrate, reclamation and environmental benefits in general, the synergies of the combined business, carbon capture potential, hashrate growth in general, energy efficiency and cost savings in general, and the benefits of the growth strategy including to merge HPC / AI with Bitcoin mining operations and other statements regarding future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receipt of the approval of the shareholders of Stronghold and the Toronto Stock Exchange for the Transaction as well as other applicable regulatory approvals; that the Transaction may not close within the timeframe anticipated or at all or may not close on the terms and conditions currently anticipated by the Company for a number of reasons including, without limitation, as a result of a failure to satisfy the conditions to closing of the Transaction; the inability of the Company to operate the plants as anticipated following consummation of the Transaction;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the Company operates and the potential adverse impact on profitability; future capital needs and the ability to complete current and future financings, including the Company’s ability to utilize an at-the-market offering program (the “ATM Program”) and the prices at which securities may be sold in the ATM Program, as well as capital market conditions in general; share dilution resulting from the ATM Program and from other equity issuances; volatile securities markets impacting security pricing unrelated to operating performance;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 Relating to the Merger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2024-09-04T05:22:28Z</dcterms:created>
  <dcterms:modified xsi:type="dcterms:W3CDTF">2024-09-04T05:22:28Z</dcterms:modified>
</cp:coreProperties>
</file>