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29462.xml.htm"/>
      <w:bookmarkStart w:id="1" w:name="kswkform4_17867294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Gagnon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1075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Keel Infrastructure Corp.</w:t>
              </w:r>
            </w:hyperlink>
            <w:r>
              <w:rPr/>
              <w:t xml:space="preserve"> [ </w:t>
            </w:r>
            <w:r>
              <w:rPr>
                <w:rFonts w:ascii="Times;serif" w:hAnsi="Times;serif"/>
                <w:color w:val="0000FF"/>
                <w:sz w:val="24"/>
                <w:shd w:fill="FFFFFF" w:val="clear"/>
              </w:rPr>
              <w:t>KEEL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1,347,736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$3.32 to $3.33, inclusive. The Reporting Person undertakes to provide to the Issuer, any security holder of the Issuer or the staff of the Securities Exchange Commission, upon request, full information regarding the number of shares purchased at each separate price within the range set forth in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Lovett,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1167" TargetMode="External"/><Relationship Id="rId5" Type="http://schemas.openxmlformats.org/officeDocument/2006/relationships/hyperlink" Target="http://www.sec.gov/cgi-bin/browse-edgar?action=getcompany&amp;CIK=00018124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3465</Characters>
  <CharactersWithSpaces>4033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