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80"/>
        <w:spacing w:after="0" w:line="207" w:lineRule="exact"/>
        <w:tabs>
          <w:tab w:leader="none" w:pos="56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24, 2024, the Registrant filed with the Canadian Securities Regulatory Authorities on the System for Electronic Data Analysis and Retrieval + (SEDAR +) a material change report that includes a copy of a press release, a copy of which is attached hereto as Exhibit 99.1, and, on July 25, 2024, a new shareholder rights plan agreement, a copy of which is attached hereto as Exhibit 99.2, which are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5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July 24, 2024</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4300" w:type="dxa"/>
            <w:vAlign w:val="bottom"/>
            <w:tcBorders>
              <w:bottom w:val="single" w:sz="8" w:color="0000EE"/>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New shareholder rights plan agreement dated July 24, 2024</w:t>
            </w:r>
          </w:p>
        </w:tc>
        <w:tc>
          <w:tcPr>
            <w:tcW w:w="5700" w:type="dxa"/>
            <w:vAlign w:val="bottom"/>
          </w:tcPr>
          <w:p>
            <w:pPr>
              <w:spacing w:after="0"/>
              <w:rPr>
                <w:sz w:val="15"/>
                <w:szCs w:val="15"/>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July 24, 2024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Bitfarms Issues Statement Regarding Decision by Capital Markets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Tribunal of the Ontario Securities Commission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Announces Adoption of New Shareholder Rights Plan -</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Reiterates Commitment to Maximize Value for All Shareholders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This news release constitutes a “designated news release” for the purposes of the Company’s prospectus supplement dated March 8, 2024, to its short form base shelf prospectus dated November 10, 2023.</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(July 24, 2024) </w:t>
      </w:r>
      <w:r>
        <w:rPr>
          <w:rFonts w:ascii="Times New Roman" w:cs="Times New Roman" w:eastAsia="Times New Roman" w:hAnsi="Times New Roman"/>
          <w:sz w:val="18"/>
          <w:szCs w:val="18"/>
          <w:color w:val="auto"/>
        </w:rPr>
        <w:t>- Bitfarms Ltd. (Nasdaq/TSX: BITF) (“Bitfarms” or the “Company”), a global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Bitcoin data center company, today issued the following statement in response to a decision by the Capital Markets Tribunal of the Ontario Securities Commission (the “Tribunal”) to cease trade the Company’s shareholder rights plan (the “Rights Plan”). The Tribunal announced its decision following hearings on July 22 and July 23, 2024.</w:t>
      </w:r>
    </w:p>
    <w:p>
      <w:pPr>
        <w:spacing w:after="0" w:line="180"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The Company also announced that its Board of Directors (the “Board”), following a unanimous recommendation of its independent Special Committee, has unanimously approved the adoption of a new shareholder rights plan (the “New Rights Plan”) pursuant to a shareholder rights plan agreement entered into with TSX Trust Company, as rights agent, dated July 24, 2024 (the “Effective Date”).</w:t>
      </w:r>
    </w:p>
    <w:p>
      <w:pPr>
        <w:spacing w:after="0" w:line="176"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color w:val="auto"/>
        </w:rPr>
        <w:t>“The Tribunal has decided to cease trade Bitfarms’ Rights Plan, which effectively terminates the Rights Plan. The Rights Plan was put in place to preserve the integrity of the independent Special Committee’s strategic alternatives review process in light of attempts by Riot to opportunistically acquire the Company,” said Brian Howlett, Lead Director of the Bitfarms Board. “In light of this decision, the Bitfarms Board has adopted the New Rights Plan to ensure the interests of all shareholders are protected. The Board and the Special Committee remain committed to maximizing value and seeking to achieve the best outcome for the Company and its shareholders.”</w:t>
      </w:r>
    </w:p>
    <w:p>
      <w:pPr>
        <w:spacing w:after="0" w:line="183"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The New Rights Plan has been adopted to ensure, to the extent possible, that all shareholders of the Company are treated fairly and equally in connection with any unsolicited take-over bid or other acquisition of control of the Company, including the protection against “creeping bids”, which involve the accumulation of 20% or more of the Company’s common shares through purchases exempt from applicable Canadian take-over bid rules.</w:t>
      </w:r>
    </w:p>
    <w:p>
      <w:pPr>
        <w:spacing w:after="0" w:line="176"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The New Rights Plan is not being adopted in response to any specific proposal to acquire control of the Company, and the Board is not aware of any pending or threatened take-over bid for the Company. However, the Board is aware that Riot Platforms, Inc. (“Riot”) is seeking to replace three directors on the Bitfarms Board at the Company’s hybrid special meeting of shareholders (the “Meeting”) on October 29, 2024. The New Rights Plan allows Riot to proceed with its nominations and solicit proxies in respect of the Meeting.</w:t>
      </w:r>
    </w:p>
    <w:p>
      <w:pPr>
        <w:spacing w:after="0" w:line="180"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color w:val="auto"/>
        </w:rPr>
        <w:t>At the close of business on August 6, 2024 (the “Record Time”), one right (a “Right”) will be issued and attached to each common share outstanding at that time. A Right will also be attached to each common share issued after the Record Time. The issuance of the Rights will not change the manner in which shareholders trade their common shares. Subject to the terms of the New Rights Plan, the Rights issued under the New Rights Plan become exercisable if a person (the “Acquiring Person”), together with certain related persons (including persons “acting jointly or in concert” as defined in the New Rights Plan), acquires or announces its intention to acquire 20% or more of the common shares without complying with the “Permitted Bid” provisions of the New Rights Plan. Following a transaction that results in a person becoming an Acquiring Person, the Rights entitle the holder thereof to purchase common shares at a significant discount to the market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Under the New Rights Plan, a “Permitted Bid” is a take-over bid made in compliance with the Canadian take-over bid regime. Specifically, a Permitted Bid is a take-over bid that is made to all shareholders, that is open for 105 days (or such shorter period as is permitted under the Canadian take-over bid regime) and that contains certain conditions, including that no common shares will be taken up and paid for unless more than 50% of the common shares that are held by independent shareholders are tendered to the take-over bid.</w:t>
      </w:r>
    </w:p>
    <w:p>
      <w:pPr>
        <w:spacing w:after="0" w:line="180"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While the New Rights Plan is effective as of the Effective Date, it is subject to shareholder ratification within six months of its adoption, failing which it will terminate. The Board intends to recommend the ratification of the New Rights Plan for approval by its shareholders at the Meeting. If ratified by shareholders, the New Rights Plan will have an initial term of three years. If the New Rights Plan is not ratified by the Company’s shareholders at the Meeting, the New Rights Plan and all Rights issued thereunder will terminate and cease to be effective at that time.</w:t>
      </w:r>
    </w:p>
    <w:p>
      <w:pPr>
        <w:spacing w:after="0" w:line="180"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color w:val="auto"/>
        </w:rPr>
        <w:t xml:space="preserve">Adoption of the New Rights Plan is subject to the acceptance of the Toronto Stock Exchange (the “TSX”). The TSX may notify the Company that it will defer its consideration of the acceptance of the New Rights Plan until such time as it is satisfied that the appropriate securities commission will not intervene pursuant to National Policy 62-202 </w:t>
      </w:r>
      <w:r>
        <w:rPr>
          <w:rFonts w:ascii="Times New Roman" w:cs="Times New Roman" w:eastAsia="Times New Roman" w:hAnsi="Times New Roman"/>
          <w:sz w:val="18"/>
          <w:szCs w:val="18"/>
          <w:i w:val="1"/>
          <w:iCs w:val="1"/>
          <w:color w:val="auto"/>
        </w:rPr>
        <w:t>Take-Over Bids – Defensive Tactics</w:t>
      </w:r>
      <w:r>
        <w:rPr>
          <w:rFonts w:ascii="Times New Roman" w:cs="Times New Roman" w:eastAsia="Times New Roman" w:hAnsi="Times New Roman"/>
          <w:sz w:val="18"/>
          <w:szCs w:val="18"/>
          <w:color w:val="auto"/>
        </w:rPr>
        <w:t>. Pursuant to TSX policies, the TSX normally defers acceptance of shareholder rights plans adopted in response to a specific or anticipated take-over bid. However, as noted earlier, the Board is not aware of any pending or threatened take-over bid for the Company. A deferral of acceptance of the New Rights Plan by the TSX will not affect the adoption or operation of the New Rights Plan, which will remain operative and effective for a minimum of six months from the Effective Date, unless shareholder ratification is not obtained at the Meeting or earlier terminated.</w:t>
      </w:r>
    </w:p>
    <w:p>
      <w:pPr>
        <w:spacing w:after="0" w:line="189"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The description of the New Rights Plan in this press release is qualified in its entirety by the full text of the New Rights Plan, which will be available under the Company’s profile on SEDAR+ at www.sedarplus.ca or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Moelis &amp; Company LLC is serving as financial advisor to Bitfarms. Skadden, Arps, Slate, Meagher &amp; Flom LLP, Peterson McVicar LLP and McMillan LLP are acting as legal advisors. Innisfree M&amp;A Incorporated and Laurel Hill Advisory Group are acting as strategic advisors and proxy solicitation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operational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maximization or enhancement of shareholder value, the issuance of Rights at the Record Time pursuant to the New Rights Plan, the Board’s intention to recommend the ratification of the New Rights Plan for approval by its shareholders at the Meeting, the TSX’s possible deferral of its consideration of the acceptance of the New Rights Plan and the operation and termination of the New Rights Plan is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5" w:lineRule="exact"/>
        <w:rPr>
          <w:sz w:val="20"/>
          <w:szCs w:val="20"/>
          <w:color w:val="auto"/>
        </w:rPr>
      </w:pPr>
    </w:p>
    <w:p>
      <w:pPr>
        <w:jc w:val="both"/>
        <w:ind w:left="20" w:hanging="8"/>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MD&amp;A for the year-ended December 31, 2023, filed on March 7, 2024, and the MD&amp;A for three-month period ended March 31, 2024, filed on May 15,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JULY 24,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 INTERPRETATION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and Gender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References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Calculation of Number and Percentage of Beneficial Ownership of Outstanding Voting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Acting Jointly or in Concert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2 THE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Legend on Share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Exercise Price; Exercise of Rights; Detachment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Exercise Price; Number of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Date on Which Exercise Is Effective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Authentication, Delivery and Dating of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Mutilated, Destroyed, Lost and Stolen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Persons Deemed Owners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Delivery and Cancellation of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 of Rights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Certificate Holder Not Deemed a Shareholder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3 ADJUSTMENTS TO THE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Flip-in Event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4 THE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Amalgamation or Consolidation or Change of Name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Duties of Rights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Anti-Money Laundering Legislation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Privacy Legislation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5 MISCELLANEOUS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and Waiver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New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Fractional Rights and Fractional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of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Approvals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Proposed Actions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of Board and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of Enforcement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Successors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of this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Language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Reconfirmation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Determinations and Actions by the Board of Directors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Declaration as to Non-Canadian Holders and Non-U.S.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of the Essence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ATTACHMENT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OF ASSIGNMENT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OF ELECTION TO EXERCISE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CERTIFICATE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NOTICE</w:t>
            </w:r>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r>
      <w:tr>
        <w:trPr>
          <w:trHeight w:val="655"/>
        </w:trPr>
        <w:tc>
          <w:tcPr>
            <w:tcW w:w="9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RIGHTS PLAN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SHAREHOLDER RIGHTS PLAN AGREEMENT is made as of July 24, 2024 between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continued under the laws of the Province of Ontario, and TSX Trust Company, a trust company existing under the laws of Canada and registered to carry on business in all provinces and territories of Canada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WHEREAS the Board of Directors, in the exercise of its fiduciary duties to the Corporation, has determined that it is in the best interests of the Corporation to adopt a shareholder protection rights plan (the “</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to prevent, to the extent possible, a creeping takeover of the Corporation and to ensure, to the extent possible, the fair treatment of all shareholders in connection with any take-over bid for the securities of the Corporation, and to ensure that the Board of Directors is provided with sufficient time to evaluate unsolicited take-over bids and to explore and develop alternatives to maximize shareholder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WHEREAS in order to implement the Rights Plan as established by this Agreement (as hereinafter defined), the Board of Directors has:</w:t>
      </w:r>
    </w:p>
    <w:p>
      <w:pPr>
        <w:spacing w:after="0" w:line="221" w:lineRule="exact"/>
        <w:rPr>
          <w:sz w:val="20"/>
          <w:szCs w:val="20"/>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effective at the close of business (Toronto time) on August 6, 2024 (the “</w:t>
      </w:r>
      <w:r>
        <w:rPr>
          <w:rFonts w:ascii="Times New Roman" w:cs="Times New Roman" w:eastAsia="Times New Roman" w:hAnsi="Times New Roman"/>
          <w:sz w:val="18"/>
          <w:szCs w:val="18"/>
          <w:b w:val="1"/>
          <w:bCs w:val="1"/>
          <w:color w:val="auto"/>
        </w:rPr>
        <w:t>Record Time</w:t>
      </w:r>
      <w:r>
        <w:rPr>
          <w:rFonts w:ascii="Times New Roman" w:cs="Times New Roman" w:eastAsia="Times New Roman" w:hAnsi="Times New Roman"/>
          <w:sz w:val="18"/>
          <w:szCs w:val="18"/>
          <w:color w:val="auto"/>
        </w:rPr>
        <w:t>”), of one Right (as hereinafter defined) in respect of each Common Share (as hereinafter defined) outstanding at the Record Time;</w:t>
      </w:r>
    </w:p>
    <w:p>
      <w:pPr>
        <w:spacing w:after="0" w:line="15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of one Right in respect of each Voting Share of the Corporation issued after the Record Time and prior to the earlier of the Separation Time (as hereinafter defined) and the Expiration Time (as hereinafter defined);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of Rights Certificates (as hereinafter defined) to holders of Rights pursuant to the terms and subject to the conditions set forth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WHEREAS each Right entitles the holder thereof, after the Separation Time, to purchase securities of the Corporation pursuant to the terms and subject to the conditions set forth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WHEREAS the Corporation desires to appoint the Rights Agent to act on behalf of the Corporation and the holders of Rights, and the Rights Agent is willing to so act, in connection with the issuance, transfer, exchange and replacement of Rights Certificates, the exercise of Rights and other matters referred to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WHEREAS the foregoing recitals are made as representations and statements of fact by the Corporation and not by the Rights Agent.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respective covenants and agreements set forth herein, and subject to such covenants and agreements, the parties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221" w:lineRule="exact"/>
        <w:rPr>
          <w:sz w:val="20"/>
          <w:szCs w:val="20"/>
          <w:color w:val="auto"/>
        </w:rPr>
      </w:pPr>
    </w:p>
    <w:p>
      <w:pPr>
        <w:ind w:left="1300" w:right="20" w:hanging="644"/>
        <w:spacing w:after="0" w:line="28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mean any Person who is the Beneficial Owner of 20% or more of the outstanding Voting Shares; provided, however, that the term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not include:</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Subsidiary of the Corporation;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becomes the Beneficial Owner of 20% or more of the outstanding Voting Shares as a result of one or any combination of:</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Share Reduction;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Bid Acquisition;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Acquisition;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Acquisition;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Convertible Security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ind w:left="1304"/>
        <w:spacing w:after="0" w:line="256" w:lineRule="auto"/>
        <w:rPr>
          <w:sz w:val="20"/>
          <w:szCs w:val="20"/>
          <w:color w:val="auto"/>
        </w:rPr>
      </w:pPr>
      <w:r>
        <w:rPr>
          <w:rFonts w:ascii="Times New Roman" w:cs="Times New Roman" w:eastAsia="Times New Roman" w:hAnsi="Times New Roman"/>
          <w:sz w:val="18"/>
          <w:szCs w:val="18"/>
          <w:color w:val="auto"/>
        </w:rPr>
        <w:t>provided, however, that if a Person becomes the Beneficial Owner of 20% or more of the outstanding Voting Shares by reason of one or any combination of the operation of Paragraphs (A), (B), (C), (D) or (E) above and such Person’s Beneficial Ownership of Voting Shares thereafter increases by more than 1% of the number of Voting Shares outstanding (other than pursuant to one of a Voting Share Reduction, a Permitted Bid Acquisition, an Exempt Acquisition, a Pro Rata Acquisition or a Convertible Security Acquisition or any combination thereof), then as of the date such Person becomes the Beneficial Owner of such additional Voting Shares, such Person shall become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304" w:hanging="656"/>
        <w:spacing w:after="0" w:line="258" w:lineRule="auto"/>
        <w:tabs>
          <w:tab w:leader="none" w:pos="13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ten days after the Disqualification Date, any Person who becomes the Beneficial Owner of 20% or more of the outstanding Voting Shares as a result of such Person becoming disqualified from relying on Subsection 1.1(f)(B) solely because such Person is making or has announced a current intention to make a Take-over Bid, either alone or by acting jointly or in concert with any other Person. For the purposes of this definition, “</w:t>
      </w:r>
      <w:r>
        <w:rPr>
          <w:rFonts w:ascii="Times New Roman" w:cs="Times New Roman" w:eastAsia="Times New Roman" w:hAnsi="Times New Roman"/>
          <w:sz w:val="18"/>
          <w:szCs w:val="18"/>
          <w:b w:val="1"/>
          <w:bCs w:val="1"/>
          <w:color w:val="auto"/>
        </w:rPr>
        <w:t>Disqualification Date</w:t>
      </w:r>
      <w:r>
        <w:rPr>
          <w:rFonts w:ascii="Times New Roman" w:cs="Times New Roman" w:eastAsia="Times New Roman" w:hAnsi="Times New Roman"/>
          <w:sz w:val="18"/>
          <w:szCs w:val="18"/>
          <w:color w:val="auto"/>
        </w:rPr>
        <w:t>” means the first date of public announcement that any Person is making or intends to make a Take-over Bid;</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312" w:lineRule="auto"/>
        <w:tabs>
          <w:tab w:leader="none" w:pos="130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underwriter or member of a banking or selling group that becomes the Beneficial Owner of 20% or more of the Voting Shares in connection with a distribution of securities of the Corporation pursuant to an underwriting agreement with the Corporation; or</w:t>
      </w:r>
    </w:p>
    <w:p>
      <w:pPr>
        <w:spacing w:after="0" w:line="135" w:lineRule="exact"/>
        <w:rPr>
          <w:rFonts w:ascii="Times New Roman" w:cs="Times New Roman" w:eastAsia="Times New Roman" w:hAnsi="Times New Roman"/>
          <w:sz w:val="17"/>
          <w:szCs w:val="17"/>
          <w:color w:val="auto"/>
        </w:rPr>
      </w:pPr>
    </w:p>
    <w:p>
      <w:pPr>
        <w:jc w:val="both"/>
        <w:ind w:left="1304" w:hanging="656"/>
        <w:spacing w:after="0" w:line="255" w:lineRule="auto"/>
        <w:tabs>
          <w:tab w:leader="none" w:pos="13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 “</w:t>
      </w:r>
      <w:r>
        <w:rPr>
          <w:rFonts w:ascii="Times New Roman" w:cs="Times New Roman" w:eastAsia="Times New Roman" w:hAnsi="Times New Roman"/>
          <w:sz w:val="18"/>
          <w:szCs w:val="18"/>
          <w:b w:val="1"/>
          <w:bCs w:val="1"/>
          <w:color w:val="auto"/>
        </w:rPr>
        <w:t>Grandfathered Person</w:t>
      </w:r>
      <w:r>
        <w:rPr>
          <w:rFonts w:ascii="Times New Roman" w:cs="Times New Roman" w:eastAsia="Times New Roman" w:hAnsi="Times New Roman"/>
          <w:sz w:val="18"/>
          <w:szCs w:val="18"/>
          <w:color w:val="auto"/>
        </w:rPr>
        <w:t>”) who is the Beneficial Owner of 20% or more of the outstanding Voting Shares determined as at the Effective Date, provided, however, that this exception shall not be, and shall cease to be, applicable to a Grandfathered Person in the event that such Grandfathered Person shall, after the Effective Date, become the Beneficial Owner of any additional Voting Shares that increases its Beneficial Ownership of Voting Shares by more than 1% of the number of Voting Shares outstanding, other than through one of a Permitted Bid Acquisition, an Exempt Acquisition, a Voting Share Reduction, a Pro Rata Acquisition or a Convertible Security Acquisition or any combination thereof; and provided, further, that a Person shall cease to be a Grandfathered Person in the event that such Person ceases to Beneficially Own 20% or more of the then outstanding Voting Shares at any time after the Effective Date;</w:t>
      </w:r>
    </w:p>
    <w:p>
      <w:pPr>
        <w:spacing w:after="0" w:line="18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when used to indicate a relationship with a specified Person, shall mean a Person that directly, or indirectly through one or more intermediaries, controls, or is controlled by, or is under common control with, such specified Person;</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shareholder rights plan agreement dated as of July 24, 2024 between the Corporation and the Rights Agent, as amended or supplemented from time to time; “hereof”, “herein”, “hereto” and similar expressions mean and refer to this Agreement as a whole and not to any particular part of this Agreement;</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cash dividend</w:t>
      </w:r>
      <w:r>
        <w:rPr>
          <w:rFonts w:ascii="Times New Roman" w:cs="Times New Roman" w:eastAsia="Times New Roman" w:hAnsi="Times New Roman"/>
          <w:sz w:val="18"/>
          <w:szCs w:val="18"/>
          <w:color w:val="auto"/>
        </w:rPr>
        <w:t>” shall mean cash dividends paid in any fiscal year of the Corporation to the extent that such cash dividends do not exceed, in the aggregate on a per share basis, in any fiscal year, the greater of:</w:t>
      </w:r>
    </w:p>
    <w:p>
      <w:pPr>
        <w:spacing w:after="0" w:line="15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aggregate amount of cash dividends, on a per share basis, declared payable by the Corporation on its Common Shares in its immediately preceding fiscal year;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of the arithmetic mean of the aggregate amounts of the cash dividends, on a per share basis, declared payable by the Corporation on its Common Shares in its three immediately preceding fiscal years; and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consolidated net income of the Corporation, before extraordinary items, for its immediately preceding fiscal year divided by the number of Common Shares outstanding as at the end of such fiscal year;</w:t>
      </w:r>
    </w:p>
    <w:p>
      <w:pPr>
        <w:spacing w:after="0" w:line="157"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shall mean, when used to indicate a relationship with a specified Person, a spouse of that Person, any Person of the same or opposite sex with whom that Person is living in a conjugal relationship outside marriage, a child of that Person and a relative of that Person if that relative has the same residence as that Person;</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and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as to which such Person or any of such Person’s Affiliates or Associates is the owner at law or in equity;</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as to which such Person or any of such Person’s Affiliates or Associates has the right to become the owner at law or in equity (where such right is exercisable within a period of 60 days, whether or not on condition or on the happening of any contingency) pursuant to any agreement, arrangement, pledge or understanding, whether or not in writing, or upon the exercise of any conversion, exchange or purchase right (other than the Rights) attaching to a Convertible Security, including but not limited to any lock-up agreement or similar agreement, arrangement or understanding that is not a Permitted Lock-Up Agreement; other than pursuant to (x) customary agreements between the Corporation and underwriters or between underwriters and/or banking group members and/or selling group members with respect to a distribution of securities by the Corporation, and</w:t>
      </w:r>
    </w:p>
    <w:p>
      <w:pPr>
        <w:spacing w:after="0" w:line="2"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pledges of securities in the ordinary course of business; and</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2" w:name="page13"/>
    <w:bookmarkEnd w:id="12"/>
    <w:p>
      <w:pPr>
        <w:ind w:left="840" w:hanging="656"/>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which are Beneficially Owned within the meaning of Subsections 1.1(f)(i) or (ii) by any other Person with which such Person is acting jointly or in concert;</w:t>
      </w:r>
    </w:p>
    <w:p>
      <w:pPr>
        <w:spacing w:after="0" w:line="158"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color w:val="auto"/>
        </w:rPr>
        <w:t>provided, however, that a Person shall not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or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or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any security:</w:t>
      </w:r>
    </w:p>
    <w:p>
      <w:pPr>
        <w:spacing w:after="0" w:line="159" w:lineRule="exact"/>
        <w:rPr>
          <w:sz w:val="20"/>
          <w:szCs w:val="20"/>
          <w:color w:val="auto"/>
        </w:rPr>
      </w:pPr>
    </w:p>
    <w:p>
      <w:pPr>
        <w:jc w:val="both"/>
        <w:ind w:left="1480" w:hanging="648"/>
        <w:spacing w:after="0" w:line="258"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security has been deposited or tendered pursuant to any Take-over Bid or where the holder of such security has agreed pursuant to a Permitted Lock-Up Agreement to deposit or tender such security pursuant to a Take-over Bid, in each case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183"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Person, any of such Person’s Affiliates or Associates or any other Person referred to in Subsection 1.1(f) (iii), holds such security provided that:</w:t>
      </w:r>
    </w:p>
    <w:p>
      <w:pPr>
        <w:spacing w:after="0" w:line="157" w:lineRule="exact"/>
        <w:rPr>
          <w:rFonts w:ascii="Times New Roman" w:cs="Times New Roman" w:eastAsia="Times New Roman" w:hAnsi="Times New Roman"/>
          <w:sz w:val="18"/>
          <w:szCs w:val="18"/>
          <w:color w:val="auto"/>
        </w:rPr>
      </w:pPr>
    </w:p>
    <w:p>
      <w:pPr>
        <w:jc w:val="both"/>
        <w:ind w:left="2120" w:hanging="640"/>
        <w:spacing w:after="0" w:line="256" w:lineRule="auto"/>
        <w:tabs>
          <w:tab w:leader="none" w:pos="2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business of any such Person (the “</w:t>
      </w:r>
      <w:r>
        <w:rPr>
          <w:rFonts w:ascii="Times New Roman" w:cs="Times New Roman" w:eastAsia="Times New Roman" w:hAnsi="Times New Roman"/>
          <w:sz w:val="18"/>
          <w:szCs w:val="18"/>
          <w:b w:val="1"/>
          <w:bCs w:val="1"/>
          <w:color w:val="auto"/>
        </w:rPr>
        <w:t>Investment Manager</w:t>
      </w:r>
      <w:r>
        <w:rPr>
          <w:rFonts w:ascii="Times New Roman" w:cs="Times New Roman" w:eastAsia="Times New Roman" w:hAnsi="Times New Roman"/>
          <w:sz w:val="18"/>
          <w:szCs w:val="18"/>
          <w:color w:val="auto"/>
        </w:rPr>
        <w:t>”) includes the management of mutual funds or investment funds for others (which others, for greater certainty, may include or be limited to one or more employee benefit plans or pension plans and/or includes the acquisition or holding of securities for a non-discretionary account of a Client by a dealer or broker registered under applicable securities laws to the extent required) and such security is held by the Investment Manager in the ordinary course of such business and in the performance of such Investment Manager’s duties for the account of any other Person or Persons (a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2120" w:hanging="640"/>
        <w:spacing w:after="0" w:line="259" w:lineRule="auto"/>
        <w:tabs>
          <w:tab w:leader="none" w:pos="2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(the “</w:t>
      </w:r>
      <w:r>
        <w:rPr>
          <w:rFonts w:ascii="Times New Roman" w:cs="Times New Roman" w:eastAsia="Times New Roman" w:hAnsi="Times New Roman"/>
          <w:sz w:val="18"/>
          <w:szCs w:val="18"/>
          <w:b w:val="1"/>
          <w:bCs w:val="1"/>
          <w:color w:val="auto"/>
        </w:rPr>
        <w:t>Trust Company</w:t>
      </w:r>
      <w:r>
        <w:rPr>
          <w:rFonts w:ascii="Times New Roman" w:cs="Times New Roman" w:eastAsia="Times New Roman" w:hAnsi="Times New Roman"/>
          <w:sz w:val="18"/>
          <w:szCs w:val="18"/>
          <w:color w:val="auto"/>
        </w:rPr>
        <w:t>”) is licensed to carry on the business of a trust company under applicable laws and, as such, acts as trustee or administrator or in a similar capacity in relation to the estates of deceased or incompetent Persons (each an “</w:t>
      </w:r>
      <w:r>
        <w:rPr>
          <w:rFonts w:ascii="Times New Roman" w:cs="Times New Roman" w:eastAsia="Times New Roman" w:hAnsi="Times New Roman"/>
          <w:sz w:val="18"/>
          <w:szCs w:val="18"/>
          <w:b w:val="1"/>
          <w:bCs w:val="1"/>
          <w:color w:val="auto"/>
        </w:rPr>
        <w:t>Estate Account</w:t>
      </w:r>
      <w:r>
        <w:rPr>
          <w:rFonts w:ascii="Times New Roman" w:cs="Times New Roman" w:eastAsia="Times New Roman" w:hAnsi="Times New Roman"/>
          <w:sz w:val="18"/>
          <w:szCs w:val="18"/>
          <w:color w:val="auto"/>
        </w:rPr>
        <w:t>”) or in relation to other accounts (each an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and holds such security in the ordinary course of such duties for such Estate Accounts or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Accounts;</w:t>
      </w:r>
    </w:p>
    <w:p>
      <w:pPr>
        <w:spacing w:after="0" w:line="183" w:lineRule="exact"/>
        <w:rPr>
          <w:rFonts w:ascii="Times New Roman" w:cs="Times New Roman" w:eastAsia="Times New Roman" w:hAnsi="Times New Roman"/>
          <w:sz w:val="18"/>
          <w:szCs w:val="18"/>
          <w:color w:val="auto"/>
        </w:rPr>
      </w:pPr>
    </w:p>
    <w:p>
      <w:pPr>
        <w:jc w:val="both"/>
        <w:ind w:left="2120" w:hanging="640"/>
        <w:spacing w:after="0" w:line="261" w:lineRule="auto"/>
        <w:tabs>
          <w:tab w:leader="none" w:pos="2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 pension plan or fund registered under the laws of Canada or any province thereof or the laws of the United States of America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is a Person established by statute for purposes that include, and the ordinary business or activity of such Person (the “</w:t>
      </w:r>
      <w:r>
        <w:rPr>
          <w:rFonts w:ascii="Times New Roman" w:cs="Times New Roman" w:eastAsia="Times New Roman" w:hAnsi="Times New Roman"/>
          <w:sz w:val="18"/>
          <w:szCs w:val="18"/>
          <w:b w:val="1"/>
          <w:bCs w:val="1"/>
          <w:color w:val="auto"/>
        </w:rPr>
        <w:t>Statutory Body</w:t>
      </w:r>
      <w:r>
        <w:rPr>
          <w:rFonts w:ascii="Times New Roman" w:cs="Times New Roman" w:eastAsia="Times New Roman" w:hAnsi="Times New Roman"/>
          <w:sz w:val="18"/>
          <w:szCs w:val="18"/>
          <w:color w:val="auto"/>
        </w:rPr>
        <w:t>”) includes, the management of investment funds for employee benefit plans, pension plans, insurance plans of various public bodies; or</w:t>
      </w:r>
    </w:p>
    <w:p>
      <w:pPr>
        <w:spacing w:after="0" w:line="175" w:lineRule="exact"/>
        <w:rPr>
          <w:rFonts w:ascii="Times New Roman" w:cs="Times New Roman" w:eastAsia="Times New Roman" w:hAnsi="Times New Roman"/>
          <w:sz w:val="18"/>
          <w:szCs w:val="18"/>
          <w:color w:val="auto"/>
        </w:rPr>
      </w:pPr>
    </w:p>
    <w:p>
      <w:pPr>
        <w:ind w:left="2120" w:hanging="640"/>
        <w:spacing w:after="0" w:line="286" w:lineRule="auto"/>
        <w:tabs>
          <w:tab w:leader="none" w:pos="2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is the administrator or trustee of one or more Plans and holds such security for the purposes of its activities as an Administrator;</w:t>
      </w:r>
    </w:p>
    <w:p>
      <w:pPr>
        <w:spacing w:after="0" w:line="159" w:lineRule="exact"/>
        <w:rPr>
          <w:sz w:val="20"/>
          <w:szCs w:val="20"/>
          <w:color w:val="auto"/>
        </w:rPr>
      </w:pPr>
    </w:p>
    <w:p>
      <w:pPr>
        <w:jc w:val="both"/>
        <w:ind w:left="1480"/>
        <w:spacing w:after="0" w:line="256" w:lineRule="auto"/>
        <w:rPr>
          <w:sz w:val="20"/>
          <w:szCs w:val="20"/>
          <w:color w:val="auto"/>
        </w:rPr>
      </w:pPr>
      <w:r>
        <w:rPr>
          <w:rFonts w:ascii="Times New Roman" w:cs="Times New Roman" w:eastAsia="Times New Roman" w:hAnsi="Times New Roman"/>
          <w:sz w:val="18"/>
          <w:szCs w:val="18"/>
          <w:color w:val="auto"/>
        </w:rPr>
        <w:t>provided, in any of the above cases, that the Investment Manager, the Trust Company, the Statutory Body, the Administrator or the Plan, as the case may be,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over-the-counter market), alone or by acting jointly or in concert with any other Person;</w:t>
      </w:r>
    </w:p>
    <w:p>
      <w:pPr>
        <w:spacing w:after="0" w:line="187" w:lineRule="exact"/>
        <w:rPr>
          <w:sz w:val="20"/>
          <w:szCs w:val="20"/>
          <w:color w:val="auto"/>
        </w:rPr>
      </w:pPr>
    </w:p>
    <w:p>
      <w:pPr>
        <w:jc w:val="both"/>
        <w:ind w:left="1480" w:hanging="648"/>
        <w:spacing w:after="0" w:line="272" w:lineRule="auto"/>
        <w:tabs>
          <w:tab w:leader="none" w:pos="1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or any of such Person’s Affiliates or Associates is (1) a Client of the same Investment Manager as another Person on whose account the Investment Manager holds such security, (2) an Estate Account or an Other Account of the same Trust Company as another Person on whose account the Trust Company holds such security, or (3) a Plan with the same Administrator as another Plan on whose account the Administrator holds such security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 w:name="page14"/>
    <w:bookmarkEnd w:id="13"/>
    <w:p>
      <w:pPr>
        <w:jc w:val="both"/>
        <w:ind w:left="1944" w:hanging="648"/>
        <w:spacing w:after="0" w:line="254" w:lineRule="auto"/>
        <w:tabs>
          <w:tab w:leader="none" w:pos="194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because such Person is (1) a Client of an Investment Manager and such security is owned at law or in equity by the Investment Manager, (2) an Estate Account or an Other Account of a Trust Company and such security is owned at law or in equity by the Trust Company or (3) a Plan and such security is owned at law or in equity by the Administrator of the Plan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 or</w:t>
      </w:r>
    </w:p>
    <w:p>
      <w:pPr>
        <w:spacing w:after="0" w:line="191"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person is the registered holder of securities as a result of carrying on the business of or acting as a nominee of a securities depository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Corporation or any duly constituted and empowered committee thereof;</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Toronto, Ontario are authorized or obligated by law to close;</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 Equivalent</w:t>
      </w:r>
      <w:r>
        <w:rPr>
          <w:rFonts w:ascii="Times New Roman" w:cs="Times New Roman" w:eastAsia="Times New Roman" w:hAnsi="Times New Roman"/>
          <w:sz w:val="18"/>
          <w:szCs w:val="18"/>
          <w:color w:val="auto"/>
        </w:rPr>
        <w:t>” of any amount which is expressed in United States dollars shall mean on any day the Canadian dollar equivalent of such amount determined by reference to the U.S.-Canadian Exchange Rate in effect on such date;</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on any given date shall mean the time on such date (or, if such date is not a Business Day, the time on the next succeeding Business Day) at which the principal office of the transfer agent for the Common Shares (or, after the Separation Time, the principal transfer office of the Rights Agent) is closed to the public; provided, however, that for the purposes of the definitions of “Competing Permitted Bid” and “Permitted Bid”, “close of business” on any date means 11:59 p.m. (local time at the place of deposit) on such date (or, if such date is not a Business Day, 11:59 p.m. (local time at the place of deposit) on the next succeeding Business Day);</w:t>
      </w:r>
    </w:p>
    <w:p>
      <w:pPr>
        <w:spacing w:after="0" w:line="179"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shall mean the common shares in the capital of the Corporation as presently constituted, as such shares may be subdivided, consolidated, reclassified or otherwise changed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Permitted Bid</w:t>
      </w:r>
      <w:r>
        <w:rPr>
          <w:rFonts w:ascii="Times New Roman" w:cs="Times New Roman" w:eastAsia="Times New Roman" w:hAnsi="Times New Roman"/>
          <w:sz w:val="18"/>
          <w:szCs w:val="18"/>
          <w:color w:val="auto"/>
        </w:rPr>
        <w:t>” shall mean a Take-over Bid which also complies with the following additional provisions:</w:t>
      </w:r>
    </w:p>
    <w:p>
      <w:pPr>
        <w:spacing w:after="0" w:line="22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after a Permitted Bid or another Competing Permitted Bid has been made and prior to the expiry, termination or withdrawal of such Permitted Bid or Competing Permitted Bid;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complies with all of the provisions of a Permitted Bid other than the condition set forth in Subsection (iii) of the definition of a Permitted Bid; and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176" w:lineRule="exact"/>
        <w:rPr>
          <w:sz w:val="20"/>
          <w:szCs w:val="20"/>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Person is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by another Person or two or more Persons acting jointly or in concert if:</w:t>
      </w:r>
    </w:p>
    <w:p>
      <w:pPr>
        <w:spacing w:after="0" w:line="229"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body corporate, securities entitled to vote in the election of directors carrying more than 50 percent of the votes for the election of directors are held, directly or indirectly, by or on behalf of the other Person or Persons and the votes carried by such securities are entitled, if exercised, to elect a majority of the board of directors of such body corporate;</w:t>
      </w:r>
    </w:p>
    <w:p>
      <w:pPr>
        <w:spacing w:after="0" w:line="17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other than a limited partnership, more than 50 percent of the interests in such partnership are held, directly or indirectly, by the other Person or Persons;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4" w:name="page15"/>
    <w:bookmarkEnd w:id="14"/>
    <w:p>
      <w:pPr>
        <w:ind w:left="1304" w:hanging="656"/>
        <w:spacing w:after="0" w:line="282" w:lineRule="auto"/>
        <w:tabs>
          <w:tab w:leader="none" w:pos="1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limited partnership, the other Person or each of the other Persons is the general partner of the limited partnership;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specified Person that is not a body corporate, a partnership or a limited partnership, more than 50 percent of the voting interests of such entity are held, directly or indirectly, by or for the benefit of the other Person or Persons;</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shall be interpreted accordingly;</w:t>
      </w:r>
    </w:p>
    <w:p>
      <w:pPr>
        <w:spacing w:after="0" w:line="225" w:lineRule="exact"/>
        <w:rPr>
          <w:sz w:val="20"/>
          <w:szCs w:val="20"/>
          <w:color w:val="auto"/>
        </w:rPr>
      </w:pPr>
    </w:p>
    <w:p>
      <w:pPr>
        <w:jc w:val="both"/>
        <w:ind w:left="644" w:hanging="644"/>
        <w:spacing w:after="0" w:line="268"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mean a security convertible, exercisable or exchangeable into a Voting Share and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an acquisition by a Person of Voting Shares upon the exercise, conversion or exchange of a Convertible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a Person pursuant to a Permitted Bid Acquisition, an Exempt Acquisition or a Pro Rata Acquisition;</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Co-Rights Agents</w:t>
      </w:r>
      <w:r>
        <w:rPr>
          <w:rFonts w:ascii="Times New Roman" w:cs="Times New Roman" w:eastAsia="Times New Roman" w:hAnsi="Times New Roman"/>
          <w:sz w:val="18"/>
          <w:szCs w:val="18"/>
          <w:color w:val="auto"/>
        </w:rPr>
        <w:t>” shall have the meaning ascribed thereto in Subsection 4.1(a);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Date</w:t>
      </w:r>
      <w:r>
        <w:rPr>
          <w:rFonts w:ascii="Times New Roman" w:cs="Times New Roman" w:eastAsia="Times New Roman" w:hAnsi="Times New Roman"/>
          <w:sz w:val="18"/>
          <w:szCs w:val="18"/>
          <w:color w:val="auto"/>
        </w:rPr>
        <w:t>” shall have the meaning ascribed thereto in Subsection 5.1(d);</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Reinvestment Acquisition</w:t>
      </w:r>
      <w:r>
        <w:rPr>
          <w:rFonts w:ascii="Times New Roman" w:cs="Times New Roman" w:eastAsia="Times New Roman" w:hAnsi="Times New Roman"/>
          <w:sz w:val="18"/>
          <w:szCs w:val="18"/>
          <w:color w:val="auto"/>
        </w:rPr>
        <w:t>” shall mean an acquisition of Voting Shares of any class pursuant to a Dividend Reinvestment Plan;</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Reinvestment Plan</w:t>
      </w:r>
      <w:r>
        <w:rPr>
          <w:rFonts w:ascii="Times New Roman" w:cs="Times New Roman" w:eastAsia="Times New Roman" w:hAnsi="Times New Roman"/>
          <w:sz w:val="18"/>
          <w:szCs w:val="18"/>
          <w:color w:val="auto"/>
        </w:rPr>
        <w:t>” shall mean a regular dividend reinvestment or other plan of the Corporation made available by the Corporation to holders of its securities where such plan permits the holder to direct that some or all of:</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respect of shares of any class of the Corporation;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redemption of shares of the Corporation;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evidences of indebtedness of the Corporation;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cash payments;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be applied to the purchase from the Corporation of Voting Shares;</w:t>
      </w:r>
    </w:p>
    <w:p>
      <w:pPr>
        <w:spacing w:after="0" w:line="221" w:lineRule="exact"/>
        <w:rPr>
          <w:sz w:val="20"/>
          <w:szCs w:val="20"/>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July 24, 2024;</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to Exercise</w:t>
      </w:r>
      <w:r>
        <w:rPr>
          <w:rFonts w:ascii="Times New Roman" w:cs="Times New Roman" w:eastAsia="Times New Roman" w:hAnsi="Times New Roman"/>
          <w:sz w:val="18"/>
          <w:szCs w:val="18"/>
          <w:color w:val="auto"/>
        </w:rPr>
        <w:t>” shall have the meaning ascribed thereto in Subsection 2.2(d)(ii);</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Acquisition</w:t>
      </w:r>
      <w:r>
        <w:rPr>
          <w:rFonts w:ascii="Times New Roman" w:cs="Times New Roman" w:eastAsia="Times New Roman" w:hAnsi="Times New Roman"/>
          <w:sz w:val="18"/>
          <w:szCs w:val="18"/>
          <w:color w:val="auto"/>
        </w:rPr>
        <w:t>” shall mean an acquisition by a Person of Voting Shares and/or Convertible Securities:</w:t>
      </w:r>
    </w:p>
    <w:p>
      <w:pPr>
        <w:spacing w:after="0" w:line="22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Board of Directors has waived the application of Section 3.1 pursuant to the provisions of Subsections 5.1(b), (c) or (d);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distribution of Voting Shares and/or Convertible Securities made by the Corporation (A) to the public pursuant to a prospectus or similar document, provided that such Person does not thereby become the Beneficial Owner of a greater percentage of Voting Shares so offered than the percentage of Voting Shares Beneficially Owned by such Person immediately prior to such distribution, or (B) pursuant to a distribution, provided that (x) all necessary stock exchange approvals for such private placement have been obtained and such distribution complies with the terms and conditions of such approvals, and (y) such Person does not thereby become the Beneficial Owner of Voting Shares equal in number to more than 25% of the Voting Shares outstanding immediately prior to the distribution and, in making this determination, the securities to be issued to such Person on the distribution shall be deemed to be held by such Person but shall not be included in the aggregate number of Voting Shares outstanding immediately prior to the distribution; or</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amalgamation, merger, arrangement or other statutory procedure requiring shareholder approval;</w:t>
      </w:r>
    </w:p>
    <w:p>
      <w:pPr>
        <w:spacing w:after="0" w:line="221"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as of any date, the price at which a holder may purchase the securities issuable upon exercise of one whole Right which, until adjustment thereof in accordance with the terms hereof, shall be:</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 an amount equal to three times the Market Price, from time to time, per Common Share; and</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5" w:name="page16"/>
    <w:bookmarkEnd w:id="15"/>
    <w:p>
      <w:pPr>
        <w:ind w:left="1304" w:hanging="656"/>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 amount equal to three times the Market Price, as at the Separation Time, per Common Share;</w:t>
      </w:r>
    </w:p>
    <w:p>
      <w:pPr>
        <w:spacing w:after="0" w:line="15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Factor</w:t>
      </w:r>
      <w:r>
        <w:rPr>
          <w:rFonts w:ascii="Times New Roman" w:cs="Times New Roman" w:eastAsia="Times New Roman" w:hAnsi="Times New Roman"/>
          <w:sz w:val="18"/>
          <w:szCs w:val="18"/>
          <w:color w:val="auto"/>
        </w:rPr>
        <w:t>” shall have the meaning ascribed thereto in Subsection 2.3(a)(x);</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means the earlier of:</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Time; and</w:t>
      </w:r>
    </w:p>
    <w:p>
      <w:pPr>
        <w:spacing w:after="0" w:line="225" w:lineRule="exact"/>
        <w:rPr>
          <w:sz w:val="20"/>
          <w:szCs w:val="20"/>
          <w:color w:val="auto"/>
        </w:rPr>
      </w:pPr>
    </w:p>
    <w:p>
      <w:pPr>
        <w:ind w:left="1304" w:hanging="656"/>
        <w:spacing w:after="0"/>
        <w:tabs>
          <w:tab w:leader="none" w:pos="13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this Agreement pursuant to Sections 5.17 or 5.18;</w:t>
      </w:r>
    </w:p>
    <w:p>
      <w:pPr>
        <w:spacing w:after="0" w:line="221"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Fiduciary</w:t>
      </w:r>
      <w:r>
        <w:rPr>
          <w:rFonts w:ascii="Times New Roman" w:cs="Times New Roman" w:eastAsia="Times New Roman" w:hAnsi="Times New Roman"/>
          <w:sz w:val="18"/>
          <w:szCs w:val="18"/>
          <w:color w:val="auto"/>
        </w:rPr>
        <w:t>” shall mean, when acting in that capacity, a trust company registered under the trust company legislation of Canada or any province thereof, a trust company organized under the laws of any state of the United States of America, a portfolio manager registered under the securities legislation of one or more provinces of Canada or an investment adviser registered under the United States Investment Advisers Act of 1940 or any other securities legislation of the United States of America or any state of the United States of America;</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Flip-in Event</w:t>
      </w:r>
      <w:r>
        <w:rPr>
          <w:rFonts w:ascii="Times New Roman" w:cs="Times New Roman" w:eastAsia="Times New Roman" w:hAnsi="Times New Roman"/>
          <w:sz w:val="18"/>
          <w:szCs w:val="18"/>
          <w:color w:val="auto"/>
        </w:rPr>
        <w:t>” shall mean a transaction in or pursuant to which any Person becomes an Acquiring Person;</w:t>
      </w:r>
    </w:p>
    <w:p>
      <w:pPr>
        <w:spacing w:after="0" w:line="225" w:lineRule="exact"/>
        <w:rPr>
          <w:sz w:val="20"/>
          <w:szCs w:val="20"/>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have the meaning ascribed thereto in Section 2.8;</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Shareholders</w:t>
      </w:r>
      <w:r>
        <w:rPr>
          <w:rFonts w:ascii="Times New Roman" w:cs="Times New Roman" w:eastAsia="Times New Roman" w:hAnsi="Times New Roman"/>
          <w:sz w:val="18"/>
          <w:szCs w:val="18"/>
          <w:color w:val="auto"/>
        </w:rPr>
        <w:t>” shall mean holders of Voting Shares, other than:</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Acquiring Person;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Offeror, other than a Person who, by virtue of Subsection 1.1(f)(iii)(B), is not deemed to Beneficially Own such Voting Shares at the relevant time;</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or Associate of such Acquiring Person or Offeror;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jointly or in concert with such Acquiring Person or Offeror; and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deferred profit sharing plan, stock participation plan and any other similar plan or trust for the benefit of employees of the Corporation or a Subsidiary of the Corporation, unless the beneficiaries of the plan or trust direct the manner in which the Voting Shares are to be voted or direct whether the Voting Shares are to be tendered to a Take-over Bid;</w:t>
      </w:r>
    </w:p>
    <w:p>
      <w:pPr>
        <w:spacing w:after="0" w:line="171"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per share of any securities on any date of determination shall mean the average of the daily closing prices per share 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192"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board lot sale price or, in case no such sale takes place on such date, the average of the closing bid and asked prices for each of such securities as reported by the securities exchange or national securities quotation system on which such securities are listed or admitted for trading on which the largest number of such securities were traded during the most recently completed calendar year;</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none of such prices is available on such day or the securities are not listed or admitted to trading on a securities exchange or on a national securities quotation system, the last sale price or, in case no such sale takes place on such date, the average of the high bid and low asked prices for each of such securities in the over-the-counter market, as quoted by any reporting system then in use (as selected by the Board of Directors); or</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6" w:name="page17"/>
    <w:bookmarkEnd w:id="16"/>
    <w:p>
      <w:pPr>
        <w:jc w:val="both"/>
        <w:ind w:left="1304" w:hanging="656"/>
        <w:spacing w:after="0" w:line="266" w:lineRule="auto"/>
        <w:tabs>
          <w:tab w:leader="none" w:pos="13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none of such prices is available on such day or the securities are not listed or admitted to trading on a securities exchange or quoted by any such reporting system, the average of the closing bid and asked prices as furnished by a professional market maker making a market in the securities selected in good faith by the Board of Directors;</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provided, however, that if for any reason none of such prices is available on such day, the closing price per share of such securities on such date means the fair value per share of such securities on such date as determined by a nationally or internationally recognized investment dealer or investment banker with respect to the fair value per share of such securities.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179" w:lineRule="exact"/>
        <w:rPr>
          <w:sz w:val="20"/>
          <w:szCs w:val="20"/>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62-104</w:t>
      </w:r>
      <w:r>
        <w:rPr>
          <w:rFonts w:ascii="Times New Roman" w:cs="Times New Roman" w:eastAsia="Times New Roman" w:hAnsi="Times New Roman"/>
          <w:sz w:val="18"/>
          <w:szCs w:val="18"/>
          <w:color w:val="auto"/>
        </w:rPr>
        <w:t xml:space="preserve">” means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shall have the meaning ascribed thereto in Subsection 2.2(c);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to Acquire</w:t>
      </w:r>
      <w:r>
        <w:rPr>
          <w:rFonts w:ascii="Times New Roman" w:cs="Times New Roman" w:eastAsia="Times New Roman" w:hAnsi="Times New Roman"/>
          <w:sz w:val="18"/>
          <w:szCs w:val="18"/>
          <w:color w:val="auto"/>
        </w:rPr>
        <w:t>” shall include:</w:t>
      </w:r>
    </w:p>
    <w:p>
      <w:pPr>
        <w:spacing w:after="0" w:line="22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to purchase or a solicitation of an offer to sell Voting Shares or a public announcement of an intention to make such an offer or solicitation;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acceptance of an offer to sell Voting Shares, whether or not such offer to sell has been solicited;</w:t>
      </w:r>
    </w:p>
    <w:p>
      <w:pPr>
        <w:spacing w:after="0" w:line="225"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or any combination thereof, and the Person accepting an offer to sell shall be deemed to be making an Offer to Acquire to the Person that made the offer to sell;</w:t>
      </w:r>
    </w:p>
    <w:p>
      <w:pPr>
        <w:spacing w:after="0" w:line="158" w:lineRule="exact"/>
        <w:rPr>
          <w:sz w:val="20"/>
          <w:szCs w:val="20"/>
          <w:color w:val="auto"/>
        </w:rPr>
      </w:pPr>
    </w:p>
    <w:p>
      <w:pPr>
        <w:ind w:left="644" w:hanging="644"/>
        <w:spacing w:after="0" w:line="286"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shall mean a Person who has made a public announcement of a current intention to make or who is making a Take-over Bid but only so long as the Take-over Bid so announced or made has not been withdrawn or terminated or has not expired;</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Bid</w:t>
      </w:r>
      <w:r>
        <w:rPr>
          <w:rFonts w:ascii="Times New Roman" w:cs="Times New Roman" w:eastAsia="Times New Roman" w:hAnsi="Times New Roman"/>
          <w:sz w:val="18"/>
          <w:szCs w:val="18"/>
          <w:color w:val="auto"/>
        </w:rPr>
        <w:t>” shall mean a Take-over Bid, made by an Offeror by way of take-over bid circular, which also complies with the following additional provisions:</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to all holders of Voting Shares on the books of the Corporation, other than the Offeror;</w:t>
      </w:r>
    </w:p>
    <w:p>
      <w:pPr>
        <w:spacing w:after="0" w:line="225"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unless more than 50% of the Voting Shares held by Independent Shareholders (x) shall have been deposited or tendered pursuant to the Take-over Bid and not withdrawn and (y) have previously been or are taken up at the same time;</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no earlier than the earlier of (A) 105 days following the date of the Take-over Bid and (B) the last day of the initial deposit period that the Offeror must allow securities to be deposited under the Take-over Bid pursuant to NI 62-104;</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80"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and (B) the term “Permitted Bid” shall include a Competing Permitted Bid;</w:t>
      </w:r>
    </w:p>
    <w:p>
      <w:pPr>
        <w:spacing w:after="0" w:line="176" w:lineRule="exact"/>
        <w:rPr>
          <w:sz w:val="20"/>
          <w:szCs w:val="20"/>
          <w:color w:val="auto"/>
        </w:rPr>
      </w:pPr>
    </w:p>
    <w:p>
      <w:pPr>
        <w:ind w:left="644" w:hanging="644"/>
        <w:spacing w:after="0" w:line="286"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Bid Acquisition</w:t>
      </w:r>
      <w:r>
        <w:rPr>
          <w:rFonts w:ascii="Times New Roman" w:cs="Times New Roman" w:eastAsia="Times New Roman" w:hAnsi="Times New Roman"/>
          <w:sz w:val="18"/>
          <w:szCs w:val="18"/>
          <w:color w:val="auto"/>
        </w:rPr>
        <w:t>” shall mean an acquisition of Voting Shares made pursuant to a Permitted Bid or a Competing Permitted Bid;</w:t>
      </w:r>
    </w:p>
    <w:p>
      <w:pPr>
        <w:spacing w:after="0" w:line="37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7" w:name="page18"/>
    <w:bookmarkEnd w:id="17"/>
    <w:p>
      <w:pPr>
        <w:jc w:val="both"/>
        <w:ind w:left="644" w:hanging="644"/>
        <w:spacing w:after="0" w:line="26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Lock-Up Agreement</w:t>
      </w:r>
      <w:r>
        <w:rPr>
          <w:rFonts w:ascii="Times New Roman" w:cs="Times New Roman" w:eastAsia="Times New Roman" w:hAnsi="Times New Roman"/>
          <w:sz w:val="18"/>
          <w:szCs w:val="18"/>
          <w:color w:val="auto"/>
        </w:rPr>
        <w:t>” shall mean an agreement between a Person and one or more holders of Voting Shares pursuant to which such holders (each a “</w:t>
      </w:r>
      <w:r>
        <w:rPr>
          <w:rFonts w:ascii="Times New Roman" w:cs="Times New Roman" w:eastAsia="Times New Roman" w:hAnsi="Times New Roman"/>
          <w:sz w:val="18"/>
          <w:szCs w:val="18"/>
          <w:b w:val="1"/>
          <w:bCs w:val="1"/>
          <w:color w:val="auto"/>
        </w:rPr>
        <w:t>Locked-Up Person</w:t>
      </w:r>
      <w:r>
        <w:rPr>
          <w:rFonts w:ascii="Times New Roman" w:cs="Times New Roman" w:eastAsia="Times New Roman" w:hAnsi="Times New Roman"/>
          <w:sz w:val="18"/>
          <w:szCs w:val="18"/>
          <w:color w:val="auto"/>
        </w:rPr>
        <w:t>”) agree to deposit or tender Voting Shares to a Take-over Bid (the “</w:t>
      </w:r>
      <w:r>
        <w:rPr>
          <w:rFonts w:ascii="Times New Roman" w:cs="Times New Roman" w:eastAsia="Times New Roman" w:hAnsi="Times New Roman"/>
          <w:sz w:val="18"/>
          <w:szCs w:val="18"/>
          <w:b w:val="1"/>
          <w:bCs w:val="1"/>
          <w:color w:val="auto"/>
        </w:rPr>
        <w:t>Lock-Up Bid</w:t>
      </w:r>
      <w:r>
        <w:rPr>
          <w:rFonts w:ascii="Times New Roman" w:cs="Times New Roman" w:eastAsia="Times New Roman" w:hAnsi="Times New Roman"/>
          <w:sz w:val="18"/>
          <w:szCs w:val="18"/>
          <w:color w:val="auto"/>
        </w:rPr>
        <w:t>”) made or to be made by such Person or any of such Person’s Affiliates or Associates or any other Person with which such Person is acting jointly or in concert, provided that:</w:t>
      </w:r>
    </w:p>
    <w:p>
      <w:pPr>
        <w:spacing w:after="0" w:line="180"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agreement are publicly disclosed and a copy of such agreement is made available to the public (including the Corporation) not later than the date of the Lock-Up Bid or, if the Lock-Up Bid has been made prior to the date on which such agreement is entered into, not later than the first business day following the date of such agreement;</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permits a Locked-Up Person to terminate its obligation to deposit or tender Voting Shares to or not to withdraw such Voting Shares from the Lock-Up Bid, in order to tender or deposit the Voting Shares to another Take-over Bid or to support another transaction:</w:t>
      </w:r>
    </w:p>
    <w:p>
      <w:pPr>
        <w:spacing w:after="0" w:line="17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price or value of the consideration per Voting Share offered under such other Take-over Bid or transaction:</w:t>
      </w:r>
    </w:p>
    <w:p>
      <w:pPr>
        <w:spacing w:after="0" w:line="225" w:lineRule="exact"/>
        <w:rPr>
          <w:rFonts w:ascii="Times New Roman" w:cs="Times New Roman" w:eastAsia="Times New Roman" w:hAnsi="Times New Roman"/>
          <w:sz w:val="18"/>
          <w:szCs w:val="18"/>
          <w:color w:val="auto"/>
        </w:rPr>
      </w:pPr>
    </w:p>
    <w:p>
      <w:pPr>
        <w:ind w:left="2584" w:hanging="640"/>
        <w:spacing w:after="0" w:line="282" w:lineRule="auto"/>
        <w:tabs>
          <w:tab w:leader="none" w:pos="2584"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the price or value of the consideration per Voting Share at which the Locked-Up Person has agreed to deposit or tender Voting Shares to the Lock-Up Bid; or</w:t>
      </w:r>
    </w:p>
    <w:p>
      <w:pPr>
        <w:spacing w:after="0" w:line="157" w:lineRule="exact"/>
        <w:rPr>
          <w:rFonts w:ascii="Times New Roman" w:cs="Times New Roman" w:eastAsia="Times New Roman" w:hAnsi="Times New Roman"/>
          <w:sz w:val="18"/>
          <w:szCs w:val="18"/>
          <w:color w:val="auto"/>
        </w:rPr>
      </w:pPr>
    </w:p>
    <w:p>
      <w:pPr>
        <w:jc w:val="both"/>
        <w:ind w:left="2584" w:hanging="640"/>
        <w:spacing w:after="0" w:line="259" w:lineRule="auto"/>
        <w:tabs>
          <w:tab w:leader="none" w:pos="2584"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as much as or more than a specified amount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the price or value of the consideration per Voting Share at which the Locked-Up Person has agreed to deposit or tender Voting Shares to the Lock-Up Bid, provided that such Specified Amount is not greater than 7% of the price or value of the consideration per Voting Share at which the Locked-Up Person has agreed to deposit or tender Voting Shares to the Lock-Up Bid; and</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61" w:lineRule="auto"/>
        <w:tabs>
          <w:tab w:leader="none" w:pos="19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Voting Shares offered to be purchased under the Lock-Up Bid is less than 100% of the Voting Shares held by Independent Shareholders, where the number of Voting Shares to be purchased under such other Take-over Bid or transaction at a price or value per Voting Share that is not less than the price or value per Voting Share offered under the Lock-Up Bid:</w:t>
      </w:r>
    </w:p>
    <w:p>
      <w:pPr>
        <w:spacing w:after="0" w:line="179"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the number of Voting Shares that the Offeror has offered to purchase under the Lock-Up Bid; or</w:t>
      </w:r>
    </w:p>
    <w:p>
      <w:pPr>
        <w:spacing w:after="0" w:line="221" w:lineRule="exact"/>
        <w:rPr>
          <w:rFonts w:ascii="Times New Roman" w:cs="Times New Roman" w:eastAsia="Times New Roman" w:hAnsi="Times New Roman"/>
          <w:sz w:val="18"/>
          <w:szCs w:val="18"/>
          <w:color w:val="auto"/>
        </w:rPr>
      </w:pPr>
    </w:p>
    <w:p>
      <w:pPr>
        <w:jc w:val="both"/>
        <w:ind w:left="2584" w:hanging="640"/>
        <w:spacing w:after="0" w:line="268" w:lineRule="auto"/>
        <w:tabs>
          <w:tab w:leader="none" w:pos="2584"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as much as or more than a specified number (the “</w:t>
      </w:r>
      <w:r>
        <w:rPr>
          <w:rFonts w:ascii="Times New Roman" w:cs="Times New Roman" w:eastAsia="Times New Roman" w:hAnsi="Times New Roman"/>
          <w:sz w:val="18"/>
          <w:szCs w:val="18"/>
          <w:b w:val="1"/>
          <w:bCs w:val="1"/>
          <w:color w:val="auto"/>
        </w:rPr>
        <w:t>Specified Number</w:t>
      </w:r>
      <w:r>
        <w:rPr>
          <w:rFonts w:ascii="Times New Roman" w:cs="Times New Roman" w:eastAsia="Times New Roman" w:hAnsi="Times New Roman"/>
          <w:sz w:val="18"/>
          <w:szCs w:val="18"/>
          <w:color w:val="auto"/>
        </w:rPr>
        <w:t>”) the number of Voting Shares that the Offeror has offered to purchase under the Lock-Up Bid, provided that the Specified Number is not greater than 7% of the number of Voting Shares offered to be purchased under the Lock-Up Bid,</w:t>
      </w:r>
    </w:p>
    <w:p>
      <w:pPr>
        <w:spacing w:after="0" w:line="175" w:lineRule="exact"/>
        <w:rPr>
          <w:sz w:val="20"/>
          <w:szCs w:val="20"/>
          <w:color w:val="auto"/>
        </w:rPr>
      </w:pPr>
    </w:p>
    <w:p>
      <w:pPr>
        <w:jc w:val="both"/>
        <w:ind w:left="1304"/>
        <w:spacing w:after="0" w:line="281" w:lineRule="auto"/>
        <w:rPr>
          <w:sz w:val="20"/>
          <w:szCs w:val="20"/>
          <w:color w:val="auto"/>
        </w:rPr>
      </w:pPr>
      <w:r>
        <w:rPr>
          <w:rFonts w:ascii="Times New Roman" w:cs="Times New Roman" w:eastAsia="Times New Roman" w:hAnsi="Times New Roman"/>
          <w:sz w:val="17"/>
          <w:szCs w:val="17"/>
          <w:color w:val="auto"/>
        </w:rPr>
        <w:t>and, for greater clarity, the agreement may contain a right of first refusal or require a period of delay to give such Person an opportunity to at least match a higher price or value in another Take-over Bid or transaction or other similar limitation on a Locked-up Person’s right to withdraw Voting Shares from the agreement, so long as the limitation does not preclude the exercise by the Locked-up Person of the right to withdraw Voting Shares during the period of the other Take-over Bid or transaction; and</w:t>
      </w:r>
    </w:p>
    <w:p>
      <w:pPr>
        <w:spacing w:after="0" w:line="160" w:lineRule="exact"/>
        <w:rPr>
          <w:sz w:val="20"/>
          <w:szCs w:val="20"/>
          <w:color w:val="auto"/>
        </w:rPr>
      </w:pPr>
    </w:p>
    <w:p>
      <w:pPr>
        <w:ind w:left="1304" w:hanging="656"/>
        <w:spacing w:after="0"/>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t>
      </w:r>
      <w:r>
        <w:rPr>
          <w:rFonts w:ascii="Times New Roman" w:cs="Times New Roman" w:eastAsia="Times New Roman" w:hAnsi="Times New Roman"/>
          <w:sz w:val="18"/>
          <w:szCs w:val="18"/>
          <w:b w:val="1"/>
          <w:bCs w:val="1"/>
          <w:color w:val="auto"/>
        </w:rPr>
        <w:t>break-up</w:t>
      </w:r>
      <w:r>
        <w:rPr>
          <w:rFonts w:ascii="Times New Roman" w:cs="Times New Roman" w:eastAsia="Times New Roman" w:hAnsi="Times New Roman"/>
          <w:sz w:val="18"/>
          <w:szCs w:val="18"/>
          <w:color w:val="auto"/>
        </w:rPr>
        <w:t>” fees, “</w:t>
      </w:r>
      <w:r>
        <w:rPr>
          <w:rFonts w:ascii="Times New Roman" w:cs="Times New Roman" w:eastAsia="Times New Roman" w:hAnsi="Times New Roman"/>
          <w:sz w:val="18"/>
          <w:szCs w:val="18"/>
          <w:b w:val="1"/>
          <w:bCs w:val="1"/>
          <w:color w:val="auto"/>
        </w:rPr>
        <w:t>top-up</w:t>
      </w:r>
      <w:r>
        <w:rPr>
          <w:rFonts w:ascii="Times New Roman" w:cs="Times New Roman" w:eastAsia="Times New Roman" w:hAnsi="Times New Roman"/>
          <w:sz w:val="18"/>
          <w:szCs w:val="18"/>
          <w:color w:val="auto"/>
        </w:rPr>
        <w:t>” fees, penalties, expenses or other amounts that exceed in aggregate the greater of:</w:t>
      </w:r>
    </w:p>
    <w:p>
      <w:pPr>
        <w:spacing w:after="0" w:line="229"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equivalent of 3% of the price or value of the consideration payable under the Lock-Up Bid to a Locked-Up Person; and</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amount by which the price or value of the consideration received by a Locked-Up Person under another Take-over Bid or transaction exceeds the price or value of the consideration that the Locked-Up Person would have received under the Lock-Up Bid,</w:t>
      </w:r>
    </w:p>
    <w:p>
      <w:pPr>
        <w:spacing w:after="0" w:line="176" w:lineRule="exact"/>
        <w:rPr>
          <w:sz w:val="20"/>
          <w:szCs w:val="20"/>
          <w:color w:val="auto"/>
        </w:rPr>
      </w:pPr>
    </w:p>
    <w:p>
      <w:pPr>
        <w:ind w:left="1304"/>
        <w:spacing w:after="0" w:line="282" w:lineRule="auto"/>
        <w:rPr>
          <w:sz w:val="20"/>
          <w:szCs w:val="20"/>
          <w:color w:val="auto"/>
        </w:rPr>
      </w:pPr>
      <w:r>
        <w:rPr>
          <w:rFonts w:ascii="Times New Roman" w:cs="Times New Roman" w:eastAsia="Times New Roman" w:hAnsi="Times New Roman"/>
          <w:sz w:val="18"/>
          <w:szCs w:val="18"/>
          <w:color w:val="auto"/>
        </w:rPr>
        <w:t>shall be payable by such Locked-Up Person pursuant to the agreement if the Locked-Up Person fails to deposit or tender Voting Shares to the Lock-Up Bid, withdraws Voting Shares previously tendered thereto or supports another transaction;</w:t>
      </w:r>
    </w:p>
    <w:p>
      <w:pPr>
        <w:spacing w:after="0" w:line="158" w:lineRule="exact"/>
        <w:rPr>
          <w:sz w:val="20"/>
          <w:szCs w:val="20"/>
          <w:color w:val="auto"/>
        </w:rPr>
      </w:pPr>
    </w:p>
    <w:p>
      <w:pPr>
        <w:jc w:val="both"/>
        <w:ind w:left="644" w:hanging="644"/>
        <w:spacing w:after="0" w:line="268"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include an individual, body corporate, firm, partnership, syndicate or other form of unincorporated association, trust, trustee, executor, administrator, legal personal representative, group, unincorporated organization, a government and its agencies or instrumentalities, or other entity whether or not having legal personality;</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8" w:name="page19"/>
    <w:bookmarkEnd w:id="18"/>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Acquisition</w:t>
      </w:r>
      <w:r>
        <w:rPr>
          <w:rFonts w:ascii="Times New Roman" w:cs="Times New Roman" w:eastAsia="Times New Roman" w:hAnsi="Times New Roman"/>
          <w:sz w:val="18"/>
          <w:szCs w:val="18"/>
          <w:color w:val="auto"/>
        </w:rPr>
        <w:t>” shall mean an acquisition by a Person of Voting Shares pursuant to:</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Reinvestment Acquisition;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dividend, stock split or other event in respect of securities of the Corporation of one or more particular classes or series pursuant to which such Person becomes the Beneficial Owner of Voting Shares on the same pro rata basis as all other holders of securities of the particular class, classes or series; or</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the exercise by the Person of rights to purchase Voting Shares issued by the Corporation to all holders of securities of the Corporation (other than holders resident in any jurisdiction where such issuance is restricted or impractical as a result of applicable law) of one or more particular classes or series pursuant to a rights offering provided that such rights are acquired directly from the Corporation and not from any other Person; or</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Voting Shares or of Convertible Securities made pursuant to a prospectus or by way of a private placement or a conversion or exchange of any Convertible Security;</w:t>
      </w:r>
    </w:p>
    <w:p>
      <w:pPr>
        <w:spacing w:after="0" w:line="162"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provided, however, that such Person does not thereby acquire a greater percentage of such Voting Shares or of Convertible Securities so offered than such Person’s percentage of Voting Shares Beneficially Owned immediately prior to such acquisition;</w:t>
      </w:r>
    </w:p>
    <w:p>
      <w:pPr>
        <w:spacing w:after="0" w:line="158" w:lineRule="exact"/>
        <w:rPr>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Time</w:t>
      </w:r>
      <w:r>
        <w:rPr>
          <w:rFonts w:ascii="Times New Roman" w:cs="Times New Roman" w:eastAsia="Times New Roman" w:hAnsi="Times New Roman"/>
          <w:sz w:val="18"/>
          <w:szCs w:val="18"/>
          <w:color w:val="auto"/>
        </w:rPr>
        <w:t>” shall have the meaning set forth in the recitals hereto;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shall have the meaning attributed thereto in Subsection 5.1(a);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shall mean a right to purchase a Common Share, upon the terms and subject to the conditions set forth in this Agreement;</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shall mean a certificate representing the Rights after the Separation Time, which shall be substantially in the form attached hereto as Attachment 1;</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shall have the meaning set forth in the recitals hereto;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Register</w:t>
      </w:r>
      <w:r>
        <w:rPr>
          <w:rFonts w:ascii="Times New Roman" w:cs="Times New Roman" w:eastAsia="Times New Roman" w:hAnsi="Times New Roman"/>
          <w:sz w:val="18"/>
          <w:szCs w:val="18"/>
          <w:color w:val="auto"/>
        </w:rPr>
        <w:t>” shall have the meaning ascribed thereto in Subsection 2.6(a)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Time</w:t>
      </w:r>
      <w:r>
        <w:rPr>
          <w:rFonts w:ascii="Times New Roman" w:cs="Times New Roman" w:eastAsia="Times New Roman" w:hAnsi="Times New Roman"/>
          <w:sz w:val="18"/>
          <w:szCs w:val="18"/>
          <w:color w:val="auto"/>
        </w:rPr>
        <w:t>” shall mean, subject to Subsection 5.1(d), the close of business on the tenth Trading Day after the earlier of:</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Acquisition Date;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commencement of or first public announcement of the current intention of any Person (other than the Corporation or any Subsidiary of the Corporation) to commence a Take-over Bid (other than a Permitted Bid or a Competing Permitted Bid); and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Permitted Bid or Competing Permitted Bid ceases to qualify as such;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or such later time as may be determined by the Board of Directors, provided that, if any Take-over Bid referred to in Subsection 1.1(uu)</w:t>
      </w:r>
    </w:p>
    <w:p>
      <w:pPr>
        <w:spacing w:after="0" w:line="27"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(ii) above expires, is not made, is cancelled, terminated or otherwise withdrawn prior to the Separation Time, such Take-over Bid shall be deemed, for the purposes of this definition, never to have been commenced, made or announced and further provided that if the Board of Directors determines, pursuant to Section 5.1, to waive the application of Section 3.1 to a Flip-in Event, then the Separation Time in respect of such Flip-in Event shall be deemed never to have occurred and further provided that if the foregoing results in the Separation Time being prior to the Record Time, the Separation Time shall be the Record Time;</w:t>
      </w:r>
    </w:p>
    <w:p>
      <w:pPr>
        <w:spacing w:after="0" w:line="182" w:lineRule="exact"/>
        <w:rPr>
          <w:sz w:val="20"/>
          <w:szCs w:val="20"/>
          <w:color w:val="auto"/>
        </w:rPr>
      </w:pPr>
    </w:p>
    <w:p>
      <w:pPr>
        <w:jc w:val="both"/>
        <w:ind w:left="644" w:hanging="644"/>
        <w:spacing w:after="0" w:line="262"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 Date</w:t>
      </w:r>
      <w:r>
        <w:rPr>
          <w:rFonts w:ascii="Times New Roman" w:cs="Times New Roman" w:eastAsia="Times New Roman" w:hAnsi="Times New Roman"/>
          <w:sz w:val="18"/>
          <w:szCs w:val="18"/>
          <w:color w:val="auto"/>
        </w:rPr>
        <w:t xml:space="preserve">” shall mean the first date of public announcement or disclosure by the Corporation or an Acquiring Person of facts indicating that a Person has become an Acquiring Person which for the purposes of this definition shall include, without limitation, a report filed pursuant to Part 5 of NI 62-104, Section 4.5 of National Instrument 62-103 –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or Section 13(d) of the 1934 Exchange Act announcing or disclosing such information;</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9" w:name="page20"/>
    <w:bookmarkEnd w:id="19"/>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 Person is a Subsidiary of another Person if:</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controlled by: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and one or more Persons each of which is controlled by that other;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each of which is controlled by that other;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Subsidiary of a Person that is that other’s Subsidiary;</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Bid</w:t>
      </w:r>
      <w:r>
        <w:rPr>
          <w:rFonts w:ascii="Times New Roman" w:cs="Times New Roman" w:eastAsia="Times New Roman" w:hAnsi="Times New Roman"/>
          <w:sz w:val="18"/>
          <w:szCs w:val="18"/>
          <w:color w:val="auto"/>
        </w:rPr>
        <w:t>” shall mean an Offer to Acquire Voting Shares or Convertible Securities, if, assuming that the Voting Shares or Convertible Securities subject to the Offer to Acquire are acquired and are Beneficially Owned at the date of such Offer to Acquire by the Person making such Offer to Acquire, the Voting Shares Beneficially Owned by the Person making the Offer to Acquire would constitute in the aggregate 20% or more of the outstanding Voting Shares at the date of the Offer to Acquire;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Time</w:t>
      </w:r>
      <w:r>
        <w:rPr>
          <w:rFonts w:ascii="Times New Roman" w:cs="Times New Roman" w:eastAsia="Times New Roman" w:hAnsi="Times New Roman"/>
          <w:sz w:val="18"/>
          <w:szCs w:val="18"/>
          <w:color w:val="auto"/>
        </w:rPr>
        <w:t>” shall mean the time at which the right to exercise Rights shall terminate pursuant to Section 5.1(g);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when used with respect to any securities, shall mean a day on which the securities exchange or national securities quotation system on which such securities are listed or admitted to trading on which the largest number of such securities were traded during the most recently completed calendar year is open for the transaction of business or, if the securities are not listed or admitted to trading on any securities exchange, a Business Day;</w:t>
      </w:r>
    </w:p>
    <w:p>
      <w:pPr>
        <w:spacing w:after="0" w:line="176"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 Canadian Exchange Rate</w:t>
      </w:r>
      <w:r>
        <w:rPr>
          <w:rFonts w:ascii="Times New Roman" w:cs="Times New Roman" w:eastAsia="Times New Roman" w:hAnsi="Times New Roman"/>
          <w:sz w:val="18"/>
          <w:szCs w:val="18"/>
          <w:color w:val="auto"/>
        </w:rPr>
        <w:t>” on any date shall mean:</w:t>
      </w:r>
    </w:p>
    <w:p>
      <w:pPr>
        <w:spacing w:after="0" w:line="22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Bank of Canada sets an average noon spot rate of exchange for the conversion of one United States dollar into Canadian dollars, such rate;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rate for such date for the conversion of one United States dollar into Canadian dollars which is calculated in the manner which shall be determined by the Board of Directors from time to time acting in good faith;</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 Equivalent</w:t>
      </w:r>
      <w:r>
        <w:rPr>
          <w:rFonts w:ascii="Times New Roman" w:cs="Times New Roman" w:eastAsia="Times New Roman" w:hAnsi="Times New Roman"/>
          <w:sz w:val="18"/>
          <w:szCs w:val="18"/>
          <w:color w:val="auto"/>
        </w:rPr>
        <w:t>” of any amount which is expressed in Canadian dollars means on any day the United States dollar equivalent of such amount determined by reference to the U.S.-Canadian Exchange Rate in effect on such date;</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Share Reduction</w:t>
      </w:r>
      <w:r>
        <w:rPr>
          <w:rFonts w:ascii="Times New Roman" w:cs="Times New Roman" w:eastAsia="Times New Roman" w:hAnsi="Times New Roman"/>
          <w:sz w:val="18"/>
          <w:szCs w:val="18"/>
          <w:color w:val="auto"/>
        </w:rPr>
        <w:t>” shall mean an acquisition or redemption by the Corporation of Voting Shares which, by reducing the number of Voting Shares outstanding, increases the percentage of outstanding Voting Shares Beneficially Owned by any Person to 20% or more of the Voting Shares then outstanding;</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Shares</w:t>
      </w:r>
      <w:r>
        <w:rPr>
          <w:rFonts w:ascii="Times New Roman" w:cs="Times New Roman" w:eastAsia="Times New Roman" w:hAnsi="Times New Roman"/>
          <w:sz w:val="18"/>
          <w:szCs w:val="18"/>
          <w:color w:val="auto"/>
        </w:rPr>
        <w:t>” shall mean the Common Shares and any other shares in the capital of the Corporation entitled to vote generally in the election of all directors;</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Securities Act</w:t>
      </w:r>
      <w:r>
        <w:rPr>
          <w:rFonts w:ascii="Times New Roman" w:cs="Times New Roman" w:eastAsia="Times New Roman" w:hAnsi="Times New Roman"/>
          <w:sz w:val="18"/>
          <w:szCs w:val="18"/>
          <w:color w:val="auto"/>
        </w:rPr>
        <w:t>” means the Securities Act of 1933 of the United States, as amended, and the rules and regulations thereunder, and any comparable or successor laws or regulations thereto;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Exchange Act</w:t>
      </w:r>
      <w:r>
        <w:rPr>
          <w:rFonts w:ascii="Times New Roman" w:cs="Times New Roman" w:eastAsia="Times New Roman" w:hAnsi="Times New Roman"/>
          <w:sz w:val="18"/>
          <w:szCs w:val="18"/>
          <w:color w:val="auto"/>
        </w:rPr>
        <w:t>” means the Securities Exchange Act of 1934 of the United States, as amended, and the rules and regulations thereunder, and any comparable or successor laws or regulations thereto.</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sums of money which are referred to in this Agreement are expressed in lawful money of Canada, unless otherwise specified.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Number and Gender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Wherever the context will require, terms (including defined terms) used herein importing the singular number only shall include the plural and vice versa and words importing any one gender shall include all others.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division of this Agreement into Articles, Sections, Subsections, Paragraphs, Subparagraphs or other portions hereof and the insertion of headings, subheadings and a table of contents are for convenience of reference only and shall not affect the construction or interpretation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Statutory 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any reference to a specific section, subsection, clause or rule of any act or regulation shall be deemed to refer to the same as it may be amended, reenacted or replaced or, if repealed and there shall be no replacement therefor, to the same as it is in effect on the date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Calculation of Number and Percentage of Beneficial Ownership of Outstanding Voting Shares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in determining the percentage of outstanding Voting Shares with respect to which a Person is or is deemed to be the Beneficial Owner, all unissued Voting Shares of which such Person is deemed to be the Beneficial Owner shall be deemed to be outstanding.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percentage of Voting Shares Beneficially Owned by any Person shall be and be deemed to be the product (expressed as a percentage) determined by the formula:</w:t>
      </w:r>
    </w:p>
    <w:p>
      <w:pPr>
        <w:spacing w:after="0" w:line="161" w:lineRule="exact"/>
        <w:rPr>
          <w:rFonts w:ascii="Times New Roman" w:cs="Times New Roman" w:eastAsia="Times New Roman" w:hAnsi="Times New Roman"/>
          <w:sz w:val="18"/>
          <w:szCs w:val="18"/>
          <w:color w:val="auto"/>
        </w:rPr>
      </w:pPr>
    </w:p>
    <w:p>
      <w:pPr>
        <w:ind w:left="1300" w:right="91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x A/B where:</w:t>
      </w:r>
    </w:p>
    <w:p>
      <w:pPr>
        <w:spacing w:after="0" w:line="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 = the number of votes for the election of directors of the Corporation generally attaching to the Voting Shares Beneficially Owned by such Person;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 the number of votes for the election of directors of the Corporation generally attaching to all outstanding Voting Shares.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The percentage of outstanding Voting Shares represented by any particular group of Voting Shares acquired or held by any Person shall be determined in like manner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Acting Jointly or in Concert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Person is acting jointly or in concert with every Person who is a party to an agreement, commitment, arrangement or understanding, whether formal or informal or written or unwritten, with the first Person to acquire or Offer to Acquire any Voting Shares or Convertible Securities (other than: (a) customary agreements with and between underwriters and/or banking group members and/or selling group members with respect to a distribution of securities by the Corporation; (b) pledges of securities in the ordinary course of business; and (c) Permitted Lock-Up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RIGHTS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Legend on Share Certificates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Certificates representing Voting Shares which are issued after the Record Time but prior to the earlier of the Separation Time and the Expiration Time, shall also evidence one Right for each Voting Share represented thereby until the earlier of the Separation Time or the Expiration Time and shall have impressed on, printed on, written on or otherwise affixed to them the following legend:</w:t>
      </w:r>
    </w:p>
    <w:p>
      <w:pPr>
        <w:spacing w:after="0" w:line="17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Until the earlier of the Separation Time or the Expiration Time (as both terms are defined in the Shareholder Rights Agreement referred to below), this certificate also evidences and entitles the holder hereof to certain Rights as set forth in a Shareholder Rights Plan Agreement dated as of July 24, 2024, as may be amended or supplemented from time to time (the “Shareholder Rights Agreement”), between Bitfarms Ltd. (the “Corporation”) and TSX Trust Company, as Rights Agent, the terms of which are incorporated herein by reference and a copy of which is on file at the principal executive offices of the Corporation. Under certain circumstances set out in the Shareholder Rights Agreement, the Rights may be amended or redeemed, may expire or may become void (if, in certain cases they are “Beneficially Owned” by an “Acquiring Person” as such terms are defined in the Shareholder Rights Agreement, whether currently held by or on behalf of such Person or a subsequent holder)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Initial Exercise Price; Exercise of Rights; Detachment of Rights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herein set forth, each Right will entitle the holder thereof, from and after the Separation Time and prior to the Expiration Time, to purchase one Common Share for the Exercise Price, or its U.S. Dollar Equivalent, as at the Business Day immediately preceding the Separation Time (which Exercise Price and number of Common Shares are subject to adjustment as set forth below). Notwithstanding any other provision of this Agreement, any Rights held by the Corporation or any of its Subsidiaries shall be void.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shall not be exercisable and no Right may be exercised; and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will be evidenced by the certificate for the associated Voting Share registered in the name of the holder thereof (which certificate shall also be deemed to represent a Rights Certificate) and will be transferable only together with, and will be transferred by a transfer of, such associated Voting Share.</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and prior to the Expiration Time: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shall be exercisable;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and transfer of Rights shall be separate from and independent of Voting Shares.</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Promptly following the Separation Time, the Corporation will prepare or cause to be prepared and the Rights Agent will, as soon as reasonably practicable, mail to each holder of record of Voting Shares as of the Separation Time and, in respect of each Convertible Security converted into Voting Shares after the Separation Time and prior to the Expiration Time, promptly after such conversion, the Corporation will prepare or cause to be prepared and the Rights Agent will mail to the holder so converting (other than in either case a person indicated by the Corporation in writing to be an Acquiring Person and any Transferee whose rights are or become null and void pursuant to Section 3.1(b) and, in respect of any Rights Beneficially Owned by such Acquiring Person or Transferee which are not held of record by such Acquiring Person or Transferee, the holder of record of such Rights as indicated by the Corporation in writing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at such holder’s address as shown by the records of the Corporation (the Corporation hereby agreeing to furnish copies of such records to the Rights Agent for this purpose):</w:t>
      </w:r>
    </w:p>
    <w:p>
      <w:pPr>
        <w:spacing w:after="0" w:line="188" w:lineRule="exact"/>
        <w:rPr>
          <w:sz w:val="20"/>
          <w:szCs w:val="20"/>
          <w:color w:val="auto"/>
        </w:rPr>
      </w:pPr>
    </w:p>
    <w:p>
      <w:pPr>
        <w:jc w:val="both"/>
        <w:ind w:left="1304" w:hanging="656"/>
        <w:spacing w:after="0" w:line="256" w:lineRule="auto"/>
        <w:tabs>
          <w:tab w:leader="none" w:pos="13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Certificate appropriately completed, representing the number of Rights held by such holder at the Separation Time or at the time of conversion, as applicable,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judicial or administrative order made pursuant thereto or with any rule or regulation of any self-regulatory organization, stock exchange or quotation system on which the Rights may from time to time be listed or traded, or to conform to usage; and</w:t>
      </w:r>
    </w:p>
    <w:p>
      <w:pPr>
        <w:spacing w:after="0" w:line="18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statement prepared by the Corporation describing the Rights,</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provided that a Nominee shall be sent the materials provided for in (x) and (y) only in respect of all Voting Shares held of record by it which are not Beneficially Owned by an Acquiring Person. In order for the Corporation to determine whether any Person is holding Voting Shares which are Beneficially Owned by another Person, the Corporation may require such first Person to furnish such information and documentation as the Corporation deems necessary.</w:t>
      </w:r>
    </w:p>
    <w:p>
      <w:pPr>
        <w:spacing w:after="0" w:line="180" w:lineRule="exact"/>
        <w:rPr>
          <w:sz w:val="20"/>
          <w:szCs w:val="20"/>
          <w:color w:val="auto"/>
        </w:rPr>
      </w:pPr>
    </w:p>
    <w:p>
      <w:pPr>
        <w:jc w:val="both"/>
        <w:ind w:left="644" w:hanging="644"/>
        <w:spacing w:after="0" w:line="266"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may be exercised, in whole or in part, on any Business Day after the Separation Time and prior to the Expiration Time by submitting to the Rights Agent at its office in Toronto, Canada or any other office of the Rights Agent in cities designated from time to time for that purpose by the Corporation with the approval of the Rights Agent: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 evidencing such Rights;</w:t>
      </w:r>
    </w:p>
    <w:p>
      <w:pPr>
        <w:spacing w:after="0" w:line="221" w:lineRule="exact"/>
        <w:rPr>
          <w:rFonts w:ascii="Times New Roman" w:cs="Times New Roman" w:eastAsia="Times New Roman" w:hAnsi="Times New Roman"/>
          <w:sz w:val="18"/>
          <w:szCs w:val="18"/>
          <w:color w:val="auto"/>
        </w:rPr>
      </w:pPr>
    </w:p>
    <w:p>
      <w:pPr>
        <w:jc w:val="both"/>
        <w:ind w:left="1304" w:hanging="656"/>
        <w:spacing w:after="0" w:line="262" w:lineRule="auto"/>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exercise such Rights (an “</w:t>
      </w:r>
      <w:r>
        <w:rPr>
          <w:rFonts w:ascii="Times New Roman" w:cs="Times New Roman" w:eastAsia="Times New Roman" w:hAnsi="Times New Roman"/>
          <w:sz w:val="18"/>
          <w:szCs w:val="18"/>
          <w:b w:val="1"/>
          <w:bCs w:val="1"/>
          <w:color w:val="auto"/>
        </w:rPr>
        <w:t>Election to Exercise</w:t>
      </w:r>
      <w:r>
        <w:rPr>
          <w:rFonts w:ascii="Times New Roman" w:cs="Times New Roman" w:eastAsia="Times New Roman" w:hAnsi="Times New Roman"/>
          <w:sz w:val="18"/>
          <w:szCs w:val="18"/>
          <w:color w:val="auto"/>
        </w:rPr>
        <w:t>”) substantially in the form attached to the Rights Certificate appropriately completed and duly executed by the holder or such holder’s executors or administrators or other personal representatives or such holder’s or their legal attorney duly appointed by an instrument in writing in form and executed in a manner satisfactory to the Rights Agent; and</w:t>
      </w:r>
    </w:p>
    <w:p>
      <w:pPr>
        <w:spacing w:after="0" w:line="180"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certified cheque, banker’s draft, money order or wire transfer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2" w:name="page23"/>
    <w:bookmarkEnd w:id="22"/>
    <w:p>
      <w:pPr>
        <w:jc w:val="both"/>
        <w:ind w:left="1300" w:hanging="644"/>
        <w:spacing w:after="0" w:line="261"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together with a completed Election to Exercise executed in accordance with Subsection 2.2(d)(ii), which does not indicate that such Right is null and void as provided by Subsection 3.1(b), and payment as set forth in Subsection 2.2(d) (iii), the Rights Agent (unless otherwise instructed by the Corporation in the event that the Corporation is of the opinion that the Rights cannot be exercised in accordance with this Agreement) will thereupon as soon as practicable:</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requisition from the transfer agent certificates representing the number of such Common Shares to be purchased (the Corporation hereby irrevocably authorizing its transfer agent to comply with all such requisitions);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requisition from the Corporation the amount of cash, if any, to be paid in lieu of issuing fractional Common Shares;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the certificates referred to in Subsection 2.2(e)(i), deliver the same to or upon the order of the registered holder of such Rights Certificates, registered in such name or names as may be designated by such holder;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after receipt, deliver the cash referred to in Subsection 2.2(e)(ii) to or to the order of the registered holder of such Rights Certificate;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to the Corporation all payments received on the exercise of Rights.</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For greater certainty, unless the Rights Agent shall have been notified in accordance with Subsection 2.3(j) hereof, it shall be entitled to assume that there has been no adjustment to the Exercise Price or the number of Rights.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and agrees that it will:</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to be reserved and kept available out of its authorized and unissued Common Shares the number of Common Shares that, as provided in this Agreement, will from time to time be sufficient to permit the exercise in full of all outstanding Rights;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and within its power to ensure that all Common Shares delivered upon exercise of Rights shall, at the time of delivery of the certificates for such Common Shares (subject to payment of the Exercise Price), be duly and validly authorized, executed, issued and delivered as fully paid and non-assessable;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and within its power to comply with the requirements of the OBCA, the Securities Act and the other applicable securities laws or comparable legislation of each of the provinces and territories of Canada, the 1933 Securities Act, the 1934 Exchange Act, and any other applicable law, rule or regulation, in connection with the issuance and delivery of the Rights, the Rights Certificates and the issuance of any Common Shares upon exercise of Rights;</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cause all Common Shares issued upon exercise of Rights to be listed on the stock exchanges and markets on which such Common Shares were traded immediately prior to the Stock Acquisition Date;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when due and payable, if applicable, any and all federal, provincial, state and municipal transfer taxes and charges (not including any income or capital taxes of the holder or exercising holder or any liability of the Corporation to withhold tax) which may be payable in respect of the original issuance or delivery of the Rights Certificates, or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delivery of certificates for Common Shares issued upon the exercise of Rights in a name other than that of the holder of the Rights being transferred or exercised; and</w:t>
      </w:r>
    </w:p>
    <w:p>
      <w:pPr>
        <w:spacing w:after="0" w:line="188"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except as permitted by Sections 5.1 and 5.4, not take (or permit any Subsidiary to take) any action if at the time such action is taken it is reasonably foreseeable that such action will diminish substantially or otherwise eliminate the benefits intended to be afforded by the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Adjustments to Exercise Price; Number of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the number and kind of securities subject to purchase upon exercise of each Right and the number of Rights outstanding are subject to adjustment from time to time as provided in this Section 2.3 and in Article 3.</w:t>
      </w:r>
    </w:p>
    <w:p>
      <w:pPr>
        <w:spacing w:after="0" w:line="16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Expiration Time: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 dividend on Common Shares payable in Common Shares or Convertible Securities in respect thereof other than pursuant to any Dividend Reinvestment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1960" w:hanging="656"/>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change the then outstanding Common Shares into a greater number of Common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change the then outstanding Common Shares into a smaller number of Common Shares;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Common Shares (or Convertible Securities in respect thereof) in respect of, in lieu of or in exchange for existing Common Shares except as otherwise provided in this Section 2.3,</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then 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Exercise Price and number of Rights outstanding are to be adjusted:</w:t>
      </w:r>
    </w:p>
    <w:p>
      <w:pPr>
        <w:spacing w:after="0" w:line="225" w:lineRule="exact"/>
        <w:rPr>
          <w:sz w:val="20"/>
          <w:szCs w:val="20"/>
          <w:color w:val="auto"/>
        </w:rPr>
      </w:pPr>
    </w:p>
    <w:p>
      <w:pPr>
        <w:jc w:val="both"/>
        <w:ind w:left="1960" w:hanging="656"/>
        <w:spacing w:after="0" w:line="261"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effect after such adjustment will be equal to the Exercise Price in effect immediately prior to such adjustment divided by the number of Common Shares (or other capital stock) (the “</w:t>
      </w:r>
      <w:r>
        <w:rPr>
          <w:rFonts w:ascii="Times New Roman" w:cs="Times New Roman" w:eastAsia="Times New Roman" w:hAnsi="Times New Roman"/>
          <w:sz w:val="18"/>
          <w:szCs w:val="18"/>
          <w:b w:val="1"/>
          <w:bCs w:val="1"/>
          <w:color w:val="auto"/>
        </w:rPr>
        <w:t>Expansion Factor</w:t>
      </w:r>
      <w:r>
        <w:rPr>
          <w:rFonts w:ascii="Times New Roman" w:cs="Times New Roman" w:eastAsia="Times New Roman" w:hAnsi="Times New Roman"/>
          <w:sz w:val="18"/>
          <w:szCs w:val="18"/>
          <w:color w:val="auto"/>
        </w:rPr>
        <w:t>”) that a holder of one Common Share immediately prior to such dividend, subdivision, change, consolidation or issuance would hold thereafter as a result thereof; and</w:t>
      </w:r>
    </w:p>
    <w:p>
      <w:pPr>
        <w:spacing w:after="0" w:line="180" w:lineRule="exact"/>
        <w:rPr>
          <w:sz w:val="20"/>
          <w:szCs w:val="20"/>
          <w:color w:val="auto"/>
        </w:rPr>
      </w:pPr>
    </w:p>
    <w:p>
      <w:pPr>
        <w:jc w:val="both"/>
        <w:ind w:left="1960" w:hanging="656"/>
        <w:spacing w:after="0" w:line="261"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held prior to such adjustment will become that number of Rights equal to the Expansion Factor, and the adjusted number of Rights will be deemed to be distributed among the Common Shares with respect to which the original Rights were associated (if they remain outstanding) and the shares issued in respect of such dividend, subdivision, change, consolidation or issuance, so that each such Common Share (or other capital stock) will have exactly one Right associated with 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of such dividend, subdivision, change, consolidation or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made pursuant to this Section 2.3(a) shall be made successively, whenever an event referred to in this Section 2.3(a) occurs.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after the Effective Date and prior to the Expiration Time, the Corporation shall issue any shares of capital stock other than Common Shares in a transaction of a type described in Subsections 2.3(a)(i) or 2.3(a)(iv), shares of such capital stock shall be treated herein as nearly equivalent to Common Shares as may be practicable and appropriate under the circumstances and the Corporation and the Rights Agent agree to amend this Agreement in order to effect such treatment.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occurs which would require an adjustment under both this Section 2.3 and Section 3.1, the adjustment provided for in this Section 2.3 shall be in addition to, and shall be made prior to, any adjustment required under Section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176" w:lineRule="exact"/>
        <w:rPr>
          <w:sz w:val="20"/>
          <w:szCs w:val="20"/>
          <w:color w:val="auto"/>
        </w:rPr>
      </w:pPr>
    </w:p>
    <w:p>
      <w:pPr>
        <w:jc w:val="both"/>
        <w:ind w:left="1300" w:hanging="644"/>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fix a record date for the issuance of rights, options or warrants (other than Rights) to all holders of Common Shares entitling them (for a period expiring within 45 calendar days after such record date) to subscribe for or purchase Common Shares (or Convertible Securities in respect of Common Shares) at a price per Common Share (or, in the case of a Convertible Security, having a conversion, exchange or exercise price per share, including the price required to be paid to purchase such Convertible Security) less than the Market Price per Common Share on such record date, the Exercise Price to be in effect after such record date shall be determined by multiplying the Exercise Price in effect immediately prior to such record date by a fraction:</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Securities, including the price required to be paid to purchase such Convertible Securities) would purchase at such Market Price per Common Share;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left="1304" w:hanging="656"/>
        <w:spacing w:after="0" w:line="266" w:lineRule="auto"/>
        <w:tabs>
          <w:tab w:leader="none" w:pos="13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number of Common Shares outstanding on such record date plus the number of additional Common Shares to be offered for subscription or purchase (or into which the Convertible Securities so to be offered are initially convertible, exchangeable or exercisable).</w:t>
      </w:r>
    </w:p>
    <w:p>
      <w:pPr>
        <w:spacing w:after="0" w:line="176"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192"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For purposes of this Agreement, the granting of the right to purchase Common Shares (whether from treasury or otherwise) pursuant to any Dividend Reinvestment Plan or any employee benefit, stock option or similar plans shall be deemed not to constitute an issue of rights, options or warrants by the Corporation; provided, however, that, in the case of any Dividend Reinvestment Plan or share purchase plan, the right to purchase Common Shares is at a price per share of not less than 90% of the current market price per share (determined as provided in such plans) of the Common Shares.</w:t>
      </w:r>
    </w:p>
    <w:p>
      <w:pPr>
        <w:spacing w:after="0" w:line="183" w:lineRule="exact"/>
        <w:rPr>
          <w:sz w:val="20"/>
          <w:szCs w:val="20"/>
          <w:color w:val="auto"/>
        </w:rPr>
      </w:pPr>
    </w:p>
    <w:p>
      <w:pPr>
        <w:jc w:val="both"/>
        <w:ind w:left="644" w:hanging="644"/>
        <w:spacing w:after="0" w:line="254"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fix a record date for the making of a distribution to all holders of Common Shares (including any such distribution made in connection with a merger or amalgamation) of evidences of indebtedness, cash (other than an annual cash dividend or a dividend paid in Common Shares, but including any dividend payable in securities other than Common Shares), assets or rights, options or warrants (excluding rights, options or warrants expiring within 45 calendar days after such record date) to purchase Common Shares or Convertible Securities in respect of Common Shares, the Exercise Price in effect after such record date shall be equal to the Exercise Price in effect immediately prior to such record date less the fair market value (as determined in good faith by the Board of Directors) of the portion of the evidences of indebtedness, cash, assets, rights, options or warrants so to be distributed applicable to the securities purchasable upon exercise of one Right. Such adjustment shall be made successively whenever such a record date is fixed.</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2.3(d) are not required to be made shall be carried forward and taken into account in any subsequent adjustment. All calculations under Section 2.3 shall be made to the nearest cent or to the nearest ten-thousandth of a share. Any adjustment required by Section 2.3 shall be made as of:</w:t>
      </w:r>
    </w:p>
    <w:p>
      <w:pPr>
        <w:spacing w:after="0" w:line="183"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effective date for the applicable dividend, subdivision, change, combination or issuance, in the case of an adjustment made pursuant to Subsection 2.3(a);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applicable dividend or distribution, the case of an adjustment made pursuant to Subsection 2.3(b) or (c), subject to readjustment to reverse the same if such distribution shall not be made.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issue any shares of capital stock (other than Common Shares), or rights, options or warrants to subscribe for or purchase any such capital stock, or securities convertible into or exchangeable for any such capital stock, in a transaction referred to in Subsection 2.3(a)(i) or (iv) or Subsections 2.3(b) or (c), if the Board of Directors acting in good faith determines that the adjustments contemplated by Subsections 2.3(a), (b) and (c) 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(b) and (c), such adjustments, rather than the adjustments contemplated by Subsections 2.3(a),</w:t>
      </w:r>
    </w:p>
    <w:p>
      <w:pPr>
        <w:spacing w:after="0" w:line="2" w:lineRule="exact"/>
        <w:rPr>
          <w:rFonts w:ascii="Times New Roman" w:cs="Times New Roman" w:eastAsia="Times New Roman" w:hAnsi="Times New Roman"/>
          <w:sz w:val="18"/>
          <w:szCs w:val="18"/>
          <w:color w:val="auto"/>
        </w:rPr>
      </w:pPr>
    </w:p>
    <w:p>
      <w:pPr>
        <w:ind w:left="6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and (c), shall be made. Subject to Subsections 5.4(b) and (c), the Corporation and the Rights Agent may, with the prior approval of the holders of the Common Shares, amend this Agreement as appropriate to provide for such adjustments.</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5" w:name="page26"/>
    <w:bookmarkEnd w:id="25"/>
    <w:p>
      <w:pPr>
        <w:jc w:val="both"/>
        <w:ind w:left="1300" w:hanging="644"/>
        <w:spacing w:after="0" w:line="255"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this Section 2.3 shall require that an adjustment in the Exercise Price be made effective as of a record date for a specified event, the Corporation may elect to defer until the occurrence of such event the issuance 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shares (fractional or otherwise) or other securities upon the occurrence of the event requiring such adjustment.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subdivision of Common Shares;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(wholly or in part for cash) of Common Shares or securities that by their terms are convertible into or exchangeable for Common Shares;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rights, options or warrants referred to in this Section 2.3,</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hereafter made by the Corporation to holders of its Common Shares, subject to applicable taxation laws, shall not be taxable to such shareholders or shall subject such shareholders to a lesser amount of tax.</w:t>
      </w:r>
    </w:p>
    <w:p>
      <w:pPr>
        <w:spacing w:after="0" w:line="162"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 adjustment to the Exercise Price is made pursuant to this Section 2.3, the Corporation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 certificate setting forth such adjustment and a brief statement of the facts accounting for such adjustment;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with the Rights Agent and with each transfer agent for the Common Shares a copy of such certificate and mail a brief summary thereof to each holder of Rights who requests a copy;</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Failure to file such certificate or to cause such notice to be given as aforesaid, or any defect therein, shall not affect the validity of any such adjustment or change.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Date on Which Exercise Is Effective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in whose name any certificate for Common Shares or other securities, if applicable, is issued upon the exercise of Rights shall for all purposes be deemed to have become the absolute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shares on, and such certificate shall be dated, the next succeeding Business Day on which the Common Share transfer books of the Corporation are open.</w:t>
      </w:r>
    </w:p>
    <w:p>
      <w:pPr>
        <w:spacing w:after="0" w:line="1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Execution, Authentication, Delivery and Dating of Rights Certificates</w:t>
      </w:r>
    </w:p>
    <w:p>
      <w:pPr>
        <w:spacing w:after="0" w:line="148" w:lineRule="exact"/>
        <w:rPr>
          <w:sz w:val="20"/>
          <w:szCs w:val="20"/>
          <w:color w:val="auto"/>
        </w:rPr>
      </w:pPr>
    </w:p>
    <w:p>
      <w:pPr>
        <w:jc w:val="both"/>
        <w:ind w:left="1300" w:hanging="644"/>
        <w:spacing w:after="0" w:line="25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Corporation by its Chair of the Board, Chief Executive Officer, President, Chief Financial Officer or any Vice-President and by its Corporate Secretary or any Assistant Secretary under the corporate seal of the Corporation reproduced thereon.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1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Corporation learns of the Separation Time, the Corporation will notify the Rights Agent of such Separation Time and will deliver Rights Certificates executed by the Corporation and disclosure statements describing the Rights to the Rights Agent for countersignature, and the Rights Agent shall countersign (manually or by facsimile signature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1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Rights Certificate shall be dated the date of countersignature thereof.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Registration, Transfer and Exchange</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the Corporation will cause to be kept a register (the “</w:t>
      </w:r>
      <w:r>
        <w:rPr>
          <w:rFonts w:ascii="Times New Roman" w:cs="Times New Roman" w:eastAsia="Times New Roman" w:hAnsi="Times New Roman"/>
          <w:sz w:val="18"/>
          <w:szCs w:val="18"/>
          <w:b w:val="1"/>
          <w:bCs w:val="1"/>
          <w:color w:val="auto"/>
        </w:rPr>
        <w:t>Rights Register</w:t>
      </w:r>
      <w:r>
        <w:rPr>
          <w:rFonts w:ascii="Times New Roman" w:cs="Times New Roman" w:eastAsia="Times New Roman" w:hAnsi="Times New Roman"/>
          <w:sz w:val="18"/>
          <w:szCs w:val="18"/>
          <w:color w:val="auto"/>
        </w:rPr>
        <w:t>”) in which, subject to such reasonable regulations as it may prescribe, the Corporation will provide for the registration and transfer of Rights. The Rights Agent, at its office in the City of Toronto, is hereby appointed registrar for the Rights (the “</w:t>
      </w:r>
      <w:r>
        <w:rPr>
          <w:rFonts w:ascii="Times New Roman" w:cs="Times New Roman" w:eastAsia="Times New Roman" w:hAnsi="Times New Roman"/>
          <w:sz w:val="18"/>
          <w:szCs w:val="18"/>
          <w:b w:val="1"/>
          <w:bCs w:val="1"/>
          <w:color w:val="auto"/>
        </w:rPr>
        <w:t>Rights Registrar</w:t>
      </w:r>
      <w:r>
        <w:rPr>
          <w:rFonts w:ascii="Times New Roman" w:cs="Times New Roman" w:eastAsia="Times New Roman" w:hAnsi="Times New Roman"/>
          <w:sz w:val="18"/>
          <w:szCs w:val="18"/>
          <w:color w:val="auto"/>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and prior to the Expiration Time, upon surrender for registration of transfer or exchange of any Rights Certificate, and subject to the provisions of Subsection 2.6(d),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Mutilated, Destroyed, Lost and Stolen Rights Certificates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delivered to the Corporation and the Rights Agent prior to the Expiration Time: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to their reasonable satisfaction of the destruction, loss or theft of any Rights Certificate;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reasonably required by each of them in their sole discretion to save each of them and any of their agents harmless,</w:t>
      </w:r>
    </w:p>
    <w:p>
      <w:pPr>
        <w:spacing w:after="0" w:line="160"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 xml:space="preserve">then, in the absence of notice to the Corporation or the Rights Agent that such Rights Certificate has been acquired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182" w:lineRule="exact"/>
        <w:rPr>
          <w:sz w:val="20"/>
          <w:szCs w:val="20"/>
          <w:color w:val="auto"/>
        </w:rPr>
      </w:pPr>
    </w:p>
    <w:p>
      <w:pPr>
        <w:jc w:val="both"/>
        <w:ind w:left="1300" w:hanging="644"/>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Persons Deemed Owners of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“holder” of any Right shall mean the registered holder of such Right (or, prior to the Separation Time, of the associated Common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Delivery and Cancellation of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destroy all cancelled Rights Certificates and, upon request of the Corporation, deliver a certificate of destruction to the Corporation.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Agreement of Rights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holder of Rights, by accepting the same, consents and agrees with the Corporation and the Rights Agent and with every other holder of Rights:</w:t>
      </w:r>
    </w:p>
    <w:p>
      <w:pPr>
        <w:spacing w:after="0" w:line="225" w:lineRule="exact"/>
        <w:rPr>
          <w:sz w:val="20"/>
          <w:szCs w:val="20"/>
          <w:color w:val="auto"/>
        </w:rPr>
      </w:pPr>
    </w:p>
    <w:p>
      <w:pPr>
        <w:ind w:left="1300" w:right="2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bound by and subject to the provisions of this Agreement, as amended from time to time in accordance with the terms hereof, in respect of all Rights held;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the Separation Time, each Right will be transferable only together with, and will be transferred by a transfer of, the associated Voting Share certificate representing such Right;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after the Separation Time, the Rights Certificates will be transferable only on the Rights Register as provided herein;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due presentment of a Rights Certificate (or, prior to the Separation Time, the associated Voting Share certificate) for registration of transfer, the Corporation, the Rights Agent and any agent of the Corporation or the Rights Agent may deem and treat the Person in whose name the Rights Certificate (or, prior to the Separation Time, the associated Voting Share certificate)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of Rights has waived his right to receive any fractional Rights or any fractional shares or other securities upon exercise of a Right (except as provided herein);</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the provisions of Section 5.4, without the approval of any holder of Rights or Voting Shares and upon the sole authority of the Board of Directors, acting in good faith, this Agreement may be supplemented or amended from time to time pursuant to and as provided herein;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notwithstanding anything in this Agreement to the contrary, neither the Corporation nor the Rights Agent shall have any liability to any holder of a Right or any other Person as a result of its inability to perform any of its obligations under this Agreement by reason of preliminary or permanent injunctions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Rights Certificate Holder Not Deemed a Shareholder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as such, of any Rights or Rights Certificate shall be entitled to vote, receive dividends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 Common Shares or any other shares or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shares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TO THE RIGHTS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Flip-in Event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3.1(b) and Section 5.1, in the event that prior to the Expiration Time a Flip-in Event shall occur, each Right shall constitute, effective at the close of business on the tenth Trading Day after the Stock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upon the occurrence of any Flip-in Event, any Rights that are or were Beneficially Owned on or after the earlier of the Separation Time or the Stock Acquisition Date by: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Person (or any Affiliate or Associate of an Acquiring Person or any other Person acting jointly or in concert with an Acquiring Person or any Affiliate or Associate of such other Person); or</w:t>
      </w:r>
    </w:p>
    <w:p>
      <w:pPr>
        <w:spacing w:after="0" w:line="15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or other successor in title, directly or indirectly,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of Rights held by an Acquiring Person (or any Affiliate or Associate of an Acquiring Person or any other Person acting jointly or in concert with an Acquiring Person or any Affiliate or Associate of such other Person), where such Transferee becomes a transferee concurrently with or subsequent to the Acquiring Person becoming such in a transfer that the Board of Directors acting in good faith has determined is part of a plan, arrangement or scheme of an Acquiring Person (or any Affiliate or Associate of an Acquiring Person or any other Person acting jointly or in concert with an Acquiring Person or any Affiliate or Associate of such other Person), that has the purpose or effect of avoiding Subsection 3.1(b)(i),</w:t>
      </w:r>
    </w:p>
    <w:p>
      <w:pPr>
        <w:spacing w:after="0" w:line="18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shall become null and void without any further action, and any holder of such Rights (including any Transferee) shall thereafter have no right to exercise such Rights under any provision of this Agreement and further shall thereafter not have any other rights whatsoever with respect to such Rights, whether under any provision of this Agreement or otherwise. The holder of any Rights represented by a Rights Certificate which is submitted to the Rights Agent upon exercise or for registration or transfer or exchange which does not contain the necessary certifications set forth in the Rights Certificate establishing that such Rights are not null and void under this Subsection 3.1(b) shall be deemed to be an Acquiring Person for the purposes of this Subsection 3.1 and such Rights shall become null and void.</w:t>
      </w:r>
    </w:p>
    <w:p>
      <w:pPr>
        <w:spacing w:after="0" w:line="187" w:lineRule="exact"/>
        <w:rPr>
          <w:sz w:val="20"/>
          <w:szCs w:val="20"/>
          <w:color w:val="auto"/>
        </w:rPr>
      </w:pPr>
    </w:p>
    <w:p>
      <w:pPr>
        <w:jc w:val="both"/>
        <w:ind w:left="1300" w:hanging="644"/>
        <w:spacing w:after="0" w:line="25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OBCA, the Securities Act and the other applicable securities laws or comparable legislation of each of the provinces and territories of Canada and in any other jurisdiction where the Corporation is subject to such laws and the rules of the stock exchanges or quotation systems where the Common Shares are listed or quoted at such time in respect of the issue of Common Shares upon the exercise of Rights in accordance with this Agreement.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Certificate that represents Rights Beneficially Owned by a Person described in either Subsection 3.1(b)(i) or (ii) or transferred to any Nominee of any such Person, and any Rights Certificate issued upon transfer, exchange, replacement or adjustment of any other Rights Certificate referred to in this sentence, shall contain or will be deemed to contain the following legend:</w:t>
      </w:r>
    </w:p>
    <w:p>
      <w:pPr>
        <w:spacing w:after="0" w:line="176"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The Rights represented by this Rights Certificate were issued to a Person who was an Acquiring Person or an Affiliate or an Associate of an Acquiring Person (as such terms are defined in the Shareholder Rights Agreement) or a Person who was acting jointly or in concert with an Acquiring Person or an Affiliate or Associate of such Person. This Rights Certificate and the Rights represented hereby are void or shall become void in the circumstances specified in Subsection 3.1(b) of the Shareholder Rights Agreement.</w:t>
      </w:r>
    </w:p>
    <w:p>
      <w:pPr>
        <w:spacing w:after="0" w:line="183"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 and provided further that the fact that such legend does not appear on a certificate is not determinative of whether any Rights represented thereby are void under this Section.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300" w:hanging="644"/>
        <w:spacing w:after="0" w:line="25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Times New Roman" w:cs="Times New Roman" w:eastAsia="Times New Roman" w:hAnsi="Times New Roman"/>
          <w:sz w:val="18"/>
          <w:szCs w:val="18"/>
          <w:b w:val="1"/>
          <w:bCs w:val="1"/>
          <w:color w:val="auto"/>
        </w:rPr>
        <w:t>Co-Rights Agents</w:t>
      </w:r>
      <w:r>
        <w:rPr>
          <w:rFonts w:ascii="Times New Roman" w:cs="Times New Roman" w:eastAsia="Times New Roman" w:hAnsi="Times New Roman"/>
          <w:sz w:val="18"/>
          <w:szCs w:val="18"/>
          <w:color w:val="auto"/>
        </w:rPr>
        <w:t>”) as it may deem necessary or desirable. In the event the Corporation appoints one or more Co-Rights Agents, the respective duties of the Rights Agent and Co-Rights Agents shall be as the Corporation may determine with the approval of the Rights Agent and the Co-Rights Agent. The Corporation agrees to pay to the Rights Agent reasonable compensation for all services rendered by it hereunder and, from time to time, on demand of the Rights Agent, its reasonable expenses and counsel fees and other disbursements reasonably incurred in the administration and execution of this Agreement and the exercise and performance of its duties hereunder (including the fees and disbursements of any expert or advisor retained by the Rights Agent pursuant to Section 4.3(a)). The Corporation also agrees to indemnify the Rights Agent, and its officers, directors, employees, affiliates and agents for, and to hold it and them harmless against, any loss, liability or expense, incurred without gross negligence, bad faith or wilful misconduct on the part of the Rights Agent or such persons, for anything done or omitted by the Rights Agent or such persons in connection with the acceptance and administration of this Agreement, including legal costs and expenses, which right to indemnification will survive the termination of this Agreement and the resignation or removal of the Rights Agent. Any liability of the Rights Agent will be limited in the aggregate to an amount equal to the annual fee paid by the Corporation pursuant to this Agreement.</w:t>
      </w:r>
    </w:p>
    <w:p>
      <w:pPr>
        <w:spacing w:after="0" w:line="19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certifying the then current officers of the Corporation.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Merger, Amalgamation or Consolidation or Change of Name of Rights Agent</w:t>
      </w:r>
    </w:p>
    <w:p>
      <w:pPr>
        <w:spacing w:after="0" w:line="229" w:lineRule="exact"/>
        <w:rPr>
          <w:sz w:val="20"/>
          <w:szCs w:val="20"/>
          <w:color w:val="auto"/>
        </w:rPr>
      </w:pPr>
    </w:p>
    <w:p>
      <w:pPr>
        <w:jc w:val="both"/>
        <w:ind w:left="1300" w:hanging="644"/>
        <w:spacing w:after="0" w:line="253"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Duties of Rights Agent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spacing w:after="0" w:line="162" w:lineRule="exact"/>
        <w:rPr>
          <w:sz w:val="20"/>
          <w:szCs w:val="20"/>
          <w:color w:val="auto"/>
        </w:rPr>
      </w:pPr>
    </w:p>
    <w:p>
      <w:pPr>
        <w:jc w:val="both"/>
        <w:ind w:left="1300" w:hanging="644"/>
        <w:spacing w:after="0" w:line="258"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retain and consult with legal counsel (who may be legal counsel for the Corporation) and the opinion of such counsel will be full and complete authorization and protection to the Rights Agent as to any action taken or omitted by it in good faith and in accordance with such opinion and the Rights Agent may also consult with such other experts as the Rights Agent may reasonably consider necessary or appropriate to properly carry out the duties and obligations imposed under this Agreement (at the expense of the Corporation) and the Rights Agent shall be entitled to act and rely in good faith on the advice of any such expert;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left="644" w:hanging="644"/>
        <w:spacing w:after="0" w:line="255"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deems it necessary or desirable that any fact or matter be proved or 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 of the Board, Chief Executive Officer, President, Chief Financial Officer, any Vice-President, Treasurer, Corporate Secretary or any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be liable hereunder only for its own gross negligence, bad faith or wilful misconduct;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liable for or by reason of any of the statements of fact or recitals contained in this Agreement or in the certificates for Common Shares or the Rights Certificates (except its countersignature thereof which countersignature shall not be construed as a representation or warranty by the Rights Agent as to the validity of this Agreement or the Rights Certificate (except the due certification thereof)), or be required to verify the same, but all such statements and recitals are and will be deemed to have been made by the Corporation only;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or Rights Certificate (except its countersignature thereof, which countersignature shall not be construed as a representation or warranty by the Rights Agent as to the validity of this Agreement or the Rights Certificate (except the due certification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or any written notice from the Corporation or any holder that a Person has become an Acquiring Person);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in writing with respect to the performance of its duties hereunder from any individual believed by the Rights Agent to be the Chair of the Board, President, Chief Executive Officer, Chief Financial Officer, any Vice-President, Treasurer, Corporate Secretary or any Assistant Secretary of the Corporation, and to apply to such individuals for advice or instructions in connection with its duties, and it shall not be liable for any action taken or suffered by it in good faith in accordance with instructions of any such individual. It is understood that instructions to the Rights Agent shall, except where circumstances make it impractical or the Rights Agent otherwise agrees, be given in writing and, where not in writing, such instructions shall be confirmed in writing as soon as practicable after the giving of such instructions;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ensure or verify compliance with any applicable laws or regulatory requirements on the issue, exercise or transfer of any Rights or Common Shares issuable upon the exercise thereof. The Rights Agent shall be entitled to process all transfers and exercises of Rights upon the presumption that such transfers or exercises are permissible pursuant to all applicable laws and regulatory requirements;</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ensure that the legends appearing on the Rights Certificates or Common Shares comply with regulatory requirements or securities laws of any applicable jurisdiction;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Corporation resulting from any such act, default, neglect or misconduct, provided reasonable care was exercised in the selection and continued employment thereof.</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1" w:name="page32"/>
    <w:bookmarkEnd w:id="3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Change of Rights Agent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Rights Agent may resign and be discharged from its duties under this Agreement upon 60 days’ notice (or such lesser notice as is acceptable to the Corporation) in writing mailed to the Corporation and to each transfer agent of Common Shares by registered or certified mail and to the holders of Rights in accordance with Section 5.9. The Corporation may remove the Rights Agent upon 30 days’ notice in writing, mailed to the Rights Agent and to each transfer agent of the Common Shares by registered or certified mail and to the holders of Rights in accordance with Section 5.9.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(at the Corporation’s expense) or the holder of any Rights (which holder shall, with such notice, submit such holder’s Rights Certificate, if any, for inspection by the Corporation), may apply, at the Corporation’s expense, to any court of competent jurisdiction for the appointment of a new Rights Agent. Any successor Rights Agent, whether appointed by the Corporation or by such a court, shall be a corporation incorporated under the laws of Canada or a province thereof authorized to carry on the business of a trust company in the Province of Ontario. After appointment, the successor Rights Agent will be vested with the same powers, rights, duties and responsibilities as if it had been originally named as Rights Agent without further act or deed; but the predecessor Rights Agent shall, upon payment in full of any outstanding amounts owing by the Corporation to the Rights Agent under this Agreement,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Compliance with Anti-Money Laundering Legislation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Agent shall retain the right not to act and shall not be liable for refusing to act if, due to a lack of information or for any other reason, the Rights Agent reasonably determines that such an act might cause it to be in non-compliance with any applicable anti-money laundering, anti-terrorist or economics sanctions legislation, regulation or guideline. Further, should the Rights Agent reasonably determine at any time that its acting under this Agreement has resulted in it being in non-compliance with any applicable anti-money laundering, anti-terrorist or economics sanctions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Privacy Legislation</w:t>
      </w:r>
    </w:p>
    <w:p>
      <w:pPr>
        <w:spacing w:after="0" w:line="225" w:lineRule="exact"/>
        <w:rPr>
          <w:sz w:val="20"/>
          <w:szCs w:val="20"/>
          <w:color w:val="auto"/>
        </w:rPr>
      </w:pPr>
    </w:p>
    <w:p>
      <w:pPr>
        <w:jc w:val="both"/>
        <w:ind w:firstLine="7"/>
        <w:spacing w:after="0" w:line="257" w:lineRule="auto"/>
        <w:rPr>
          <w:sz w:val="20"/>
          <w:szCs w:val="20"/>
          <w:color w:val="auto"/>
        </w:rPr>
      </w:pPr>
      <w:r>
        <w:rPr>
          <w:rFonts w:ascii="Times New Roman" w:cs="Times New Roman" w:eastAsia="Times New Roman" w:hAnsi="Times New Roman"/>
          <w:sz w:val="18"/>
          <w:szCs w:val="18"/>
          <w:color w:val="auto"/>
        </w:rPr>
        <w:t>The parties acknowledge that federal and/or provincial legislation that addresses the protection of individual’s personal information (collectively,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applies to obligations and activities under this Agreement. Despite any other provision of this Agreement, neither party will take or direct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Liability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Redemption and Waiver</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with the prior approval of the holders of Voting Shares or of the holders of Rights given in accordance with Section 5.1(i) or (j), as the case may be, at any time prior to the occurrence of a Flip-in Event as to which the application of Section 3.1 has not been waived pursuant to the provisions of this Section 5.1, elect to redeem all but not less than all of the then outstanding Rights at a redemption price of $0.00001 per Right appropriately adjusted in a manner analogous to the applicable adjustment provided for in Section 2.3 in the event that an event of the type analogous to any of the events described in Section 2.3 shall have occurred (such redemption price being herein referred to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left="644" w:hanging="644"/>
        <w:spacing w:after="0" w:line="255"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with the prior approval of the holders of Voting Shares given in accordance with Section 5.1(i), determine, at any time prior to the occurrence of a Flip-in Event as to which the application of Section 3.1 has not been waived pursuant to this Section 5.1, if such Flip-in Event would occur by reason of an acquisition of Voting Shares otherwise than pursuant to a Take-over Bid made by means of a take-over bid circular to all holders of record of Voting Shares and otherwise than in the circumstances set forth in Subsection 5.1(d), to waive the application of Section 3.1 to such Flip-in Event. In the event that the Board of Directors proposes such a waiver, the Board of Directors shall extend the Separation Time to a date subsequent to and not more than ten Business Days following the meeting of shareholders called to approve such waiver.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until the occurrence of a Flip-in Event upon prior written notice delivered to the Rights Agent, determine to waive the application of Section 3.1 to such particular Flip-in Event provided that the Flip-in Event would occur by reason of a Take-over Bid made by way of take-over bid circular sent to all holders of Voting Shares (which for greater certainty shall not include the circumstances described in Subsection 5.1(d)); provided that if the Board of Directors waives the application of Section 3.1 to a particular Flip-in Event pursuant to this Subsection 5.1(c), the Board of Directors shall be deemed to have waived the application of Section 3.1 to any other Flip-in Event subsequently occurring by reason of any Take-over Bid which is made by means of a take-over bid circular to all holders of Voting Shares prior to the expiry of any Take-over Bid in respect of which a waiver is, or is deemed to have been, granted under this Subsection 5.1(c).</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Subsections 5.1(b) and (c) hereof, upon written notice to the Rights Agent, the Board of Directors may waive the application of Section 3.1 in respect of the occurrence of any Flip-in Event if the Board of Directors has determined within ten Trading Days following a Stock Acquisition Date that a Person became an Acquiring Person by inadvertence and without any intention to become, or knowledge that it would become, an Acquiring Person under this Agreement, and in the event such waiver is granted by the Board of Directors, such Stock Acquisition Date shall be deemed not to have occurred. Any such waiver pursuant to this Subsection 5.1(d) must be on the condition that such Person, within 14 days after the foregoing determination by the Board of Directors or such earlier or later date as the Board of Directors may determine (the “</w:t>
      </w:r>
      <w:r>
        <w:rPr>
          <w:rFonts w:ascii="Times New Roman" w:cs="Times New Roman" w:eastAsia="Times New Roman" w:hAnsi="Times New Roman"/>
          <w:sz w:val="18"/>
          <w:szCs w:val="18"/>
          <w:b w:val="1"/>
          <w:bCs w:val="1"/>
          <w:color w:val="auto"/>
        </w:rPr>
        <w:t>Disposition Date</w:t>
      </w:r>
      <w:r>
        <w:rPr>
          <w:rFonts w:ascii="Times New Roman" w:cs="Times New Roman" w:eastAsia="Times New Roman" w:hAnsi="Times New Roman"/>
          <w:sz w:val="18"/>
          <w:szCs w:val="18"/>
          <w:color w:val="auto"/>
        </w:rPr>
        <w:t>”), has reduced its Beneficial Ownership of Voting Shares such that the Person is no longer an Acquiring Person. If the Person remains an Acquiring Person at the close of business on the Disposition Date, the Disposition Date shall be deemed to be the date of occurrence of a further Stock Acquisition Date and Section 3.1 shall apply thereto.</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without further formality, be deemed to have elected to redeem the Rights at the Redemption Price on the date that a Person which has made a Permitted Bid, a Competing Permitted Bid or a Take-over Bid in respect of which the Board of Directors has waived, or is deemed to have waived, pursuant to Subsection 5.1(c) the application of Section 3.1, takes up and pays for Voting Shares in connection with such Permitted Bid, Competing Permitted Bid or Take-over bid, as the case may be.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Take-over Bid that is not a Permitted Bid is withdrawn or otherwise terminated after the Separation Time has occurred and prior to the occurrence of a Flip-in Event, the Board of Directors may elect to redeem all the outstanding Rights at the Redemption Price. Upon the Rights being redeemed pursuant to this Subsection 5.1(f),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 and the Corporation shall be deemed to have issued replacement Rights to the holders of its then outstanding Common Shares.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elects or is deemed to have elected to redeem the Rights, and, in circumstances in which Subsection 5.1(a) is applicable, such redemption is approved by the holders of Voting Shares or the holders of Rights in accordance with Subsection 5.1(i) or (j), as the case may be, the right to exercise the Rights, will thereupon, without further action and without notice, terminate and the only right thereafter of the holders of Rights shall be to receive the Redemption Price.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Business Days after the Board of Directors elects or is deemed to elect to redeem the Rights or if Subsection 5.1(a) is applicable within ten Business Days after the holders of Common Shares or the holders of Rights have approved a redemption of Rights in accordance with Section 5.1(i) or (j), as the case may be,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 The Corporation may not redeem, acquire or purchase for value any Rights at any time in any manner other than specifically set forth in this Section 5.1 or in connection with the purchase of Common Shares prior to the Separation Time.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of Rights pursuant to Subsection 5.1(a) or a waiver of a Flip-in Event pursuant to Section 5.1(b) is proposed at any time prior to the Separation Time, such redemption or waiver shall be submitted for approval to the holders of Voting Shares. Such approval shall be deemed to have been given if the redemption or waiver is approved by the affirmative vote of a majority of the votes cast by Independent Shareholders represented in person or by proxy at a meeting of such holders duly held in accordance with applicable laws and the Corporation’s by-laws.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3" w:name="page34"/>
    <w:bookmarkEnd w:id="33"/>
    <w:p>
      <w:pPr>
        <w:jc w:val="both"/>
        <w:ind w:left="1300" w:hanging="644"/>
        <w:spacing w:after="0" w:line="255"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of Rights pursuant to Subsection 5.1(a) is proposed at any time after the Separation Time, such redemption shall be submitted for approval to the holders of Rights. Such approval shall be deemed to have been given if the redemption is approved by holders of Rights by a majority of the votes cast by the holders of Rights represented in person or by proxy at and entitled to vote at a meeting of such holders. For the purposes hereof, each outstanding Right (other than Rights which are Beneficially Owned by any Person referred to in Subsections (i) to (v) inclusive of the definition of Independent Shareholders)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obligated to make a payment of the Redemption Price to any holder of Rights unless such holder is entitled to receive at least $10 in respect of all of the Rights held by such holder.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Expiration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shall have any rights whatsoever pursuant to this Agreement or in respect of any Right after the Expiration Time, except the Rights Agent as specified in Section 4.1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Issuance of New Rights Certificates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Supplements and Amendments</w:t>
      </w:r>
    </w:p>
    <w:p>
      <w:pPr>
        <w:spacing w:after="0" w:line="229"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without the prior approval of the holders of Voting Shares or Rights, make amendments to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clerical or typographical error;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required to maintain the validity of this Agreement as a result of any change in any applicable legislation or regulations or rules thereunder;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defective or inconsistent with any other provision herein, or to make any other provisions with respect to matters or questions arising under this Agreement, provided that such action pursuant to this paragraph (iii) shall not adversely affect the interests of the holders of Voting Shares or Rights in any material respect.</w:t>
      </w:r>
    </w:p>
    <w:p>
      <w:pPr>
        <w:spacing w:after="0" w:line="18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Section 5.4 to the contrary, no such supplement or amendment shall be made to the provisions of Article 4 except with the written concurrence of the Rights Agent to such supplement or amendment.</w:t>
      </w:r>
    </w:p>
    <w:p>
      <w:pPr>
        <w:spacing w:after="0" w:line="162" w:lineRule="exact"/>
        <w:rPr>
          <w:sz w:val="20"/>
          <w:szCs w:val="20"/>
          <w:color w:val="auto"/>
        </w:rPr>
      </w:pPr>
    </w:p>
    <w:p>
      <w:pPr>
        <w:jc w:val="both"/>
        <w:ind w:left="1300" w:hanging="644"/>
        <w:spacing w:after="0" w:line="25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5.4(a), the Corporation may, with the prior approval of the holders of Voting Shares, at any time before the Separation Time, supplement, amend, vary, rescind or delete any of the provisions of this Agreement and the Rights (whether or not such action would materially adversely affect the interests of the holders of Rights generally). Any approval of the holders of Voting Shares shall be deemed to have been given if the action requiring such approval is authorized by the affirmative vote of a majority of the votes cast by Independent Shareholders present or represented at and entitled to be voted at a meeting of the holders of Voting Shares duly called and held in compliance with applicable laws and the articles and by-laws of the Corporation.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5.4(a), the Corporation may, with the prior approval of the holders of Rights, at any time on or after the Separation Time, supplement, amend, vary, rescind or delete any of the provisions of this Agreement and the Rights (whether or not such action would materially adversely affect the interests of the holders of Rights generally). 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made by the Corporation to this Agreement pursuant to Subsection 5.4(a)(ii)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before the Separation Time, be submitted to the shareholders of the Corporation at the next meeting of shareholders and the shareholders may, by the majority referred to in Subsection 5.4(b), confirm or reject such amendment;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after the Separation Time, be submitted to the holders of Rights at a meeting to be called for on a date not later than immediately following the next meeting of shareholders of the Corporation and the holders of Rights may, by resolution passed by the majority referred to in Subsection 5.4(c), confirm or reject such amendment.</w:t>
      </w:r>
    </w:p>
    <w:p>
      <w:pPr>
        <w:spacing w:after="0" w:line="176"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(or any adjournment of such meeting) at which it was rejected or to which it should have been but was not submitted or from and after the date of the meeting of holders of Rights that should have been but was not held, and no subsequent resolution of the Board of Directors to amend this Agreement to substantially the same effect shall be effective until confirmed by the shareholders or holders of Rights as the case may be.</w:t>
      </w:r>
    </w:p>
    <w:p>
      <w:pPr>
        <w:spacing w:after="0" w:line="192" w:lineRule="exact"/>
        <w:rPr>
          <w:sz w:val="20"/>
          <w:szCs w:val="20"/>
          <w:color w:val="auto"/>
        </w:rPr>
      </w:pPr>
    </w:p>
    <w:p>
      <w:pPr>
        <w:jc w:val="both"/>
        <w:ind w:left="1300" w:hanging="644"/>
        <w:spacing w:after="0" w:line="261"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give notice in writing to the Rights Agent of any supplement, amendment, deletion, variation or rescission to this Agreement pursuant to this Section 5.4 within five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supplement to this Agreement shall be subject to the receipt of any requisite approvals or consent from any applicable regulatory authority including, without limitation, any necessary approvals of any stock exchange on which the Common Shares are listed for trading.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Fractional Rights and Fractional Shares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make any payments in lieu of issuing fractions of Rights or Common Shares pursuant to paragraph (a) or (b) above, respectively, unless and until the Corporation shall have provided to the Rights Agent the amount of cash to be paid in lieu of issuing such fractional Rights or Common Shares, as the case may be.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Rights of 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Certificate and in this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Regulatory Approvals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obligation of the Corporation or action or event contemplated by this Agreement shall be subject to the receipt of any requisite approval or consent from any governmental or regulatory authority, including without limiting the generality of the foregoing, any necessary approvals of the Toronto Stock Exchange, or any other applicable stock exchange or market or national securities quotation system. For greater certainty, unless advised in writing by the Corporation to the contrary, the Rights Agent shall be entitled to assume that all such required approvals and consents have been obtained.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5.8 Notice of Proposed 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 the Corporation shall propose after the Separation Time and prior to the Expiration Time to effect or permit (in cases where the Corporation’s permission is required) any Flip-in Event or to effect the liquidation, dissolution or winding up of the Corporation or the sale of all or substantially all of the Corporation’s assets, then, in each such case, the Corporation shall give to each holder of a Right, in accordance with Section 5.9 hereof, a notice of such proposed action, which shall specify the date on which such Flip-in Event, liquidation, dissolution, or winding up is to take place, and such notice shall be so given at least 20 Business Days prior to the date of taking of such proposed action by the Corporation.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email or other form of recorded electronic communication, charges prepaid and confirmed in writing, as follows: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Peterson McVicar LLP</w:t>
      </w:r>
    </w:p>
    <w:p>
      <w:pPr>
        <w:spacing w:after="0" w:line="27" w:lineRule="exact"/>
        <w:rPr>
          <w:rFonts w:ascii="Times New Roman" w:cs="Times New Roman" w:eastAsia="Times New Roman" w:hAnsi="Times New Roman"/>
          <w:sz w:val="18"/>
          <w:szCs w:val="18"/>
          <w:color w:val="auto"/>
        </w:rPr>
      </w:pPr>
    </w:p>
    <w:p>
      <w:pPr>
        <w:ind w:left="1300" w:right="78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M5C 1T4</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Dennis Peterson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dhp@petelaw.com</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email or other form of recorded electronic communication, charges prepaid and confirmed in writing, as follows: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TSX Trust Company</w:t>
      </w:r>
    </w:p>
    <w:p>
      <w:pPr>
        <w:spacing w:after="0" w:line="27" w:lineRule="exact"/>
        <w:rPr>
          <w:rFonts w:ascii="Times New Roman" w:cs="Times New Roman" w:eastAsia="Times New Roman" w:hAnsi="Times New Roman"/>
          <w:sz w:val="18"/>
          <w:szCs w:val="18"/>
          <w:color w:val="auto"/>
        </w:rPr>
      </w:pPr>
    </w:p>
    <w:p>
      <w:pPr>
        <w:ind w:left="1300" w:right="76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301 – 100 Adelaide Street West Toronto, Ontario M5H 1S3</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Vice President, Trust Services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tmxestaff-corporatetrust@tmx.com</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telegraphing, telecopying or sending of the same by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Rights of Board and Corporation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Without limiting the generality of the foregoing, nothing contained herein shall be construed to suggest or imply that the Board of Directors shall not be entitled to recommend that holders of Voting Shares reject or accept any Take-over Bid or take any other action (including, without limitation, the commencement, prosecution, defence or settlement of any litigation and the submission of additional or alternative Take-over Bids or other proposals to the holders of Voting Shares) with respect to any Take-over Bid or otherwise that the Board of Directors believes is necessary or appropriate in the exercise of its fiduciary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Costs of Enforcement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agrees that if the Corporation fails to fulfil any of its obligations pursuant to this Agreement, then the Corporation will reimburse the holder of any Rights for the costs and expenses (including legal fees) incurred by such holder, on a solicitor and his or her own client basis, to enforce his or her rights pursuant to any Rights or this Agreement.</w:t>
      </w:r>
    </w:p>
    <w:p>
      <w:pPr>
        <w:spacing w:after="0" w:line="3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Corporation or the Rights Agent shall bind and enure to the benefit of their respective successors and assigns hereunder.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Benefits of this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Les parties aux présentes ont exigé que la présente convention ainsi que tous les documents et avis qui s’y rattachent ou qui en coulent soient redigés en langue anglaise. </w:t>
      </w:r>
      <w:r>
        <w:rPr>
          <w:rFonts w:ascii="Times New Roman" w:cs="Times New Roman" w:eastAsia="Times New Roman" w:hAnsi="Times New Roman"/>
          <w:sz w:val="18"/>
          <w:szCs w:val="18"/>
          <w:color w:val="auto"/>
        </w:rPr>
        <w:t>The parties hereto have required that this Agreement and all documents and notices related thereto or resulting therefrom be drawn up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English.</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Agreement is effective and in full force and effect in accordance with its terms and conditions from and after the Effective Date. If this Agreement is not confirmed by resolution passed by a majority of the votes cast by the Independent Shareholders who vote in respect of such confirmation at a meeting of shareholders to be held not later than six months from the Effective Date, then this Agreement and all outstanding Rights shall terminate and be void and of no further force and effect on and from the date which is the earlier of (a) the date of termination of the meeting called to consider the confirmation of this Agreement and (b) six months from the Effective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Reconfirmation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Agreement must be reconfirmed by a resolution passed by a majority of the votes cast by Independent Shareholders who vote in respect of such reconfirmation at every third annual meeting of the Corporation following the meeting at which this Agreement is confirmed. If this Agreement is not so reconfirmed or is not presented for reconfirmation at such annual meeting, then this Agreement and all outstanding Rights shall terminate and be void and of no further force and effect on and from the date of termination of the applicable annual meeting; provided that termination shall not occur if a Flip-in Event has occurred (other than a Flip-in Event which has been waived) prior to the date upon which this Agreement would otherwise terminate pursuant to this Section 5.18.</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5.19</w:t>
      </w:r>
      <w:r>
        <w:rPr>
          <w:sz w:val="20"/>
          <w:szCs w:val="20"/>
          <w:color w:val="auto"/>
        </w:rPr>
        <w:tab/>
      </w:r>
      <w:r>
        <w:rPr>
          <w:rFonts w:ascii="Times New Roman" w:cs="Times New Roman" w:eastAsia="Times New Roman" w:hAnsi="Times New Roman"/>
          <w:sz w:val="17"/>
          <w:szCs w:val="17"/>
          <w:b w:val="1"/>
          <w:bCs w:val="1"/>
          <w:color w:val="auto"/>
        </w:rPr>
        <w:t>Determinations and Actions by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actions, calculations and determinations (including all omissions with respect to the foregoing) which are done or made or approved by the Board of Directors in connection herewith, in good faith, shall not subject the Board of Directors or any director of the Corporation to any liability to the holders of the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5.20</w:t>
      </w:r>
      <w:r>
        <w:rPr>
          <w:sz w:val="20"/>
          <w:szCs w:val="20"/>
          <w:color w:val="auto"/>
        </w:rPr>
        <w:tab/>
      </w:r>
      <w:r>
        <w:rPr>
          <w:rFonts w:ascii="Times New Roman" w:cs="Times New Roman" w:eastAsia="Times New Roman" w:hAnsi="Times New Roman"/>
          <w:sz w:val="17"/>
          <w:szCs w:val="17"/>
          <w:b w:val="1"/>
          <w:bCs w:val="1"/>
          <w:color w:val="auto"/>
        </w:rPr>
        <w:t>Declaration as to Non-Canadian Holders and Non-U.S.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or the United States, the Board of Directors acting in good faith shall take such actions as it may deem appropriate to ensure that such compliance is not required, including without limitation establishing procedures for the issuance to a Canadian resident Fiduciary of Rights or securities issuable on exercise of Rights, the holding thereof in trust for the Persons entitled thereto (but reserving to the Fiduciary or to the Fiduciary and the Corporation, as the Corporation may determine, absolute discretion with respect thereto) and the sale thereof and remittance of the proceeds of such sale, if any, to the Persons entitled thereto. In no event shall the Corporation or the Rights Agent be required to issue or deliver Rights or securities issuable on exercise of Rights to persons who are citizens, residents or nationals of any jurisdiction other than Canada or the United States, in which such issue or delivery would be unlawful without registration of the relevant Persons or securities for such purposes.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be of the essence in this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Execution in Counterparts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RIGHTS PLAN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Rights Certificate]</w:t>
      </w:r>
    </w:p>
    <w:p>
      <w:pPr>
        <w:spacing w:after="0" w:line="225" w:lineRule="exact"/>
        <w:rPr>
          <w:sz w:val="20"/>
          <w:szCs w:val="20"/>
          <w:color w:val="auto"/>
        </w:rPr>
      </w:pPr>
    </w:p>
    <w:p>
      <w:pPr>
        <w:spacing w:after="0"/>
        <w:tabs>
          <w:tab w:leader="none" w:pos="9980" w:val="left"/>
        </w:tabs>
        <w:rPr>
          <w:sz w:val="20"/>
          <w:szCs w:val="20"/>
          <w:color w:val="auto"/>
        </w:rPr>
      </w:pPr>
      <w:r>
        <w:rPr>
          <w:rFonts w:ascii="Times New Roman" w:cs="Times New Roman" w:eastAsia="Times New Roman" w:hAnsi="Times New Roman"/>
          <w:sz w:val="18"/>
          <w:szCs w:val="18"/>
          <w:color w:val="auto"/>
        </w:rPr>
        <w:t>Certificate No. _____</w:t>
      </w:r>
      <w:r>
        <w:rPr>
          <w:sz w:val="20"/>
          <w:szCs w:val="20"/>
          <w:color w:val="auto"/>
        </w:rPr>
        <w:tab/>
      </w:r>
      <w:r>
        <w:rPr>
          <w:rFonts w:ascii="Times New Roman" w:cs="Times New Roman" w:eastAsia="Times New Roman" w:hAnsi="Times New Roman"/>
          <w:sz w:val="18"/>
          <w:szCs w:val="18"/>
          <w:color w:val="auto"/>
        </w:rPr>
        <w:t>________ Rights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RIGHTS ARE SUBJECT TO REDEMPTION, AT THE OPTION OF THE CORPORATION, AND AMENDMENT OR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 or registered assigns, is the registered holder of the number of Rights set forth above, each of which entitles the registered</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holder thereof, subject to the terms, provisions and conditions of the Shareholder Rights Plan Agreement dated as of July 24, 2024, as the same may be amended or supplemented from time to time (the “Shareholder Rights Agreement”), between Bitfarms Ltd., a corporation continued under the laws of the Province of Ontario (the “Corporation”) and TSX Trust Company, a trust company existing under the laws of Canada (the “Rights Agent”)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of the Corporation (a “Common Share”) at the Exercise Price referred to below, upon presentation and surrender of this Rights Certificate with the Form of Election to Exercise (in the form provided hereinafter) duly executed and submitted to the Rights Agent, together with payment of the Exercise Price by certified cheque, bank draft or money order payable to the Corporation, at the Rights Agent’s principal office in any of the city of Toronto. Until adjustment thereof in certain events as provided in the Shareholder Rights Agreement, the Exercise Price shall be:</w:t>
      </w:r>
    </w:p>
    <w:p>
      <w:pPr>
        <w:spacing w:after="0" w:line="193" w:lineRule="exact"/>
        <w:rPr>
          <w:sz w:val="20"/>
          <w:szCs w:val="20"/>
          <w:color w:val="auto"/>
        </w:rPr>
      </w:pPr>
    </w:p>
    <w:p>
      <w:pPr>
        <w:ind w:left="1300" w:right="2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 an amount equal to three times the Market Price (as such term is defined in the Shareholder Rights Agreement), from time to time, per Common Share;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 amount equal to three times the Market Price, as at the Separation Time, per Common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described in the Shareholder Rights Agreement, each Right evidenced hereby may entitle the registered holder thereof to purchase or receive assets, debt securities or shares in the capital of the Corporation other than Common Shares, or more or less than one Common Share, all as provided in the Shareholder Rights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 and are available upon request.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Shareholder Rights Agreement, the Rights evidenced by this Rights Certificate may be, and under certain circumstances are required to be, redeemed by the Corporation at a redemption price of $0.00001 per Right.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fractional Common Shares will be issued upon the exercise of any Right or Rights evidenced hereby, but in lieu thereof a cash payment will be made, as provided in the Shareholder Rights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corporate action,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the Rights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the facsimile signature of the proper officer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transfer the Rights Certificate.)</w:t>
      </w:r>
    </w:p>
    <w:p>
      <w:pPr>
        <w:spacing w:after="0" w:line="22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7"/>
          <w:szCs w:val="17"/>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17145</wp:posOffset>
            </wp:positionV>
            <wp:extent cx="1705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70561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17145</wp:posOffset>
            </wp:positionV>
            <wp:extent cx="1997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99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represented by this Rights Certificate, together with all right, title and interest therein, and does hereby irrevocably constitute and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 as attorney, to transfer the within Rights on the books of the Corporation, with full power of substitution.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completed if true.)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252095</wp:posOffset>
            </wp:positionV>
            <wp:extent cx="28460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attached to each Rights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left="4080"/>
        <w:spacing w:after="0"/>
        <w:rPr>
          <w:sz w:val="20"/>
          <w:szCs w:val="20"/>
          <w:color w:val="auto"/>
        </w:rPr>
      </w:pPr>
      <w:r>
        <w:rPr>
          <w:rFonts w:ascii="Times New Roman" w:cs="Times New Roman" w:eastAsia="Times New Roman" w:hAnsi="Times New Roman"/>
          <w:sz w:val="18"/>
          <w:szCs w:val="18"/>
          <w:b w:val="1"/>
          <w:bCs w:val="1"/>
          <w:color w:val="auto"/>
        </w:rPr>
        <w:t>FORM OF ELECTION TO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exercise the Rights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_____________________________ whole Rights represented by the attached Rights Certificate to</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purchase the Common Shares or other securities, if applicable, issuable upon the exercise of such Rights and requests that certificates for such securities be issued in the name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and Province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Insurance Number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and Province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Insurance Number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completed if true.)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252095</wp:posOffset>
            </wp:positionV>
            <wp:extent cx="28460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attached to each Rights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the certification set forth above in the Forms of Assignment and Election to Exercise is not completed, the Corporation will deem the Beneficial Owner of the Rights evidenced by this Rights Certificate to be an Acquiring Person or an Affiliate or Associate thereof (as defined in the Shareholder Rights Agreement).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
    <w:nsid w:val="5577F8E1"/>
    <w:multiLevelType w:val="hybridMultilevel"/>
    <w:lvl w:ilvl="0">
      <w:lvlJc w:val="left"/>
      <w:lvlText w:val="%1"/>
      <w:numFmt w:val="lowerLetter"/>
      <w:start w:val="1"/>
    </w:lvl>
    <w:lvl w:ilvl="1">
      <w:lvlJc w:val="left"/>
      <w:lvlText w:val="(%2)"/>
      <w:numFmt w:val="lowerRoman"/>
      <w:start w:val="3"/>
    </w:lvl>
  </w:abstractNum>
  <w:abstractNum w:abstractNumId="3">
    <w:nsid w:val="440BADFC"/>
    <w:multiLevelType w:val="hybridMultilevel"/>
    <w:lvl w:ilvl="0">
      <w:lvlJc w:val="left"/>
      <w:lvlText w:val="(%1)"/>
      <w:numFmt w:val="lowerLetter"/>
      <w:start w:val="2"/>
    </w:lvl>
    <w:lvl w:ilvl="1">
      <w:lvlJc w:val="left"/>
      <w:lvlText w:val="(%2)"/>
      <w:numFmt w:val="lowerRoman"/>
      <w:start w:val="1"/>
    </w:lvl>
  </w:abstractNum>
  <w:abstractNum w:abstractNumId="4">
    <w:nsid w:val="5072367"/>
    <w:multiLevelType w:val="hybridMultilevel"/>
    <w:lvl w:ilvl="0">
      <w:lvlJc w:val="left"/>
      <w:lvlText w:val="(%1)"/>
      <w:numFmt w:val="lowerRoman"/>
      <w:start w:val="3"/>
    </w:lvl>
  </w:abstractNum>
  <w:abstractNum w:abstractNumId="5">
    <w:nsid w:val="3804823E"/>
    <w:multiLevelType w:val="hybridMultilevel"/>
    <w:lvl w:ilvl="0">
      <w:lvlJc w:val="left"/>
      <w:lvlText w:val="(%1)"/>
      <w:numFmt w:val="upperLetter"/>
      <w:start w:val="1"/>
    </w:lvl>
    <w:lvl w:ilvl="1">
      <w:lvlJc w:val="left"/>
      <w:lvlText w:val="(%2)"/>
      <w:numFmt w:val="decimal"/>
      <w:start w:val="1"/>
    </w:lvl>
  </w:abstractNum>
  <w:abstractNum w:abstractNumId="6">
    <w:nsid w:val="77465F01"/>
    <w:multiLevelType w:val="hybridMultilevel"/>
    <w:lvl w:ilvl="0">
      <w:lvlJc w:val="left"/>
      <w:lvlText w:val="(%1)"/>
      <w:numFmt w:val="upperLetter"/>
      <w:start w:val="3"/>
    </w:lvl>
  </w:abstractNum>
  <w:abstractNum w:abstractNumId="7">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8">
    <w:nsid w:val="5C482A97"/>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9">
    <w:nsid w:val="2463B9EA"/>
    <w:multiLevelType w:val="hybridMultilevel"/>
    <w:lvl w:ilvl="0">
      <w:lvlJc w:val="left"/>
      <w:lvlText w:val="(%1)"/>
      <w:numFmt w:val="lowerLetter"/>
      <w:start w:val="13"/>
    </w:lvl>
    <w:lvl w:ilvl="1">
      <w:lvlJc w:val="left"/>
      <w:lvlText w:val="(%2)"/>
      <w:numFmt w:val="lowerRoman"/>
      <w:start w:val="1"/>
    </w:lvl>
  </w:abstractNum>
  <w:abstractNum w:abstractNumId="10">
    <w:nsid w:val="5E884ADC"/>
    <w:multiLevelType w:val="hybridMultilevel"/>
    <w:lvl w:ilvl="0">
      <w:lvlJc w:val="left"/>
      <w:lvlText w:val="(%1)"/>
      <w:numFmt w:val="lowerRoman"/>
      <w:start w:val="3"/>
    </w:lvl>
  </w:abstractNum>
  <w:abstractNum w:abstractNumId="11">
    <w:nsid w:val="51EAD36B"/>
    <w:multiLevelType w:val="hybridMultilevel"/>
    <w:lvl w:ilvl="0">
      <w:lvlJc w:val="left"/>
      <w:lvlText w:val="(%1)"/>
      <w:numFmt w:val="lowerLetter"/>
      <w:start w:val="14"/>
    </w:lvl>
    <w:lvl w:ilvl="1">
      <w:lvlJc w:val="left"/>
      <w:lvlText w:val="(%2)"/>
      <w:numFmt w:val="lowerRoman"/>
      <w:start w:val="1"/>
    </w:lvl>
  </w:abstractNum>
  <w:abstractNum w:abstractNumId="12">
    <w:nsid w:val="2D517796"/>
    <w:multiLevelType w:val="hybridMultilevel"/>
    <w:lvl w:ilvl="0">
      <w:lvlJc w:val="left"/>
      <w:lvlText w:val="(%1)"/>
      <w:numFmt w:val="lowerLetter"/>
      <w:start w:val="19"/>
    </w:lvl>
    <w:lvl w:ilvl="1">
      <w:lvlJc w:val="left"/>
      <w:lvlText w:val="(%2)"/>
      <w:numFmt w:val="lowerRoman"/>
      <w:start w:val="1"/>
    </w:lvl>
  </w:abstractNum>
  <w:abstractNum w:abstractNumId="13">
    <w:nsid w:val="580BD78F"/>
    <w:multiLevelType w:val="hybridMultilevel"/>
    <w:lvl w:ilvl="0">
      <w:lvlJc w:val="left"/>
      <w:lvlText w:val="%1"/>
      <w:numFmt w:val="lowerLetter"/>
      <w:start w:val="1"/>
    </w:lvl>
    <w:lvl w:ilvl="1">
      <w:lvlJc w:val="left"/>
      <w:lvlText w:val="(%2)"/>
      <w:numFmt w:val="lowerLetter"/>
      <w:start w:val="35"/>
    </w:lvl>
  </w:abstractNum>
  <w:abstractNum w:abstractNumId="14">
    <w:nsid w:val="153EA438"/>
    <w:multiLevelType w:val="hybridMultilevel"/>
    <w:lvl w:ilvl="0">
      <w:lvlJc w:val="left"/>
      <w:lvlText w:val="(%1)"/>
      <w:numFmt w:val="lowerLetter"/>
      <w:start w:val="23"/>
    </w:lvl>
    <w:lvl w:ilvl="1">
      <w:lvlJc w:val="left"/>
      <w:lvlText w:val="(%2)"/>
      <w:numFmt w:val="lowerLetter"/>
      <w:start w:val="9"/>
    </w:lvl>
  </w:abstractNum>
  <w:abstractNum w:abstractNumId="15">
    <w:nsid w:val="3855585C"/>
    <w:multiLevelType w:val="hybridMultilevel"/>
    <w:lvl w:ilvl="0">
      <w:lvlJc w:val="left"/>
      <w:lvlText w:val="%1"/>
      <w:numFmt w:val="lowerLetter"/>
      <w:start w:val="1"/>
    </w:lvl>
    <w:lvl w:ilvl="1">
      <w:lvlJc w:val="left"/>
      <w:lvlText w:val="(%2)"/>
      <w:numFmt w:val="lowerLetter"/>
      <w:start w:val="35"/>
    </w:lvl>
  </w:abstractNum>
  <w:abstractNum w:abstractNumId="16">
    <w:nsid w:val="70A64E2A"/>
    <w:multiLevelType w:val="hybridMultilevel"/>
    <w:lvl w:ilvl="0">
      <w:lvlJc w:val="left"/>
      <w:lvlText w:val="(%1)"/>
      <w:numFmt w:val="lowerLetter"/>
      <w:start w:val="25"/>
    </w:lvl>
    <w:lvl w:ilvl="1">
      <w:lvlJc w:val="left"/>
      <w:lvlText w:val="%2"/>
      <w:numFmt w:val="lowerLetter"/>
      <w:start w:val="1"/>
    </w:lvl>
  </w:abstractNum>
  <w:abstractNum w:abstractNumId="17">
    <w:nsid w:val="6A2342EC"/>
    <w:multiLevelType w:val="hybridMultilevel"/>
    <w:lvl w:ilvl="0">
      <w:lvlJc w:val="left"/>
      <w:lvlText w:val="(%1)"/>
      <w:numFmt w:val="lowerLetter"/>
      <w:start w:val="27"/>
    </w:lvl>
    <w:lvl w:ilvl="1">
      <w:lvlJc w:val="left"/>
      <w:lvlText w:val="(%2)"/>
      <w:numFmt w:val="lowerRoman"/>
      <w:start w:val="1"/>
    </w:lvl>
  </w:abstractNum>
  <w:abstractNum w:abstractNumId="18">
    <w:nsid w:val="2A487CB0"/>
    <w:multiLevelType w:val="hybridMultilevel"/>
    <w:lvl w:ilvl="0">
      <w:lvlJc w:val="left"/>
      <w:lvlText w:val="(%1)"/>
      <w:numFmt w:val="lowerRoman"/>
      <w:start w:val="3"/>
    </w:lvl>
  </w:abstractNum>
  <w:abstractNum w:abstractNumId="19">
    <w:nsid w:val="1D4ED43B"/>
    <w:multiLevelType w:val="hybridMultilevel"/>
    <w:lvl w:ilvl="0">
      <w:lvlJc w:val="left"/>
      <w:lvlText w:val="(%1)"/>
      <w:numFmt w:val="lowerLetter"/>
      <w:start w:val="30"/>
    </w:lvl>
    <w:lvl w:ilvl="1">
      <w:lvlJc w:val="left"/>
      <w:lvlText w:val="(%2)"/>
      <w:numFmt w:val="lowerRoman"/>
      <w:start w:val="1"/>
    </w:lvl>
  </w:abstractNum>
  <w:abstractNum w:abstractNumId="20">
    <w:nsid w:val="725A06FB"/>
    <w:multiLevelType w:val="hybridMultilevel"/>
    <w:lvl w:ilvl="0">
      <w:lvlJc w:val="left"/>
      <w:lvlText w:val="(%1)"/>
      <w:numFmt w:val="lowerLetter"/>
      <w:start w:val="34"/>
    </w:lvl>
    <w:lvl w:ilvl="1">
      <w:lvlJc w:val="left"/>
      <w:lvlText w:val="(%2)"/>
      <w:numFmt w:val="lowerRoman"/>
      <w:start w:val="1"/>
    </w:lvl>
  </w:abstractNum>
  <w:abstractNum w:abstractNumId="21">
    <w:nsid w:val="2CD89A32"/>
    <w:multiLevelType w:val="hybridMultilevel"/>
    <w:lvl w:ilvl="0">
      <w:lvlJc w:val="left"/>
      <w:lvlText w:val="(%1)"/>
      <w:numFmt w:val="lowerLetter"/>
      <w:start w:val="36"/>
    </w:lvl>
  </w:abstractNum>
  <w:abstractNum w:abstractNumId="22">
    <w:nsid w:val="57E4CCAF"/>
    <w:multiLevelType w:val="hybridMultilevel"/>
    <w:lvl w:ilvl="0">
      <w:lvlJc w:val="left"/>
      <w:lvlText w:val="(%1)"/>
      <w:numFmt w:val="lowerLetter"/>
      <w:start w:val="3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
    <w:nsid w:val="7A6D8D3C"/>
    <w:multiLevelType w:val="hybridMultilevel"/>
    <w:lvl w:ilvl="0">
      <w:lvlJc w:val="left"/>
      <w:lvlText w:val="(%1)"/>
      <w:numFmt w:val="lowerRoman"/>
      <w:start w:val="3"/>
    </w:lvl>
    <w:lvl w:ilvl="1">
      <w:lvlJc w:val="left"/>
      <w:lvlText w:val="(%2)"/>
      <w:numFmt w:val="upperLetter"/>
      <w:start w:val="1"/>
    </w:lvl>
  </w:abstractNum>
  <w:abstractNum w:abstractNumId="24">
    <w:nsid w:val="4B588F54"/>
    <w:multiLevelType w:val="hybridMultilevel"/>
    <w:lvl w:ilvl="0">
      <w:lvlJc w:val="left"/>
      <w:lvlText w:val="(%1)"/>
      <w:numFmt w:val="lowerLetter"/>
      <w:start w:val="38"/>
    </w:lvl>
  </w:abstractNum>
  <w:abstractNum w:abstractNumId="25">
    <w:nsid w:val="542289EC"/>
    <w:multiLevelType w:val="hybridMultilevel"/>
    <w:lvl w:ilvl="0">
      <w:lvlJc w:val="left"/>
      <w:lvlText w:val="(%1)"/>
      <w:numFmt w:val="lowerLetter"/>
      <w:start w:val="39"/>
    </w:lvl>
    <w:lvl w:ilvl="1">
      <w:lvlJc w:val="left"/>
      <w:lvlText w:val="(%2)"/>
      <w:numFmt w:val="lowerRoman"/>
      <w:start w:val="1"/>
    </w:lvl>
  </w:abstractNum>
  <w:abstractNum w:abstractNumId="26">
    <w:nsid w:val="6DE91B18"/>
    <w:multiLevelType w:val="hybridMultilevel"/>
    <w:lvl w:ilvl="0">
      <w:lvlJc w:val="left"/>
      <w:lvlText w:val="(%1)"/>
      <w:numFmt w:val="lowerLetter"/>
      <w:start w:val="40"/>
    </w:lvl>
    <w:lvl w:ilvl="1">
      <w:lvlJc w:val="left"/>
      <w:lvlText w:val="(%2)"/>
      <w:numFmt w:val="lowerRoman"/>
      <w:start w:val="1"/>
    </w:lvl>
  </w:abstractNum>
  <w:abstractNum w:abstractNumId="27">
    <w:nsid w:val="38437FDB"/>
    <w:multiLevelType w:val="hybridMultilevel"/>
    <w:lvl w:ilvl="0">
      <w:lvlJc w:val="left"/>
      <w:lvlText w:val="(%1)"/>
      <w:numFmt w:val="lowerLetter"/>
      <w:start w:val="48"/>
    </w:lvl>
  </w:abstractNum>
  <w:abstractNum w:abstractNumId="28">
    <w:nsid w:val="7644A45C"/>
    <w:multiLevelType w:val="hybridMultilevel"/>
    <w:lvl w:ilvl="0">
      <w:lvlJc w:val="left"/>
      <w:lvlText w:val="(%1)"/>
      <w:numFmt w:val="lowerLetter"/>
      <w:start w:val="49"/>
    </w:lvl>
    <w:lvl w:ilvl="1">
      <w:lvlJc w:val="left"/>
      <w:lvlText w:val="(%2)"/>
      <w:numFmt w:val="lowerRoman"/>
      <w:start w:val="1"/>
    </w:lvl>
    <w:lvl w:ilvl="2">
      <w:lvlJc w:val="left"/>
      <w:lvlText w:val="(%3)"/>
      <w:numFmt w:val="upperLetter"/>
      <w:start w:val="1"/>
    </w:lvl>
  </w:abstractNum>
  <w:abstractNum w:abstractNumId="29">
    <w:nsid w:val="32FFF902"/>
    <w:multiLevelType w:val="hybridMultilevel"/>
    <w:lvl w:ilvl="0">
      <w:lvlJc w:val="left"/>
      <w:lvlText w:val="(%1)"/>
      <w:numFmt w:val="lowerLetter"/>
      <w:start w:val="53"/>
    </w:lvl>
    <w:lvl w:ilvl="1">
      <w:lvlJc w:val="left"/>
      <w:lvlText w:val="(%2)"/>
      <w:numFmt w:val="lowerRoman"/>
      <w:start w:val="1"/>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2"/>
    </w:lvl>
    <w:lvl w:ilvl="1">
      <w:lvlJc w:val="left"/>
      <w:lvlText w:val="(%2)"/>
      <w:numFmt w:val="lowerRoman"/>
      <w:start w:val="1"/>
    </w:lvl>
  </w:abstractNum>
  <w:abstractNum w:abstractNumId="33">
    <w:nsid w:val="3DC240FB"/>
    <w:multiLevelType w:val="hybridMultilevel"/>
    <w:lvl w:ilvl="0">
      <w:lvlJc w:val="left"/>
      <w:lvlText w:val="(%1)"/>
      <w:numFmt w:val="lowerLetter"/>
      <w:start w:val="24"/>
    </w:lvl>
  </w:abstractNum>
  <w:abstractNum w:abstractNumId="34">
    <w:nsid w:val="1BA026FA"/>
    <w:multiLevelType w:val="hybridMultilevel"/>
    <w:lvl w:ilvl="0">
      <w:lvlJc w:val="left"/>
      <w:lvlText w:val="(%1)"/>
      <w:numFmt w:val="lowerLetter"/>
      <w:start w:val="4"/>
    </w:lvl>
    <w:lvl w:ilvl="1">
      <w:lvlJc w:val="left"/>
      <w:lvlText w:val="(%2)"/>
      <w:numFmt w:val="lowerRoman"/>
      <w:start w:val="1"/>
    </w:lvl>
  </w:abstractNum>
  <w:abstractNum w:abstractNumId="35">
    <w:nsid w:val="79A1DEAA"/>
    <w:multiLevelType w:val="hybridMultilevel"/>
    <w:lvl w:ilvl="0">
      <w:lvlJc w:val="left"/>
      <w:lvlText w:val="(%1)"/>
      <w:numFmt w:val="lowerLetter"/>
      <w:start w:val="5"/>
    </w:lvl>
    <w:lvl w:ilvl="1">
      <w:lvlJc w:val="left"/>
      <w:lvlText w:val="(%2)"/>
      <w:numFmt w:val="lowerRoman"/>
      <w:start w:val="1"/>
    </w:lvl>
  </w:abstractNum>
  <w:abstractNum w:abstractNumId="36">
    <w:nsid w:val="75C6C33A"/>
    <w:multiLevelType w:val="hybridMultilevel"/>
    <w:lvl w:ilvl="0">
      <w:lvlJc w:val="left"/>
      <w:lvlText w:val="(%1)"/>
      <w:numFmt w:val="lowerLetter"/>
      <w:start w:val="6"/>
    </w:lvl>
    <w:lvl w:ilvl="1">
      <w:lvlJc w:val="left"/>
      <w:lvlText w:val="(%2)"/>
      <w:numFmt w:val="lowerRoman"/>
      <w:start w:val="1"/>
    </w:lvl>
  </w:abstractNum>
  <w:abstractNum w:abstractNumId="37">
    <w:nsid w:val="12E685FB"/>
    <w:multiLevelType w:val="hybridMultilevel"/>
    <w:lvl w:ilvl="0">
      <w:lvlJc w:val="left"/>
      <w:lvlText w:val="(%1)"/>
      <w:numFmt w:val="lowerLetter"/>
      <w:start w:val="1"/>
    </w:lvl>
    <w:lvl w:ilvl="1">
      <w:lvlJc w:val="left"/>
      <w:lvlText w:val="(%2)"/>
      <w:numFmt w:val="lowerRoman"/>
      <w:start w:val="1"/>
    </w:lvl>
  </w:abstractNum>
  <w:abstractNum w:abstractNumId="38">
    <w:nsid w:val="70C6A529"/>
    <w:multiLevelType w:val="hybridMultilevel"/>
    <w:lvl w:ilvl="0">
      <w:lvlJc w:val="left"/>
      <w:lvlText w:val="(%1)"/>
      <w:numFmt w:val="lowerRoman"/>
      <w:start w:val="2"/>
    </w:lvl>
  </w:abstractNum>
  <w:abstractNum w:abstractNumId="39">
    <w:nsid w:val="520EEDD1"/>
    <w:multiLevelType w:val="hybridMultilevel"/>
    <w:lvl w:ilvl="0">
      <w:lvlJc w:val="left"/>
      <w:lvlText w:val="x"/>
      <w:numFmt w:val="bullet"/>
      <w:start w:val="1"/>
    </w:lvl>
  </w:abstractNum>
  <w:abstractNum w:abstractNumId="40">
    <w:nsid w:val="374A3FE6"/>
    <w:multiLevelType w:val="hybridMultilevel"/>
    <w:lvl w:ilvl="0">
      <w:lvlJc w:val="left"/>
      <w:lvlText w:val="y"/>
      <w:numFmt w:val="bullet"/>
      <w:start w:val="1"/>
    </w:lvl>
  </w:abstractNum>
  <w:abstractNum w:abstractNumId="41">
    <w:nsid w:val="4F4EF005"/>
    <w:multiLevelType w:val="hybridMultilevel"/>
    <w:lvl w:ilvl="0">
      <w:lvlJc w:val="left"/>
      <w:lvlText w:val="(%1)"/>
      <w:numFmt w:val="lowerLetter"/>
      <w:start w:val="2"/>
    </w:lvl>
    <w:lvl w:ilvl="1">
      <w:lvlJc w:val="left"/>
      <w:lvlText w:val="(%2)"/>
      <w:numFmt w:val="lowerRoman"/>
      <w:start w:val="1"/>
    </w:lvl>
  </w:abstractNum>
  <w:abstractNum w:abstractNumId="42">
    <w:nsid w:val="23F9C13C"/>
    <w:multiLevelType w:val="hybridMultilevel"/>
    <w:lvl w:ilvl="0">
      <w:lvlJc w:val="left"/>
      <w:lvlText w:val="(%1)"/>
      <w:numFmt w:val="lowerRoman"/>
      <w:start w:val="2"/>
    </w:lvl>
  </w:abstractNum>
  <w:abstractNum w:abstractNumId="43">
    <w:nsid w:val="649BB77C"/>
    <w:multiLevelType w:val="hybridMultilevel"/>
    <w:lvl w:ilvl="0">
      <w:lvlJc w:val="left"/>
      <w:lvlText w:val="(%1)"/>
      <w:numFmt w:val="lowerLetter"/>
      <w:start w:val="3"/>
    </w:lvl>
    <w:lvl w:ilvl="1">
      <w:lvlJc w:val="left"/>
      <w:lvlText w:val="(%2)"/>
      <w:numFmt w:val="lowerRoman"/>
      <w:start w:val="1"/>
    </w:lvl>
  </w:abstractNum>
  <w:abstractNum w:abstractNumId="44">
    <w:nsid w:val="275AC794"/>
    <w:multiLevelType w:val="hybridMultilevel"/>
    <w:lvl w:ilvl="0">
      <w:lvlJc w:val="left"/>
      <w:lvlText w:val="(%1)"/>
      <w:numFmt w:val="lowerLetter"/>
      <w:start w:val="8"/>
    </w:lvl>
    <w:lvl w:ilvl="1">
      <w:lvlJc w:val="left"/>
      <w:lvlText w:val="(%2)"/>
      <w:numFmt w:val="lowerRoman"/>
      <w:start w:val="1"/>
    </w:lvl>
  </w:abstractNum>
  <w:abstractNum w:abstractNumId="45">
    <w:nsid w:val="39386575"/>
    <w:multiLevelType w:val="hybridMultilevel"/>
    <w:lvl w:ilvl="0">
      <w:lvlJc w:val="left"/>
      <w:lvlText w:val="(%1)"/>
      <w:numFmt w:val="lowerLetter"/>
      <w:start w:val="10"/>
    </w:lvl>
    <w:lvl w:ilvl="1">
      <w:lvlJc w:val="left"/>
      <w:lvlText w:val="(%2)"/>
      <w:numFmt w:val="lowerRoman"/>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lvl w:ilvl="1">
      <w:lvlJc w:val="left"/>
      <w:lvlText w:val="(%2)"/>
      <w:numFmt w:val="lowerRoman"/>
      <w:start w:val="1"/>
    </w:lvl>
  </w:abstractNum>
  <w:abstractNum w:abstractNumId="49">
    <w:nsid w:val="47398C89"/>
    <w:multiLevelType w:val="hybridMultilevel"/>
    <w:lvl w:ilvl="0">
      <w:lvlJc w:val="left"/>
      <w:lvlText w:val="(%1)"/>
      <w:numFmt w:val="lowerLetter"/>
      <w:start w:val="3"/>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lvl w:ilvl="1">
      <w:lvlJc w:val="left"/>
      <w:lvlText w:val="(%2)"/>
      <w:numFmt w:val="lowerRoman"/>
      <w:start w:val="1"/>
    </w:lvl>
  </w:abstractNum>
  <w:abstractNum w:abstractNumId="52">
    <w:nsid w:val="741226BB"/>
    <w:multiLevelType w:val="hybridMultilevel"/>
    <w:lvl w:ilvl="0">
      <w:lvlJc w:val="left"/>
      <w:lvlText w:val="(%1)"/>
      <w:numFmt w:val="lowerLetter"/>
      <w:start w:val="3"/>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2"/>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2"/>
    </w:lvl>
  </w:abstractNum>
  <w:abstractNum w:abstractNumId="59">
    <w:nsid w:val="579BE4F1"/>
    <w:multiLevelType w:val="hybridMultilevel"/>
    <w:lvl w:ilvl="0">
      <w:lvlJc w:val="left"/>
      <w:lvlText w:val="(%1)"/>
      <w:numFmt w:val="lowerLetter"/>
      <w:start w:val="10"/>
    </w:lvl>
  </w:abstractNum>
  <w:abstractNum w:abstractNumId="60">
    <w:nsid w:val="310C50B3"/>
    <w:multiLevelType w:val="hybridMultilevel"/>
    <w:lvl w:ilvl="0">
      <w:lvlJc w:val="left"/>
      <w:lvlText w:val="(%1)"/>
      <w:numFmt w:val="lowerLetter"/>
      <w:start w:val="1"/>
    </w:lvl>
    <w:lvl w:ilvl="1">
      <w:lvlJc w:val="left"/>
      <w:lvlText w:val="(%2)"/>
      <w:numFmt w:val="lowerRoman"/>
      <w:start w:val="1"/>
    </w:lvl>
  </w:abstractNum>
  <w:abstractNum w:abstractNumId="61">
    <w:nsid w:val="5FF87E05"/>
    <w:multiLevelType w:val="hybridMultilevel"/>
    <w:lvl w:ilvl="0">
      <w:lvlJc w:val="left"/>
      <w:lvlText w:val="(%1)"/>
      <w:numFmt w:val="lowerLetter"/>
      <w:start w:val="2"/>
    </w:lvl>
  </w:abstractNum>
  <w:abstractNum w:abstractNumId="62">
    <w:nsid w:val="2F305DEF"/>
    <w:multiLevelType w:val="hybridMultilevel"/>
    <w:lvl w:ilvl="0">
      <w:lvlJc w:val="left"/>
      <w:lvlText w:val="(%1)"/>
      <w:numFmt w:val="lowerLetter"/>
      <w:start w:val="4"/>
    </w:lvl>
    <w:lvl w:ilvl="1">
      <w:lvlJc w:val="left"/>
      <w:lvlText w:val="(%2)"/>
      <w:numFmt w:val="lowerRoman"/>
      <w:start w:val="1"/>
    </w:lvl>
  </w:abstractNum>
  <w:abstractNum w:abstractNumId="63">
    <w:nsid w:val="25A70BF7"/>
    <w:multiLevelType w:val="hybridMultilevel"/>
    <w:lvl w:ilvl="0">
      <w:lvlJc w:val="left"/>
      <w:lvlText w:val="(%1)"/>
      <w:numFmt w:val="lowerLetter"/>
      <w:start w:val="5"/>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lowerLetter"/>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2024-07-25T16:52:32Z</dcterms:created>
  <dcterms:modified xsi:type="dcterms:W3CDTF">2024-07-25T16:52:32Z</dcterms:modified>
</cp:coreProperties>
</file>