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For the month of March,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4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3"/>
          </w:tcPr>
          <w:p>
            <w:pPr>
              <w:ind w:left="2040"/>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3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At The Market Offering Agreement, by and between Bitfarms Ltd. and H.C. Wainwright &amp; Co., LLC, dated March 8, 2024.</w:t>
            </w: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top w:val="single" w:sz="8" w:color="CCEEFF"/>
            </w:tcBorders>
          </w:tcPr>
          <w:p>
            <w:pPr>
              <w:spacing w:after="0"/>
              <w:rPr>
                <w:sz w:val="15"/>
                <w:szCs w:val="15"/>
                <w:color w:val="auto"/>
              </w:rPr>
            </w:pPr>
          </w:p>
        </w:tc>
        <w:tc>
          <w:tcPr>
            <w:tcW w:w="3320" w:type="dxa"/>
            <w:vAlign w:val="bottom"/>
            <w:tcBorders>
              <w:top w:val="single" w:sz="8" w:color="0000EE"/>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Change Report dated March 8, 2024.</w:t>
            </w:r>
          </w:p>
        </w:tc>
        <w:tc>
          <w:tcPr>
            <w:tcW w:w="5600" w:type="dxa"/>
            <w:vAlign w:val="bottom"/>
            <w:tcBorders>
              <w:top w:val="single" w:sz="8" w:color="0000EE"/>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r>
    </w:tbl>
    <w:p>
      <w:pPr>
        <w:spacing w:after="0" w:line="225" w:lineRule="exact"/>
        <w:rPr>
          <w:sz w:val="20"/>
          <w:szCs w:val="20"/>
          <w:color w:val="auto"/>
        </w:rPr>
      </w:pPr>
    </w:p>
    <w:p>
      <w:pPr>
        <w:jc w:val="both"/>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99.1 is hereby incorporated by reference as an exhibit into the Registrant’s registration statement on </w:t>
      </w:r>
      <w:hyperlink r:id="rId18">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333-272989), as amended or supplemented.</w:t>
      </w:r>
    </w:p>
    <w:p>
      <w:pPr>
        <w:spacing w:after="0" w:line="162" w:lineRule="exact"/>
        <w:rPr>
          <w:sz w:val="20"/>
          <w:szCs w:val="20"/>
          <w:color w:val="auto"/>
        </w:rPr>
      </w:pPr>
    </w:p>
    <w:p>
      <w:pPr>
        <w:jc w:val="both"/>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99.2 is hereby incorporated by reference into the Registrant’s registration statement on </w:t>
      </w:r>
      <w:hyperlink r:id="rId18">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333-272989), as amended or supplemented.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 Geoffrey Morphy</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 Geoffrey Morphy</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8,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AT THE MARKET OFFERING AGREEMENT</w:t>
      </w:r>
    </w:p>
    <w:p>
      <w:pPr>
        <w:sectPr>
          <w:pgSz w:w="11900" w:h="16838" w:orient="portrait"/>
          <w:cols w:equalWidth="0" w:num="1">
            <w:col w:w="11240"/>
          </w:cols>
          <w:pgMar w:left="320" w:top="117" w:right="339"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H.C. Wainwright &amp; Co.,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650" w:lineRule="exact"/>
        <w:rPr>
          <w:sz w:val="20"/>
          <w:szCs w:val="20"/>
          <w:color w:val="auto"/>
        </w:rPr>
      </w:pPr>
    </w:p>
    <w:p>
      <w:pPr>
        <w:sectPr>
          <w:pgSz w:w="11900" w:h="16838" w:orient="portrait"/>
          <w:cols w:equalWidth="0" w:num="2">
            <w:col w:w="9460" w:space="720"/>
            <w:col w:w="1060"/>
          </w:cols>
          <w:pgMar w:left="320" w:top="117"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ectPr>
          <w:pgSz w:w="11900" w:h="16838" w:orient="portrait"/>
          <w:cols w:equalWidth="0" w:num="1">
            <w:col w:w="11240"/>
          </w:cols>
          <w:pgMar w:left="320" w:top="117" w:right="339" w:bottom="1440" w:gutter="0" w:footer="0" w:header="0"/>
          <w:type w:val="continuous"/>
        </w:sectPr>
      </w:pPr>
    </w:p>
    <w:p>
      <w:pPr>
        <w:spacing w:after="0" w:line="22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Bitfarms Ltd., a corporation organized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H.C. Wainwright &amp; Co., LLC (the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as follows:</w:t>
      </w:r>
    </w:p>
    <w:p>
      <w:pPr>
        <w:spacing w:after="0" w:line="160" w:lineRule="exact"/>
        <w:rPr>
          <w:sz w:val="20"/>
          <w:szCs w:val="20"/>
          <w:color w:val="auto"/>
        </w:rPr>
      </w:pPr>
    </w:p>
    <w:p>
      <w:pPr>
        <w:ind w:left="1300" w:right="3220" w:hanging="644"/>
        <w:spacing w:after="0" w:line="500" w:lineRule="auto"/>
        <w:tabs>
          <w:tab w:leader="none" w:pos="83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terms that follow, when used in this Agreement, shall have the meanings indicated. “</w:t>
      </w: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shall have the meaning ascribed to such term in Section 5(m).</w:t>
      </w:r>
    </w:p>
    <w:p>
      <w:pPr>
        <w:spacing w:after="0" w:line="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shall mean the United States Securities Act of 1933, as amended, and the rules and regulations of the Commission promulgated thereunder.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4(s).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have the meaning ascribed to such term in Section 4(q).</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Information Form</w:t>
      </w:r>
      <w:r>
        <w:rPr>
          <w:rFonts w:ascii="Times New Roman" w:cs="Times New Roman" w:eastAsia="Times New Roman" w:hAnsi="Times New Roman"/>
          <w:sz w:val="18"/>
          <w:szCs w:val="18"/>
          <w:color w:val="auto"/>
        </w:rPr>
        <w:t xml:space="preserve">” means Form 51-102F2 – </w:t>
      </w:r>
      <w:r>
        <w:rPr>
          <w:rFonts w:ascii="Times New Roman" w:cs="Times New Roman" w:eastAsia="Times New Roman" w:hAnsi="Times New Roman"/>
          <w:sz w:val="18"/>
          <w:szCs w:val="18"/>
          <w:i w:val="1"/>
          <w:iCs w:val="1"/>
          <w:color w:val="auto"/>
        </w:rPr>
        <w:t>Annual Information Form</w:t>
      </w:r>
      <w:r>
        <w:rPr>
          <w:rFonts w:ascii="Times New Roman" w:cs="Times New Roman" w:eastAsia="Times New Roman" w:hAnsi="Times New Roman"/>
          <w:sz w:val="18"/>
          <w:szCs w:val="18"/>
          <w:color w:val="auto"/>
        </w:rPr>
        <w:t xml:space="preserve"> under Canadian Securities Laws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shall mean, with respect to any Shares, the time of sale of such Shares pursuant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Prospectuses</w:t>
      </w:r>
      <w:r>
        <w:rPr>
          <w:rFonts w:ascii="Times New Roman" w:cs="Times New Roman" w:eastAsia="Times New Roman" w:hAnsi="Times New Roman"/>
          <w:sz w:val="18"/>
          <w:szCs w:val="18"/>
          <w:color w:val="auto"/>
        </w:rPr>
        <w:t>” means, collectively, the Canadian Base Prospectus and the U.S. Base Prospectus.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have the meaning ascribed to such term in Section 3(b)(iii).</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Broker Fee</w:t>
      </w:r>
      <w:r>
        <w:rPr>
          <w:rFonts w:ascii="Times New Roman" w:cs="Times New Roman" w:eastAsia="Times New Roman" w:hAnsi="Times New Roman"/>
          <w:sz w:val="18"/>
          <w:szCs w:val="18"/>
          <w:color w:val="auto"/>
        </w:rPr>
        <w:t>” shall have the meaning ascribed to such term in Section 3(b)(v).</w:t>
      </w:r>
    </w:p>
    <w:p>
      <w:pPr>
        <w:spacing w:after="0" w:line="225"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shall mean any day other than Saturday, Sunday or other day on which commercial banks in The City of New York or Toronto, Ontario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clarity,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and Toronto, Ontario generally are open for use by customers on such day.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Base Prospectus</w:t>
      </w:r>
      <w:r>
        <w:rPr>
          <w:rFonts w:ascii="Times New Roman" w:cs="Times New Roman" w:eastAsia="Times New Roman" w:hAnsi="Times New Roman"/>
          <w:sz w:val="18"/>
          <w:szCs w:val="18"/>
          <w:color w:val="auto"/>
        </w:rPr>
        <w:t>” shall have the meaning ascribed to such term in Section 2.</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Market</w:t>
      </w:r>
      <w:r>
        <w:rPr>
          <w:rFonts w:ascii="Times New Roman" w:cs="Times New Roman" w:eastAsia="Times New Roman" w:hAnsi="Times New Roman"/>
          <w:sz w:val="18"/>
          <w:szCs w:val="18"/>
          <w:color w:val="auto"/>
        </w:rPr>
        <w:t>” shall have the meaning ascribed to such term in Section 3(b)(ix).</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Canadian Preliminary Base Prospectus</w:t>
      </w:r>
      <w:r>
        <w:rPr>
          <w:rFonts w:ascii="Times New Roman" w:cs="Times New Roman" w:eastAsia="Times New Roman" w:hAnsi="Times New Roman"/>
          <w:sz w:val="17"/>
          <w:szCs w:val="17"/>
          <w:color w:val="auto"/>
        </w:rPr>
        <w:t>” shall have the meaning ascribed to such term in Section 2.</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Prospectus</w:t>
      </w:r>
      <w:r>
        <w:rPr>
          <w:rFonts w:ascii="Times New Roman" w:cs="Times New Roman" w:eastAsia="Times New Roman" w:hAnsi="Times New Roman"/>
          <w:sz w:val="18"/>
          <w:szCs w:val="18"/>
          <w:color w:val="auto"/>
        </w:rPr>
        <w:t>” shall have the meaning ascribed to such term in Section 2.</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Prospectus Supplement</w:t>
      </w:r>
      <w:r>
        <w:rPr>
          <w:rFonts w:ascii="Times New Roman" w:cs="Times New Roman" w:eastAsia="Times New Roman" w:hAnsi="Times New Roman"/>
          <w:sz w:val="18"/>
          <w:szCs w:val="18"/>
          <w:color w:val="auto"/>
        </w:rPr>
        <w:t>” shall have the meaning ascribed to such term in Section 2.</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Qualifying Authorities</w:t>
      </w:r>
      <w:r>
        <w:rPr>
          <w:rFonts w:ascii="Times New Roman" w:cs="Times New Roman" w:eastAsia="Times New Roman" w:hAnsi="Times New Roman"/>
          <w:sz w:val="18"/>
          <w:szCs w:val="18"/>
          <w:color w:val="auto"/>
        </w:rPr>
        <w:t>” shall have the meaning ascribed to such term in Section 2.</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Qualifying Jurisdictions</w:t>
      </w:r>
      <w:r>
        <w:rPr>
          <w:rFonts w:ascii="Times New Roman" w:cs="Times New Roman" w:eastAsia="Times New Roman" w:hAnsi="Times New Roman"/>
          <w:sz w:val="18"/>
          <w:szCs w:val="18"/>
          <w:color w:val="auto"/>
        </w:rPr>
        <w:t>” shall have the meaning ascribed to such term in Section 2.</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Securities Laws</w:t>
      </w:r>
      <w:r>
        <w:rPr>
          <w:rFonts w:ascii="Times New Roman" w:cs="Times New Roman" w:eastAsia="Times New Roman" w:hAnsi="Times New Roman"/>
          <w:sz w:val="18"/>
          <w:szCs w:val="18"/>
          <w:color w:val="auto"/>
        </w:rPr>
        <w:t>” shall have the meaning ascribed to such term in Section 2.</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United States Securities and Exchange Commission.</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shall have the meaning ascribed to such term in Section 3.</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Share Equivalents</w:t>
      </w:r>
      <w:r>
        <w:rPr>
          <w:rFonts w:ascii="Times New Roman" w:cs="Times New Roman" w:eastAsia="Times New Roman" w:hAnsi="Times New Roman"/>
          <w:sz w:val="18"/>
          <w:szCs w:val="18"/>
          <w:color w:val="auto"/>
        </w:rPr>
        <w:t>” shall have the meaning ascribed to such term in Section 4(g).</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shall have the meaning ascribed to such term in Section 5(l).</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shall have the meaning ascribed to such term in Section 3(b)(vii).</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means Electronic Data Gathering Analysis and Retrieval System.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5" w:name="page6"/>
    <w:bookmarkEnd w:id="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each date and time that the Registration Statement and any post-effective amendment or amendments thereto became or becomes effective.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United States Securities Exchange Act of 1934, as amended, and the rules and regulations of the Commission promulgated thereunder.</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Execution Time</w:t>
      </w:r>
      <w:r>
        <w:rPr>
          <w:rFonts w:ascii="Times New Roman" w:cs="Times New Roman" w:eastAsia="Times New Roman" w:hAnsi="Times New Roman"/>
          <w:sz w:val="18"/>
          <w:szCs w:val="18"/>
          <w:color w:val="auto"/>
        </w:rPr>
        <w:t>” shall mean the date and time that this Agreement is executed and delivered by the parties hereto.</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shall have the meaning ascribed to such term in Section 4(e).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F-10</w:t>
      </w:r>
      <w:r>
        <w:rPr>
          <w:rFonts w:ascii="Times New Roman" w:cs="Times New Roman" w:eastAsia="Times New Roman" w:hAnsi="Times New Roman"/>
          <w:sz w:val="18"/>
          <w:szCs w:val="18"/>
          <w:color w:val="auto"/>
        </w:rPr>
        <w:t>” shall mean the Commission’s Form F-10 registration statement under the Act.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F-X</w:t>
      </w:r>
      <w:r>
        <w:rPr>
          <w:rFonts w:ascii="Times New Roman" w:cs="Times New Roman" w:eastAsia="Times New Roman" w:hAnsi="Times New Roman"/>
          <w:sz w:val="18"/>
          <w:szCs w:val="18"/>
          <w:color w:val="auto"/>
        </w:rPr>
        <w:t>” shall have the meaning ascribed to such term in Section 2.</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shall mean a free writing prospectus, as defined in Rule 405.</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shall have the meaning ascribed to such term in Section 4(o).</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shall mean the documents or portions thereof filed with the Commission or the Reviewing Authority on or before the Effective Date that are incorporated by reference in the Prospectuses and any documents or portions thereof filed with the Commission or the Reviewing Authority after the Effective Date that are deemed to be incorporated by reference in the Prospectuses.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4(y).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shall mean an issuer free writing prospectus, as defined in Rule 433.</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shall have the meaning ascribed to such term in Section 4(a).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ascribed to such term in Section 8(d).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ascribed to such term in Section 4(b).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4(w).</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 w:name="page7"/>
    <w:bookmarkEnd w:id="6"/>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shall have the meaning ascribed to such term in Section 3(b)(v).</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NI 44-102</w:t>
      </w:r>
      <w:r>
        <w:rPr>
          <w:rFonts w:ascii="Times New Roman" w:cs="Times New Roman" w:eastAsia="Times New Roman" w:hAnsi="Times New Roman"/>
          <w:sz w:val="18"/>
          <w:szCs w:val="18"/>
          <w:color w:val="auto"/>
        </w:rPr>
        <w:t xml:space="preserve">” means National Instrument 44-102 </w:t>
      </w:r>
      <w:r>
        <w:rPr>
          <w:rFonts w:ascii="Times New Roman" w:cs="Times New Roman" w:eastAsia="Times New Roman" w:hAnsi="Times New Roman"/>
          <w:sz w:val="18"/>
          <w:szCs w:val="18"/>
          <w:i w:val="1"/>
          <w:iCs w:val="1"/>
          <w:color w:val="auto"/>
        </w:rPr>
        <w:t>Shelf Distributions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Free Writing Prospectus</w:t>
      </w:r>
      <w:r>
        <w:rPr>
          <w:rFonts w:ascii="Times New Roman" w:cs="Times New Roman" w:eastAsia="Times New Roman" w:hAnsi="Times New Roman"/>
          <w:sz w:val="18"/>
          <w:szCs w:val="18"/>
          <w:color w:val="auto"/>
        </w:rPr>
        <w:t>” shall have the meaning ascribed to such term in Section 5(g).</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shall have the meaning ascribed to such term in Section 4(b).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Supplements</w:t>
      </w:r>
      <w:r>
        <w:rPr>
          <w:rFonts w:ascii="Times New Roman" w:cs="Times New Roman" w:eastAsia="Times New Roman" w:hAnsi="Times New Roman"/>
          <w:sz w:val="18"/>
          <w:szCs w:val="18"/>
          <w:color w:val="auto"/>
        </w:rPr>
        <w:t>” means, collectively, each Canadian Prospectus Supplement and each U.S. Prospectus Supplement.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Prospectuses</w:t>
      </w:r>
      <w:r>
        <w:rPr>
          <w:rFonts w:ascii="Times New Roman" w:cs="Times New Roman" w:eastAsia="Times New Roman" w:hAnsi="Times New Roman"/>
          <w:sz w:val="18"/>
          <w:szCs w:val="18"/>
          <w:color w:val="auto"/>
        </w:rPr>
        <w:t>” means, collectively, the Canadian Prospectus and the U.S. Prospectus.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the shelf registration statement (File Number 333-272989) on Form F-10, including exhibits and financial statements and any prospectus supplement relating to the offer and sale of the Shares pursuant to this Agreement that is filed with the Commission and deemed part of such registration statement, as amended on each Effective Date and, in the event any post-effective amendment thereto becomes effective, shall also mean such registration statement as so amended.</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Representation Date</w:t>
      </w:r>
      <w:r>
        <w:rPr>
          <w:rFonts w:ascii="Times New Roman" w:cs="Times New Roman" w:eastAsia="Times New Roman" w:hAnsi="Times New Roman"/>
          <w:sz w:val="18"/>
          <w:szCs w:val="18"/>
          <w:color w:val="auto"/>
        </w:rPr>
        <w:t>” shall have the meaning ascribed to such term in Section 5(k).</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4(e).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Reviewing Authority</w:t>
      </w:r>
      <w:r>
        <w:rPr>
          <w:rFonts w:ascii="Times New Roman" w:cs="Times New Roman" w:eastAsia="Times New Roman" w:hAnsi="Times New Roman"/>
          <w:sz w:val="18"/>
          <w:szCs w:val="18"/>
          <w:color w:val="auto"/>
        </w:rPr>
        <w:t>” means the Ontario Securities Commission.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158</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164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173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Rule 433</w:t>
      </w:r>
      <w:r>
        <w:rPr>
          <w:rFonts w:ascii="Times New Roman" w:cs="Times New Roman" w:eastAsia="Times New Roman" w:hAnsi="Times New Roman"/>
          <w:sz w:val="18"/>
          <w:szCs w:val="18"/>
          <w:color w:val="auto"/>
        </w:rPr>
        <w:t>” refer to such rules under the Act.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Sales Notice</w:t>
      </w:r>
      <w:r>
        <w:rPr>
          <w:rFonts w:ascii="Times New Roman" w:cs="Times New Roman" w:eastAsia="Times New Roman" w:hAnsi="Times New Roman"/>
          <w:sz w:val="18"/>
          <w:szCs w:val="18"/>
          <w:color w:val="auto"/>
        </w:rPr>
        <w:t>” shall have the meaning ascribed to such term in Section 3(b)(i).</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4(n).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SEDAR</w:t>
      </w:r>
      <w:r>
        <w:rPr>
          <w:rFonts w:ascii="Times New Roman" w:cs="Times New Roman" w:eastAsia="Times New Roman" w:hAnsi="Times New Roman"/>
          <w:sz w:val="18"/>
          <w:szCs w:val="18"/>
          <w:color w:val="auto"/>
        </w:rPr>
        <w:t>” means System for Electronic Document Analysis and Retrieval.</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shall have the meaning ascribed to such term in Section 3(b)(vii).</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 w:name="page8"/>
    <w:bookmarkEnd w:id="7"/>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have the meaning ascribed to such term in Section 3.</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Procedures</w:t>
      </w:r>
      <w:r>
        <w:rPr>
          <w:rFonts w:ascii="Times New Roman" w:cs="Times New Roman" w:eastAsia="Times New Roman" w:hAnsi="Times New Roman"/>
          <w:sz w:val="18"/>
          <w:szCs w:val="18"/>
          <w:color w:val="auto"/>
        </w:rPr>
        <w:t>” shall have the meaning ascribed to such term in Section 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Securities</w:t>
      </w:r>
      <w:r>
        <w:rPr>
          <w:rFonts w:ascii="Times New Roman" w:cs="Times New Roman" w:eastAsia="Times New Roman" w:hAnsi="Times New Roman"/>
          <w:sz w:val="18"/>
          <w:szCs w:val="18"/>
          <w:color w:val="auto"/>
        </w:rPr>
        <w:t>” shall have the meaning ascribed to such term in Section 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have the meaning ascribed to such term in Section 4(a).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Trading Market is open for trading.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the Nasdaq Global Market.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TSX</w:t>
      </w:r>
      <w:r>
        <w:rPr>
          <w:rFonts w:ascii="Times New Roman" w:cs="Times New Roman" w:eastAsia="Times New Roman" w:hAnsi="Times New Roman"/>
          <w:sz w:val="18"/>
          <w:szCs w:val="18"/>
          <w:color w:val="auto"/>
        </w:rPr>
        <w:t>” means the Toronto Stock Exchange.</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Base Prospectus</w:t>
      </w:r>
      <w:r>
        <w:rPr>
          <w:rFonts w:ascii="Times New Roman" w:cs="Times New Roman" w:eastAsia="Times New Roman" w:hAnsi="Times New Roman"/>
          <w:sz w:val="18"/>
          <w:szCs w:val="18"/>
          <w:color w:val="auto"/>
        </w:rPr>
        <w:t>” shall mean the base prospectus relating to the Shelf Securities contained in the Registration Statement at the Execution Time.</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Prospectus</w:t>
      </w:r>
      <w:r>
        <w:rPr>
          <w:rFonts w:ascii="Times New Roman" w:cs="Times New Roman" w:eastAsia="Times New Roman" w:hAnsi="Times New Roman"/>
          <w:sz w:val="18"/>
          <w:szCs w:val="18"/>
          <w:color w:val="auto"/>
        </w:rPr>
        <w:t>” shall mean the U.S. Base Prospectus, as supplemented by the most recently filed U.S. Prospectus Supplement (if any) and together with any Issuer Free Writing Prospectus.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Prospectus Supplement</w:t>
      </w:r>
      <w:r>
        <w:rPr>
          <w:rFonts w:ascii="Times New Roman" w:cs="Times New Roman" w:eastAsia="Times New Roman" w:hAnsi="Times New Roman"/>
          <w:sz w:val="18"/>
          <w:szCs w:val="18"/>
          <w:color w:val="auto"/>
        </w:rPr>
        <w:t>” shall have the meaning ascribed to such term in Section 2.</w:t>
      </w:r>
    </w:p>
    <w:p>
      <w:pPr>
        <w:spacing w:after="0" w:line="225" w:lineRule="exact"/>
        <w:rPr>
          <w:sz w:val="20"/>
          <w:szCs w:val="20"/>
          <w:color w:val="auto"/>
        </w:rPr>
      </w:pPr>
    </w:p>
    <w:p>
      <w:pPr>
        <w:jc w:val="both"/>
        <w:ind w:firstLine="656"/>
        <w:spacing w:after="0" w:line="253" w:lineRule="auto"/>
        <w:tabs>
          <w:tab w:leader="none" w:pos="841"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Prospectuses and Registration Statement Filings</w:t>
      </w:r>
      <w:r>
        <w:rPr>
          <w:rFonts w:ascii="Times New Roman" w:cs="Times New Roman" w:eastAsia="Times New Roman" w:hAnsi="Times New Roman"/>
          <w:sz w:val="18"/>
          <w:szCs w:val="18"/>
          <w:color w:val="auto"/>
        </w:rPr>
        <w:t>. The Company has prepared and filed with the securities regulatory authorities (“</w:t>
      </w:r>
      <w:r>
        <w:rPr>
          <w:rFonts w:ascii="Times New Roman" w:cs="Times New Roman" w:eastAsia="Times New Roman" w:hAnsi="Times New Roman"/>
          <w:sz w:val="18"/>
          <w:szCs w:val="18"/>
          <w:u w:val="single" w:color="auto"/>
          <w:color w:val="auto"/>
        </w:rPr>
        <w:t>Canadian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Qualifying Authorities</w:t>
      </w:r>
      <w:r>
        <w:rPr>
          <w:rFonts w:ascii="Times New Roman" w:cs="Times New Roman" w:eastAsia="Times New Roman" w:hAnsi="Times New Roman"/>
          <w:sz w:val="18"/>
          <w:szCs w:val="18"/>
          <w:color w:val="auto"/>
        </w:rPr>
        <w:t>”) in each of the provinces and territories of Canada (the “</w:t>
      </w:r>
      <w:r>
        <w:rPr>
          <w:rFonts w:ascii="Times New Roman" w:cs="Times New Roman" w:eastAsia="Times New Roman" w:hAnsi="Times New Roman"/>
          <w:sz w:val="18"/>
          <w:szCs w:val="18"/>
          <w:u w:val="single" w:color="auto"/>
          <w:color w:val="auto"/>
        </w:rPr>
        <w:t>Canadian Qualifying Jurisdictions</w:t>
      </w:r>
      <w:r>
        <w:rPr>
          <w:rFonts w:ascii="Times New Roman" w:cs="Times New Roman" w:eastAsia="Times New Roman" w:hAnsi="Times New Roman"/>
          <w:sz w:val="18"/>
          <w:szCs w:val="18"/>
          <w:color w:val="auto"/>
        </w:rPr>
        <w:t>”) in accordance with applicable securities laws and the respective applicable rules and regulations under such laws, together with applicable published national, multilateral and local policy statements, instruments, notices and blanket orders of the Canadian Qualifying Authorities in each of the Canadian Qualifying Jurisdictions (collectively, “</w:t>
      </w:r>
      <w:r>
        <w:rPr>
          <w:rFonts w:ascii="Times New Roman" w:cs="Times New Roman" w:eastAsia="Times New Roman" w:hAnsi="Times New Roman"/>
          <w:sz w:val="18"/>
          <w:szCs w:val="18"/>
          <w:u w:val="single" w:color="auto"/>
          <w:color w:val="auto"/>
        </w:rPr>
        <w:t>Canadian Securities Laws</w:t>
      </w:r>
      <w:r>
        <w:rPr>
          <w:rFonts w:ascii="Times New Roman" w:cs="Times New Roman" w:eastAsia="Times New Roman" w:hAnsi="Times New Roman"/>
          <w:sz w:val="18"/>
          <w:szCs w:val="18"/>
          <w:color w:val="auto"/>
        </w:rPr>
        <w:t>”), an amended and restated preliminary short-form base shelf prospectus, dated September 22, 2023 (the “</w:t>
      </w:r>
      <w:r>
        <w:rPr>
          <w:rFonts w:ascii="Times New Roman" w:cs="Times New Roman" w:eastAsia="Times New Roman" w:hAnsi="Times New Roman"/>
          <w:sz w:val="18"/>
          <w:szCs w:val="18"/>
          <w:u w:val="single" w:color="auto"/>
          <w:color w:val="auto"/>
        </w:rPr>
        <w:t>Canadian Preliminary Base Prospectus</w:t>
      </w:r>
      <w:r>
        <w:rPr>
          <w:rFonts w:ascii="Times New Roman" w:cs="Times New Roman" w:eastAsia="Times New Roman" w:hAnsi="Times New Roman"/>
          <w:sz w:val="18"/>
          <w:szCs w:val="18"/>
          <w:color w:val="auto"/>
        </w:rPr>
        <w:t>”), in respect of offers and sales, from time to time, of up to US$375,000,000 (or the equivalent thereof in any other currency used to denominate Shelf Securities based on the applicable exchange rate at the time of issuance of such Shelf Securities) of (i) Common Shares,</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receipts, (iii) debt securities, (iv) warrants, (v) share purchase contracts and (vi) units comprised of more than one of the Common Shares, subscription receipts, debt securities, warrants and/or share purchase contracts (collectively, the “</w:t>
      </w:r>
      <w:r>
        <w:rPr>
          <w:rFonts w:ascii="Times New Roman" w:cs="Times New Roman" w:eastAsia="Times New Roman" w:hAnsi="Times New Roman"/>
          <w:sz w:val="18"/>
          <w:szCs w:val="18"/>
          <w:u w:val="single" w:color="auto"/>
          <w:color w:val="auto"/>
        </w:rPr>
        <w:t>Shelf Securities</w:t>
      </w:r>
      <w:r>
        <w:rPr>
          <w:rFonts w:ascii="Times New Roman" w:cs="Times New Roman" w:eastAsia="Times New Roman" w:hAnsi="Times New Roman"/>
          <w:sz w:val="18"/>
          <w:szCs w:val="18"/>
          <w:color w:val="auto"/>
        </w:rPr>
        <w:t>”) and a final short-form base shelf prospectus, dated November 10, 2023 (“</w:t>
      </w:r>
      <w:r>
        <w:rPr>
          <w:rFonts w:ascii="Times New Roman" w:cs="Times New Roman" w:eastAsia="Times New Roman" w:hAnsi="Times New Roman"/>
          <w:sz w:val="18"/>
          <w:szCs w:val="18"/>
          <w:u w:val="single" w:color="auto"/>
          <w:color w:val="auto"/>
        </w:rPr>
        <w:t>Canadian Base Prospectus</w:t>
      </w:r>
      <w:r>
        <w:rPr>
          <w:rFonts w:ascii="Times New Roman" w:cs="Times New Roman" w:eastAsia="Times New Roman" w:hAnsi="Times New Roman"/>
          <w:sz w:val="18"/>
          <w:szCs w:val="18"/>
          <w:color w:val="auto"/>
        </w:rPr>
        <w:t xml:space="preserve">”), in respect of offers and sales, from time to time, of US$375,000,000 (or the equivalent thereof in any other currency used to denominate Shelf Securities based on the applicable exchange rate at the time of issuance of such Shelf Securities) of the Shelf Securities, and includes all documents incorporated therein by reference and the documents otherwise deemed to be a part thereof or included therein pursuant to Canadian Securities Laws. The Reviewing Authority is the principal regulator of the Company under the passport system procedures provided for under Multilateral Instrument 11-102 </w:t>
      </w:r>
      <w:r>
        <w:rPr>
          <w:rFonts w:ascii="Times New Roman" w:cs="Times New Roman" w:eastAsia="Times New Roman" w:hAnsi="Times New Roman"/>
          <w:sz w:val="18"/>
          <w:szCs w:val="18"/>
          <w:i w:val="1"/>
          <w:iCs w:val="1"/>
          <w:color w:val="auto"/>
        </w:rPr>
        <w:t>Passport System</w:t>
      </w:r>
      <w:r>
        <w:rPr>
          <w:rFonts w:ascii="Times New Roman" w:cs="Times New Roman" w:eastAsia="Times New Roman" w:hAnsi="Times New Roman"/>
          <w:sz w:val="18"/>
          <w:szCs w:val="18"/>
          <w:color w:val="auto"/>
        </w:rPr>
        <w:t xml:space="preserve"> and National Policy 11-202 </w:t>
      </w:r>
      <w:r>
        <w:rPr>
          <w:rFonts w:ascii="Times New Roman" w:cs="Times New Roman" w:eastAsia="Times New Roman" w:hAnsi="Times New Roman"/>
          <w:sz w:val="18"/>
          <w:szCs w:val="18"/>
          <w:i w:val="1"/>
          <w:iCs w:val="1"/>
          <w:color w:val="auto"/>
        </w:rPr>
        <w:t>Process for Prospectus Reviews in Multiple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Jurisdictions </w:t>
      </w:r>
      <w:r>
        <w:rPr>
          <w:rFonts w:ascii="Times New Roman" w:cs="Times New Roman" w:eastAsia="Times New Roman" w:hAnsi="Times New Roman"/>
          <w:sz w:val="18"/>
          <w:szCs w:val="18"/>
          <w:color w:val="auto"/>
        </w:rPr>
        <w:t>in respect of the Shelf Securities and the offering of Shares. The Reviewing Authority has issued a receipt evidencing that a receipt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on behalf of itself and the other Canadian Qualifying Authorities, for the Canadian Preliminary Base Prospectus and the Reviewing Authority has issued a receipt evidencing that a receipt has been issued on behalf of itself and the other Canadian Qualifying Authorities for the Canadian Base Prospectus (the “</w:t>
      </w:r>
      <w:r>
        <w:rPr>
          <w:rFonts w:ascii="Times New Roman" w:cs="Times New Roman" w:eastAsia="Times New Roman" w:hAnsi="Times New Roman"/>
          <w:sz w:val="18"/>
          <w:szCs w:val="18"/>
          <w:u w:val="single" w:color="auto"/>
          <w:color w:val="auto"/>
        </w:rPr>
        <w:t>Receipts</w:t>
      </w:r>
      <w:r>
        <w:rPr>
          <w:rFonts w:ascii="Times New Roman" w:cs="Times New Roman" w:eastAsia="Times New Roman" w:hAnsi="Times New Roman"/>
          <w:sz w:val="18"/>
          <w:szCs w:val="18"/>
          <w:color w:val="auto"/>
        </w:rPr>
        <w:t>”). The Company has prepared the Canadian Base Prospectus pursuant to National Instrument 44-101—</w:t>
      </w:r>
      <w:r>
        <w:rPr>
          <w:rFonts w:ascii="Times New Roman" w:cs="Times New Roman" w:eastAsia="Times New Roman" w:hAnsi="Times New Roman"/>
          <w:sz w:val="18"/>
          <w:szCs w:val="18"/>
          <w:i w:val="1"/>
          <w:iCs w:val="1"/>
          <w:color w:val="auto"/>
        </w:rPr>
        <w:t>Short Form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Distributions </w:t>
      </w:r>
      <w:r>
        <w:rPr>
          <w:rFonts w:ascii="Times New Roman" w:cs="Times New Roman" w:eastAsia="Times New Roman" w:hAnsi="Times New Roman"/>
          <w:sz w:val="18"/>
          <w:szCs w:val="18"/>
          <w:color w:val="auto"/>
        </w:rPr>
        <w:t>and NI 44-102 (together, the “</w:t>
      </w:r>
      <w:r>
        <w:rPr>
          <w:rFonts w:ascii="Times New Roman" w:cs="Times New Roman" w:eastAsia="Times New Roman" w:hAnsi="Times New Roman"/>
          <w:sz w:val="18"/>
          <w:szCs w:val="18"/>
          <w:u w:val="single" w:color="auto"/>
          <w:color w:val="auto"/>
        </w:rPr>
        <w:t>Shelf Procedures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Promptly following the execution of this Agreement, the Company will file with the Reviewing Authority, in accordance with the Shelf Procedures, one or more prospectus supplements relating to the offer and sale of the Shares pursuant to this Agreement.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Canadian Prospectus Supplement</w:t>
      </w:r>
      <w:r>
        <w:rPr>
          <w:rFonts w:ascii="Times New Roman" w:cs="Times New Roman" w:eastAsia="Times New Roman" w:hAnsi="Times New Roman"/>
          <w:sz w:val="18"/>
          <w:szCs w:val="18"/>
          <w:color w:val="auto"/>
        </w:rPr>
        <w:t>” means the most recent prospectus supplement relating to the offer and sale of the Shares pursuant to this Agreement, to be filed by the Company with the Reviewing Authority and the other Canadian Qualifying Authorities, as applicable, in accordance with Canadian Securities Laws, in the form furnished by the Company to the Manager; and “</w:t>
      </w:r>
      <w:r>
        <w:rPr>
          <w:rFonts w:ascii="Times New Roman" w:cs="Times New Roman" w:eastAsia="Times New Roman" w:hAnsi="Times New Roman"/>
          <w:sz w:val="18"/>
          <w:szCs w:val="18"/>
          <w:u w:val="single" w:color="auto"/>
          <w:color w:val="auto"/>
        </w:rPr>
        <w:t>Canadian Prospectus</w:t>
      </w:r>
      <w:r>
        <w:rPr>
          <w:rFonts w:ascii="Times New Roman" w:cs="Times New Roman" w:eastAsia="Times New Roman" w:hAnsi="Times New Roman"/>
          <w:sz w:val="18"/>
          <w:szCs w:val="18"/>
          <w:color w:val="auto"/>
        </w:rPr>
        <w:t>” means the Canadian Prospectus Supplement (and any additional Canadian prospectus supplement relating to the offer and sale of Shares under, and prepared in accordance with the provisions of, this Agreement and filed with the Reviewing Authority and the other Canadian Qualifying Authorities, as applicable, in accordance with Canadian Securities Laws), together with the Canadian Base Prospectus.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filed, in accordance with the provisions of the Act, with the Commission the Registration Statement. The Company has also filed with the Commission an appointment of agent for service of process on Form F-X (the “</w:t>
      </w:r>
      <w:r>
        <w:rPr>
          <w:rFonts w:ascii="Times New Roman" w:cs="Times New Roman" w:eastAsia="Times New Roman" w:hAnsi="Times New Roman"/>
          <w:sz w:val="18"/>
          <w:szCs w:val="18"/>
          <w:u w:val="single" w:color="auto"/>
          <w:color w:val="auto"/>
        </w:rPr>
        <w:t>Form F- X”</w:t>
      </w:r>
      <w:r>
        <w:rPr>
          <w:rFonts w:ascii="Times New Roman" w:cs="Times New Roman" w:eastAsia="Times New Roman" w:hAnsi="Times New Roman"/>
          <w:sz w:val="18"/>
          <w:szCs w:val="18"/>
          <w:color w:val="auto"/>
        </w:rPr>
        <w:t>) in conjunction with the initial filing of the Registration Statement.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concurrently with the filing of the Canadian Prospectus Supplement with the Reviewing Authority and the other Canadian Qualifying Authorities, as applicable, file the Canadian Prospectus Supplement with the Commission with such deletions therefrom and additions or changes thereto as are permitted or required by Form F-10. As used herein, “</w:t>
      </w:r>
      <w:r>
        <w:rPr>
          <w:rFonts w:ascii="Times New Roman" w:cs="Times New Roman" w:eastAsia="Times New Roman" w:hAnsi="Times New Roman"/>
          <w:sz w:val="18"/>
          <w:szCs w:val="18"/>
          <w:u w:val="single" w:color="auto"/>
          <w:color w:val="auto"/>
        </w:rPr>
        <w:t>U.S. Prospectus Supplement</w:t>
      </w:r>
      <w:r>
        <w:rPr>
          <w:rFonts w:ascii="Times New Roman" w:cs="Times New Roman" w:eastAsia="Times New Roman" w:hAnsi="Times New Roman"/>
          <w:sz w:val="18"/>
          <w:szCs w:val="18"/>
          <w:color w:val="auto"/>
        </w:rPr>
        <w:t>” means the most recent prospectus supplement relating to the offer and sale of the Shares pursuant to this Agreement, to be filed by the Company with the Commission in accordance with the requirements of Form F-10, in the form furnished by the Company to the Manager.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reference herein to the Registration Statement, the Base Prospectuses, the Prospectus Supplements (including each of the U.S. Prospectus Supplement and the Canadian Prospectus Supplement) or the Prospectuses (including each of the U.S. Prospectus and the Canadian Prospectus) or any amendment or supplement thereto shall be deemed to refer to and include the documents incorporated by reference therein, and any reference herein to the terms “amend,” “amendment” or “supplement” with respect to the Registration Statement, the Base Prospectuses, the Prospectus Supplements or the Prospectuses shall be deemed to refer to and include the filing or furnishing of any document with or to the Commission, the Reviewing Authority and Canadian Qualifying Authorities, as applicable, on or after the Effective Date of the Registration Statement or the date of the Base Prospectuses, the Prospectus Supplements or the Prospectuses, as the case may be, and deemed to be incorporated by reference therein.</w:t>
      </w:r>
    </w:p>
    <w:p>
      <w:pPr>
        <w:spacing w:after="0" w:line="189" w:lineRule="exact"/>
        <w:rPr>
          <w:sz w:val="20"/>
          <w:szCs w:val="20"/>
          <w:color w:val="auto"/>
        </w:rPr>
      </w:pPr>
    </w:p>
    <w:p>
      <w:pPr>
        <w:jc w:val="both"/>
        <w:ind w:firstLine="656"/>
        <w:spacing w:after="0" w:line="253" w:lineRule="auto"/>
        <w:tabs>
          <w:tab w:leader="none" w:pos="8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and Delivery of Shares</w:t>
      </w:r>
      <w:r>
        <w:rPr>
          <w:rFonts w:ascii="Times New Roman" w:cs="Times New Roman" w:eastAsia="Times New Roman" w:hAnsi="Times New Roman"/>
          <w:sz w:val="18"/>
          <w:szCs w:val="18"/>
          <w:color w:val="auto"/>
        </w:rPr>
        <w:t>. The Company proposes to issue and sell through or to the Manager, as sales agent, common shares, no par value, of the Company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(such Common Shares to be issued and sold pursuant to this Agreement,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from time to time during the term of this Agreement and on the terms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the Company issue or sell through the Manager such number of Shares that exceeds (a) the dollar amount of Common Shares registered on the Registration Statement pursuant to which the offering is being made or (b) the amount authorized by the Board from time to time to be issued and sold under this Agreement. Notwithstanding anything to the contrary contained herein, the parties hereto agree that compliance with the limitations set forth in this Section 3 on the number and aggregate sales price of Shares issued and sold under this Agreement shall be the sole responsibility of the Company and that the Manager shall have no obligation in connection with such compliance. Nothing in this Agreement shall be construed as requiring the Company to use the Registration Statement to issue, deliver and sell the Shares. Each of the Company and the Manager hereby agree and acknowledge that all sales and solicitations of sales of Shares by the Manager as agent of the Company shall be made solely in the United States and not on or through the facilities of any Canadian Market and shall otherwise be made in compliance with Section 3(b)(ix) of this Agreement.</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6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Manager as Selling Agent</w:t>
      </w:r>
      <w:r>
        <w:rPr>
          <w:rFonts w:ascii="Times New Roman" w:cs="Times New Roman" w:eastAsia="Times New Roman" w:hAnsi="Times New Roman"/>
          <w:sz w:val="18"/>
          <w:szCs w:val="18"/>
          <w:color w:val="auto"/>
        </w:rPr>
        <w:t>. The Company hereby appoints the Manager as exclusive agent of the Company for the purpose of selling the Shares of the Company pursuant to this Agreement and the Manager agrees to use its commercially reasonable efforts to sell the Shares on the terms and subject to the conditions stated herein. In using commercially reasonable efforts to sell Shares, as sales agent for the Company, the Manager will undertake such sales in a manner that is consistent with its normal trading and sales practices and applicable state, provincial and federal laws, rules and regulations and the rules of the Trading Market.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left="-460" w:firstLine="644"/>
        <w:spacing w:after="0" w:line="266" w:lineRule="auto"/>
        <w:tabs>
          <w:tab w:leader="none" w:pos="47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Sales</w:t>
      </w:r>
      <w:r>
        <w:rPr>
          <w:rFonts w:ascii="Times New Roman" w:cs="Times New Roman" w:eastAsia="Times New Roman" w:hAnsi="Times New Roman"/>
          <w:sz w:val="18"/>
          <w:szCs w:val="18"/>
          <w:color w:val="auto"/>
        </w:rPr>
        <w:t>. Subject to the terms and conditions and in reliance upon the representations and warranties herein set forth, the Company may issue and sell Shares from time to time through the Manager, acting as sales agent, and the Manager agrees to use its commercially reasonable efforts to sell, as sales agent for the Company, on the following terms:</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54" w:lineRule="auto"/>
        <w:tabs>
          <w:tab w:leader="none" w:pos="104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to be sold on a daily basis or otherwise as shall be agreed to by the Company and the Manager on any day (A) that is a Trading Day, (B) on which the Company has instructed the Manager by telephone (confirmed promptly by electronic mail) to make such sales (“</w:t>
      </w:r>
      <w:r>
        <w:rPr>
          <w:rFonts w:ascii="Times New Roman" w:cs="Times New Roman" w:eastAsia="Times New Roman" w:hAnsi="Times New Roman"/>
          <w:sz w:val="18"/>
          <w:szCs w:val="18"/>
          <w:u w:val="single" w:color="auto"/>
          <w:color w:val="auto"/>
        </w:rPr>
        <w:t>Sales Notice</w:t>
      </w:r>
      <w:r>
        <w:rPr>
          <w:rFonts w:ascii="Times New Roman" w:cs="Times New Roman" w:eastAsia="Times New Roman" w:hAnsi="Times New Roman"/>
          <w:sz w:val="18"/>
          <w:szCs w:val="18"/>
          <w:color w:val="auto"/>
        </w:rPr>
        <w:t>”) and (C) on which the Company has satisfied its obligations under Section 7 of this Agreement. The Company will designate the maximum amount of the Shares to be sold on any day by the Manager (subject to the limitations set forth in Section 3(d)) and the minimum price per Share at which such Shares may be sold. Subject to the terms and conditions hereof, the Manager shall use its commercially reasonable efforts to sell on a particular day all of the Shares designated for the sale by the Company on such day. The gross sales price of the Shares sold under this Section 3(b) shall be the market price for Common Shares sold by the Manager under this Section 3(b) on the Trading Market at the time of sale of such Shares.</w:t>
      </w:r>
    </w:p>
    <w:p>
      <w:pPr>
        <w:spacing w:after="0" w:line="191"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09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(A) there can be no assurance that the Manager will be successful in selling the Shares, (B) the Manager will incur no liability or obligation to the Company or any other person or entity if it does not sell the Shares for any reason other than a failure by the Manager to use its commercially reasonable efforts consistent with its normal trading and sales practices and applicable law and regulations to sell such Shares as required under this Agreement, and (C) the Manager shall be under no obligation to purchase Shares on a principal basis pursuant to this Agreement.</w:t>
      </w:r>
    </w:p>
    <w:p>
      <w:pPr>
        <w:spacing w:after="0" w:line="183"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15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authorize the issuance and sale of, and the Manager shall not be obligated to use its commercially reasonable efforts to sell and shall not sell, any Shares at a price lower than the minimum price therefor designated from time to time by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a duly authorized committee thereof, or duly authorized officers of the Company, and notified to the Manager in writing. The Company or the Manager may, upon notice to the other party hereto by telephone (confirmed promptly by electronic mail), suspend the offering of the Shares for any reason and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suspension or termination shall not affect or impair the parties’ respective obligations with respect to the Shares sold hereunder prior to the giving of such notice.</w:t>
      </w:r>
    </w:p>
    <w:p>
      <w:pPr>
        <w:spacing w:after="0" w:line="200" w:lineRule="exact"/>
        <w:rPr>
          <w:sz w:val="20"/>
          <w:szCs w:val="20"/>
          <w:color w:val="auto"/>
        </w:rPr>
      </w:pP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 w:name="page12"/>
    <w:bookmarkEnd w:id="11"/>
    <w:p>
      <w:pPr>
        <w:jc w:val="both"/>
        <w:ind w:left="180" w:firstLine="652"/>
        <w:spacing w:after="0" w:line="256" w:lineRule="auto"/>
        <w:tabs>
          <w:tab w:leader="none" w:pos="114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a Sales Notice, the Manager may sell Shares by any method permitted by law deemed to be an “at-the-market distribution” under NI 44-102, including, without limitation, sales made through the Trading Market, on any other existing trading market for the Common Shares in the United States or to or through a market maker, but subject, in all circumstances, to the restrictions of Section 3(b)(ix). If expressly authorized by the Company in a Sales Notice and, if so provided in the “Plan of Distribution” section of the U.S. Prospectus, the Manager may also sell Shares in privately negotiated transactions in the United States, subject to any required pre-clearance of any such transactions by the Trading Market.</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09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to the Manager for sales of the Shares under this Section 3(b) shall be a placement fee of 3.0% of the gross sales price of the Shares sold pursuant to this Section 3(b) (“</w:t>
      </w:r>
      <w:r>
        <w:rPr>
          <w:rFonts w:ascii="Times New Roman" w:cs="Times New Roman" w:eastAsia="Times New Roman" w:hAnsi="Times New Roman"/>
          <w:sz w:val="18"/>
          <w:szCs w:val="18"/>
          <w:u w:val="single" w:color="auto"/>
          <w:color w:val="auto"/>
        </w:rPr>
        <w:t>Broker Fee</w:t>
      </w:r>
      <w:r>
        <w:rPr>
          <w:rFonts w:ascii="Times New Roman" w:cs="Times New Roman" w:eastAsia="Times New Roman" w:hAnsi="Times New Roman"/>
          <w:sz w:val="18"/>
          <w:szCs w:val="18"/>
          <w:color w:val="auto"/>
        </w:rPr>
        <w:t>”). The remaining proceeds, after deduction of the Broker Fee and deduction of any transaction fees imposed by any clearing firm, execution broker, or governmental or self-regulatory organization in respect of such sales, shall constitute the net proceeds to the Company for such Shares (the “</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1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shall provide written confirmation (which may be by facsimile or electronic mail) to the Company following the close of trading on the Trading Market each day in which the Shares are sold under this Section 3(b) setting forth the number of the Shares sold on such day, the aggregate gross sales proceeds and the Net Proceeds to the Company, and the compensation payable by the Company to the Manager with respect to such sales.</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1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for sales of the Shares pursuant to this Section 3(a) will occur at 10:00 a.m. (New York City time), or at such time as the Company and the Manager may mutually agree, on the second (2nd) Trading Day (and, on and after May 28, 2024 (or such later date on which the Commission’s final rule with respect to the shortening of the securities transaction settlement cycle becomes effective), on the first (1st) Trading Day, or any such other settlement cycle as may be in effect pursuant to Rule 15c6-1 under the Exchange Act from time to time) following the date on which such sales are made (each, a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On each Settlement Date, the Shares sold through the Manager for settlement on such date shall be issued and delivered by the Company to the Manager against payment of the Net Proceeds for the sale of such Shares. Settlement for all such Shares shall be effected by free delivery of the Shares to the Manager’s account at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via the Deposit/Withdrawal at Custodian System, in return for Net Proceeds in same day funds delivered to the account designated by the Company. If the Company or its transfer agent (if applicable) shall default on its obligation to deliver the Shares on any Settlement Date, the Company shall (A) indemnify and hold the Manager harmless against any loss, claim or damage arising from or as a result of such default by the Company and (B) pay the Manager any commission to which it would otherwise be entitled absent such default.</w:t>
      </w:r>
    </w:p>
    <w:p>
      <w:pPr>
        <w:spacing w:after="0" w:line="200" w:lineRule="exact"/>
        <w:rPr>
          <w:sz w:val="20"/>
          <w:szCs w:val="20"/>
          <w:color w:val="auto"/>
        </w:rPr>
      </w:pPr>
    </w:p>
    <w:p>
      <w:pPr>
        <w:spacing w:after="0" w:line="20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2" w:name="page13"/>
    <w:bookmarkEnd w:id="12"/>
    <w:p>
      <w:pPr>
        <w:jc w:val="both"/>
        <w:ind w:left="180" w:firstLine="652"/>
        <w:spacing w:after="0" w:line="255" w:lineRule="auto"/>
        <w:tabs>
          <w:tab w:leader="none" w:pos="122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Applicable Time, Settlement Date, and Representation Date, the Company shall be deemed to have affirmed each representation and warranty contained in this Agreement as if such representation and warranty were made as of such date (except for any of such representations and warranties that speak as of a specific date), modified as necessary to relate to the Registration Statement and the Prospectuses as amended as of such date. Any obligation of the Manager to use its commercially reasonable efforts to sell the Shares on behalf of the Company shall be subject to the accuracy of the representations and warranties of the Company herein in accordance with the foregoing, to the performance by the Company of its obligations hereunder and to the satisfaction of the additional conditions specified in Section 7 of this Agreement.</w:t>
      </w:r>
    </w:p>
    <w:p>
      <w:pPr>
        <w:spacing w:after="0" w:line="188"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7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covenants to the other party that (i) it will not undertake any act, advertisement, solicitation, conduct or negotiation directly or indirectly in furtherance of the sale of the Shares in Canada; and (ii) it will not undertake an offer or sale of any Shares through the facilities of the TSX or any other Canadian trading market (together with the TSX, a “</w:t>
      </w:r>
      <w:r>
        <w:rPr>
          <w:rFonts w:ascii="Times New Roman" w:cs="Times New Roman" w:eastAsia="Times New Roman" w:hAnsi="Times New Roman"/>
          <w:sz w:val="18"/>
          <w:szCs w:val="18"/>
          <w:u w:val="single" w:color="auto"/>
          <w:color w:val="auto"/>
        </w:rPr>
        <w:t>Canadian Market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54" w:lineRule="auto"/>
        <w:tabs>
          <w:tab w:leader="none" w:pos="108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declare or make any dividend or other distribution of its assets (or rights to acquire its assets) to holders of Common Shares,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and the record date for the determination of stockholders entitled to receive the Distribution,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the Company hereby covenants that, in connection with any sales of Shares pursuant to a Sales Notice on the Record Date, the Company covenants and agrees that the Company shall issue and deliver such Shares to the Manager on the Record Date and the Record Date shall be the Settlement Date and the Company shall cover any additional costs of the Manager in connection with the delivery of Shares on the Record Date.</w:t>
      </w:r>
    </w:p>
    <w:p>
      <w:pPr>
        <w:spacing w:after="0" w:line="191" w:lineRule="exact"/>
        <w:rPr>
          <w:rFonts w:ascii="Times New Roman" w:cs="Times New Roman" w:eastAsia="Times New Roman" w:hAnsi="Times New Roman"/>
          <w:sz w:val="18"/>
          <w:szCs w:val="18"/>
          <w:color w:val="auto"/>
        </w:rPr>
      </w:pPr>
    </w:p>
    <w:p>
      <w:pPr>
        <w:ind w:left="420" w:hanging="236"/>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Number of Shares</w:t>
      </w:r>
      <w:r>
        <w:rPr>
          <w:rFonts w:ascii="Times New Roman" w:cs="Times New Roman" w:eastAsia="Times New Roman" w:hAnsi="Times New Roman"/>
          <w:sz w:val="18"/>
          <w:szCs w:val="18"/>
          <w:color w:val="auto"/>
        </w:rPr>
        <w:t>. Under no circumstances shall the Company cause or request the offer or sale of any Shares if, after giving effect to the sale of such Shares, the aggregate amount of Shares sold pursuant to this Agreement would exceed the lesser of (A) the amount available for offer and sale under the currently effective Registration Statement and (B) the amount authorized from time to time to be issued and sold under this Agreement by the Board, a duly authorized committee thereof or a duly authorized executive officer, and notified to the Manager in writing. Under no circumstances shall the Company cause or request the offer or sale of any Shares pursuant to this Agreement at a price lower than the minimum price authorized from time to time by the Board, a duly authorized committee thereof or a duly authorized executive officer, and notified to the Manager in writing. Further, under no circumstances shall the Company cause or permit the aggregate offering amount of Shares sold pursuant to this Agreement to exceed the amount qualified under the Canadian Prospectus Supplement or registered under the Registration Statement.</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 w:name="page14"/>
    <w:bookmarkEnd w:id="13"/>
    <w:p>
      <w:pPr>
        <w:jc w:val="both"/>
        <w:ind w:left="-460" w:firstLine="644"/>
        <w:spacing w:after="0" w:line="266" w:lineRule="auto"/>
        <w:tabs>
          <w:tab w:leader="none" w:pos="4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Notice</w:t>
      </w:r>
      <w:r>
        <w:rPr>
          <w:rFonts w:ascii="Times New Roman" w:cs="Times New Roman" w:eastAsia="Times New Roman" w:hAnsi="Times New Roman"/>
          <w:sz w:val="18"/>
          <w:szCs w:val="18"/>
          <w:color w:val="auto"/>
        </w:rPr>
        <w:t>. Unless the exceptive provisions set forth in Rule 101(c)(1) of Regulation M under the Exchange Act are satisfied with respect to the Shares, the Company shall give the Manager at least one Trading Day’s prior notice of its intent to sell any Shares in order to allow the Manager time to comply with Regulation M.</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Covenants of the Manager</w:t>
      </w:r>
      <w:r>
        <w:rPr>
          <w:rFonts w:ascii="Times New Roman" w:cs="Times New Roman" w:eastAsia="Times New Roman" w:hAnsi="Times New Roman"/>
          <w:sz w:val="18"/>
          <w:szCs w:val="18"/>
          <w:color w:val="auto"/>
        </w:rPr>
        <w:t>. The Manager represents, warrants and covenants to the Company that it is duly registered as a broker-dealer under FINRA, the Exchange Act and the applicable statutes and regulations of each state in which the Shares will be offered and sold, except such states in which the Manager is exempt from registration or such registration is not otherwise required. The Manager shall continue, for the term of this Agreement, to be duly registered as a broker-dealer under FINRA, the Exchange Act and the applicable statutes and regulations of each state in which the Shares will be offered and sold, except such states in which the Manager is exempt from registration or such registration is not otherwise required, during the term of this Agreement. The Manager will comply with all applicable law and regulations in the United States in connection with the sales of the Shares, including but not limited to Regulation M under the Exchange Act.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Short Sales and Stabilization Activities</w:t>
      </w:r>
      <w:r>
        <w:rPr>
          <w:rFonts w:ascii="Times New Roman" w:cs="Times New Roman" w:eastAsia="Times New Roman" w:hAnsi="Times New Roman"/>
          <w:sz w:val="18"/>
          <w:szCs w:val="18"/>
          <w:color w:val="auto"/>
        </w:rPr>
        <w:t>. During the term of this Agreement, the Manager and its respective affiliates or subsidiaries shall not engage in (i) any short sale of any security of the Company for the account of the Manager, (ii) any transactions, including an over-allotment of any securities, that are intended to stabilize or maintain the market price of the Common Shares, or (iii) any sale of any security of the Company for the account of the Manager that the Manager does not own or any sale which is consummated by the delivery of a security of the Company borrowed by, or for the account of, the Manager. For the purposes of this Section 3(g), sales made by the Manager in connection with a Sales Notice will not be considered to be subject to the prohibitions set forth in this Section 3(g).</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Non-Public Information</w:t>
      </w:r>
      <w:r>
        <w:rPr>
          <w:rFonts w:ascii="Times New Roman" w:cs="Times New Roman" w:eastAsia="Times New Roman" w:hAnsi="Times New Roman"/>
          <w:sz w:val="18"/>
          <w:szCs w:val="18"/>
          <w:color w:val="auto"/>
        </w:rPr>
        <w:t>. Notwithstanding any other provision of this Agreement, during any period in which the Company is in possession of material non-public information, the Company and the Manager agree that (i) no sale of Shares will take place, (ii) the Company shall not request the sale of any Shares and (iii) the Manager shall not be obligated to sell or offer to sell any Shares.</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 w:name="page15"/>
    <w:bookmarkEnd w:id="14"/>
    <w:p>
      <w:pPr>
        <w:jc w:val="both"/>
        <w:ind w:firstLine="656"/>
        <w:spacing w:after="0" w:line="266" w:lineRule="auto"/>
        <w:tabs>
          <w:tab w:leader="none" w:pos="84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the Manager at the Execution Time and on each such time the following representations and warranties are repeated or deemed to be made pursuant to this Agreement, as set forth below, except, in each case, as disclosed in the Registration Statement, the Prospectuses or the Incorporated Documents: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7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material subsidiaries (individually,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the Company are set out in the Company’s most recent Annual Information Form incorporated by reference into the Company’s most recent Annual Report on Form 40-F filed with the Commission. Except as set forth in the Company’s most recent Annual Information Form incorporated by reference into the Company’s most recent Annual Report on Form 40-F filed with the Commission and the Prospectuses, the Company owns, directly or indirectly, all of the capital stock or other equity interests of each Subsidiary free and clear of any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(which for purposes of this Agreement shall mean a lien, charge, security interest, encumbrance, right of first refusal, preemptive right or other restriction), and all of the issued and outstanding shares of capital stock of each Subsidiary are validly issued and are fully paid, non-assessable and free of preemptive and similar rights to subscribe for or purchase securities.</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57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(as applicable), with the requisite power and authority to own and use its properties and assets and to carry on its business as currently conducted. Neither the Company nor any Subsidiary is in violation or default of any of the provisions of its respective certificate or articles of incorporation, bylaws or other organizational or charter documents. Each of the Company and the Subsidiaries is duly qualified to conduct business and is in good standing as a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this Agreement, (ii) a material adverse effect on the results of operations, assets, business, prospects or condition (financial or otherwise) of the Company and the Subsidiaries, taken as a whole, from that set forth in the Registration Statement, the Base Prospectuses, any Prospectus Supplements, the Prospectuses or the Incorporated Documents, or (iii) a material adverse effect on the Company’s ability to perform in any material respect on a timely basis its obligations under this Agreement (any of (i), (ii) or (iii), a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Adverse Effect</w:t>
      </w:r>
      <w:r>
        <w:rPr>
          <w:rFonts w:ascii="Times New Roman" w:cs="Times New Roman" w:eastAsia="Times New Roman" w:hAnsi="Times New Roman"/>
          <w:sz w:val="18"/>
          <w:szCs w:val="18"/>
          <w:color w:val="auto"/>
        </w:rPr>
        <w:t>”) and no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(which for purposes of this Agreement shall mean any action, claim, suit, investigation or proceeding (including, without limitation, an informal investigation or partial proceeding, such as a deposition), whether commenced or, to the Company’s knowledge, threatened) has been instituted in any such jurisdiction revoking, limiting or curtailing or seeking to revoke, limit or curtail such power and authority or qualification.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left="-460" w:firstLine="644"/>
        <w:spacing w:after="0" w:line="254" w:lineRule="auto"/>
        <w:tabs>
          <w:tab w:leader="none" w:pos="4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and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otherwise to carry out its obligations hereunder. The execution and delivery of this Agreement by the Company and the consummation by it of the transactions contemplated hereby have been duly authorized by all necessary action on the part of the Company and no further action is required by the Company, the Board or its shareholders in connection herewith other than in connection with the Required Approvals. This Agreement has been duly executed and delivered by the Company and constitutes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this Agreement by the Company, the issuance and sale of the Shares and the consummation by the Company of the other transactions contemplated herein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receipt of the Required Approvals (as defined below),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would not reasonably be expected to have or result in a Material Adverse Effect.</w:t>
      </w:r>
    </w:p>
    <w:p>
      <w:pPr>
        <w:spacing w:after="0" w:line="200" w:lineRule="exact"/>
        <w:rPr>
          <w:sz w:val="20"/>
          <w:szCs w:val="20"/>
          <w:color w:val="auto"/>
        </w:rPr>
      </w:pPr>
    </w:p>
    <w:p>
      <w:pPr>
        <w:spacing w:after="0" w:line="20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6" w:name="page17"/>
    <w:bookmarkEnd w:id="16"/>
    <w:p>
      <w:pPr>
        <w:jc w:val="both"/>
        <w:ind w:left="-460" w:firstLine="644"/>
        <w:spacing w:after="0" w:line="253" w:lineRule="auto"/>
        <w:tabs>
          <w:tab w:leader="none" w:pos="4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xml:space="preserve"> The Company is not required to obtain any consent, waiver, authorization or order of, give any notice to, or make any filing or registration with, any court or other federal, state, local or other governmental authority or other “Person” (defined as an individual or corporation, partnership, trust, incorporated or unincorporated association, joint venture, limited liability company, joint stock company, government (or an agency or subdivision thereof) or other entity of any kind, including the Trading Market) in connection with the execution, delivery and performance by the Company of this Agreement, other than (i) the filings required by this Agreement, including the filing of the Canadian Prospectus Supplement and the concurrent filing therewith of PricewaterhouseCoopers LLP’s consent required pursuant to Section 7.2(2) 2. of 44-102, with the Reviewing Authority, (ii) the filing with the Commission of the Registration Statement, including the U.S. Prospectus, (iii) the filing of applications to and approval by the Trading Market and the TSX for the listing of the Shares for trading thereon in the time and manner required thereby, and (iv) such filings as are required to be made under applicable state securities laws and the rules and regulations of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provided that any filings required to be made with FINRA shall be the responsibility of the Manager.</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1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The Shares, when issued and delivered, will be duly authorized for issuance and sale pursuant to this Agreement and, when issued and delivered against payment therefor in accordance with this Agreement, will be duly and validly issued, fully paid and non-assessable, free and clear of all Liens imposed by the Company. The issuance by the Company of the Shares shall be registered under the Act, and all of the Shares shall be freely transferable and tradable on the Trading Market by the purchasers thereof without restriction under applicable securities laws (other than any restrictions arising solely from an act or omission or status (e.g., as an Affiliate of the Company) of such a purchaser). The Shares are being issued pursuant to the Registration Statement and the issuance of the Shares has been registered by the Company under the Act. Upon receipt of the Shares against payment therefor in accordance with this Agreement, the purchasers of such Shares will have good and marketable title to such Shares.</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7" w:name="page18"/>
    <w:bookmarkEnd w:id="17"/>
    <w:p>
      <w:pPr>
        <w:jc w:val="both"/>
        <w:ind w:left="-460" w:firstLine="644"/>
        <w:spacing w:after="0" w:line="251" w:lineRule="auto"/>
        <w:tabs>
          <w:tab w:leader="none" w:pos="4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capitalization of the Company is as set forth in the Prospectuses. The Company has not issued any share capital since its most recently filed Incorporated Document, other than pursuant to the exercise of employee share options under the Company’s equity incentive plans, the issuance of Common Shares to employees pursuant to the Company’s employee share purchase plans and pursuant to the conversion or exercise of securities exercisable or exchangeable for or convertible into Common Shares (“</w:t>
      </w:r>
      <w:r>
        <w:rPr>
          <w:rFonts w:ascii="Times New Roman" w:cs="Times New Roman" w:eastAsia="Times New Roman" w:hAnsi="Times New Roman"/>
          <w:sz w:val="18"/>
          <w:szCs w:val="18"/>
          <w:u w:val="single" w:color="auto"/>
          <w:color w:val="auto"/>
        </w:rPr>
        <w:t>Common Share Equivalents</w:t>
      </w:r>
      <w:r>
        <w:rPr>
          <w:rFonts w:ascii="Times New Roman" w:cs="Times New Roman" w:eastAsia="Times New Roman" w:hAnsi="Times New Roman"/>
          <w:sz w:val="18"/>
          <w:szCs w:val="18"/>
          <w:color w:val="auto"/>
        </w:rPr>
        <w:t>”). No Person has any right of first refusal, preemptive right, right of participation, or any similar right to participate in the transactions contemplated by this Agreement. Except (i) as disclosed pursuant to this Agreement, (ii) as disclosed in the Registration Statement and the Prospectuses or pursuant to agreements or instruments filed as exhibits to Incorporated Documents, (iii) pursuant to the Company’s equity incentive plans or reservations, agreements of employee benefit plans referred to in the Prospectuses and (iv) pursuant to the exercise of convertible securities or options outstanding referred to in the Prospectuses,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Common Shares, or contracts, commitments, understandings or arrangements by which the Company or any Subsidiary is or may become bound to issue additional shares of Common Shares or Common Share Equivalents. The issuance and sale of the Shares will not obligate the Company to issue Common Shares or other securities to any Person.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share appreciation rights or “phantom share” plans or agreements or any similar plan or agreement. All of the outstanding shares of share capital of the Company are duly authorized, validly issued, fully paid and nonassessable, have been issued in compliance with all applicable securities laws, and none of such outstanding shares was issued in violation of any preemptive rights or similar rights to subscribe for or purchase securities. No further approval or authorization of any shareholder, the Board or others is required for the issuance and sale of the Shares. There are no shareholders agreements, voting agreements or other similar agreements with respect to the Company’s share capital to which the Company is a party or, to the knowledge of the Company, between or among any of the Company’s shareholders.</w:t>
      </w:r>
    </w:p>
    <w:p>
      <w:pPr>
        <w:spacing w:after="0" w:line="20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Canadian Base Prospectus</w:t>
      </w:r>
      <w:r>
        <w:rPr>
          <w:rFonts w:ascii="Times New Roman" w:cs="Times New Roman" w:eastAsia="Times New Roman" w:hAnsi="Times New Roman"/>
          <w:sz w:val="18"/>
          <w:szCs w:val="18"/>
          <w:color w:val="auto"/>
        </w:rPr>
        <w:t>. At the time the Company filed the Canadian Base Prospectus, the Company was eligible to file a short-form base shelf prospectus with the Reviewing Authority. The Reviewing Authority has issued a Receipt in respect of the Canadian Base Prospectus. No order suspending the distribution of the Common Shares or any other securities of the Company has been issued by any Canadian Qualifying Authority and no proceedings for that purpose have been initiated or are pending or, to the Company’s knowledge, are contemplated or threatened by any Canadian Qualifying Authority, and any request made to the Company on the part of any Canadian Qualifying Authority for additional information has been complied with.</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8" w:name="page19"/>
    <w:bookmarkEnd w:id="1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Canadian Prospectus, when filed, complied and, as amended or supplemented, if applicable, will comply in all material respects with applicable Canadian Securities Laws. The Canadian Prospectus, as amended or supplemented, as of its date, did not and, as of each of the Settlement Dates, if any, will not contain any untrue statement of a material fact (as defined in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or omit to state a material fact (as defined in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necessary in order to make the statements therein, in the light of the circumstances under which they were made, not misleading. The Canadian Prospectus, as amended or supplemented, as of its date, did and, as of each of the Settlement Dates, if any, will contain full, true and plain disclosure of all material facts relating to the Common Shares and to the Company. The representations and warranties set forth in the two immediately preceding sentences do not apply to statements in or omissions from the Canadian Prospectus, or any amendments or supplements thereto, made in reliance upon and in conformity with information relating to the Manager furnished to the Company in writing by the Manager expressly for use therein.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document filed or to be filed with the Canadian Qualifying Authorities and incorporated by reference into the Canadian Prospectus or any amendment or supplement thereto complied, as at the applicable filing date, or will comply when so filed, in all material respects with the requirements of applicable Canadian Securities Laws.</w:t>
      </w:r>
    </w:p>
    <w:p>
      <w:pPr>
        <w:spacing w:after="0" w:line="176" w:lineRule="exact"/>
        <w:rPr>
          <w:sz w:val="20"/>
          <w:szCs w:val="20"/>
          <w:color w:val="auto"/>
        </w:rPr>
      </w:pPr>
    </w:p>
    <w:p>
      <w:pPr>
        <w:jc w:val="both"/>
        <w:ind w:firstLine="644"/>
        <w:spacing w:after="0" w:line="252" w:lineRule="auto"/>
        <w:tabs>
          <w:tab w:leader="none" w:pos="89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U.S. Prospectus</w:t>
      </w:r>
      <w:r>
        <w:rPr>
          <w:rFonts w:ascii="Times New Roman" w:cs="Times New Roman" w:eastAsia="Times New Roman" w:hAnsi="Times New Roman"/>
          <w:sz w:val="18"/>
          <w:szCs w:val="18"/>
          <w:color w:val="auto"/>
        </w:rPr>
        <w:t>. The Company meets the requirements for use of Form F-10 under the Act and has prepared and filed with the Commission the Registration Statement, including the U.S. Base Prospectus, for registration under the Act of the offering and sale of the Shelf Securities, which includes the Shares, in accordance with the requirements of Form F-10. Such Registration Statement is effective and available for the offer and sale of the Shares as of the date hereof. As filed, the U.S. Base Prospectus conformed in all material respects with the applicable requirements of the Act. The Registration Statement, at any Effective Date, the Execution Time, each Representation Date, any Applicable Time and any Settlement Date, conformed or will conform in all material respects with the applicable requirements of the rules and regulations under the Act.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The U.S. Prospectus does not contain and, as amended or supplemented, if applicable, and at any Effective Date, the Execution Time, each Representation Date and any Settlement Date, will not contain any untrue statement of a material fact or omit to state a material fact necessary to make the statements therein, in the light of the circumstances under which they were made, not misleading. The representations and warranties set forth in the two immediately preceding sentences do not apply to statements in or omissions from the Registration Statement or U.S. Prospectus, as applicable, or any amendments or supplements thereto, as applicable, made in reliance upon and in conformity with information relating to the Manager furnished to the Company in writing by the Manager expressly for use therein.</w:t>
      </w:r>
    </w:p>
    <w:p>
      <w:pPr>
        <w:spacing w:after="0" w:line="200" w:lineRule="exact"/>
        <w:rPr>
          <w:sz w:val="20"/>
          <w:szCs w:val="20"/>
          <w:color w:val="auto"/>
        </w:rPr>
      </w:pPr>
    </w:p>
    <w:p>
      <w:pPr>
        <w:spacing w:after="0" w:line="21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9" w:name="page20"/>
    <w:bookmarkEnd w:id="19"/>
    <w:p>
      <w:pPr>
        <w:jc w:val="both"/>
        <w:ind w:left="-460" w:firstLine="644"/>
        <w:spacing w:after="0" w:line="253" w:lineRule="auto"/>
        <w:tabs>
          <w:tab w:leader="none" w:pos="4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Incorporated Documents</w:t>
      </w:r>
      <w:r>
        <w:rPr>
          <w:rFonts w:ascii="Times New Roman" w:cs="Times New Roman" w:eastAsia="Times New Roman" w:hAnsi="Times New Roman"/>
          <w:sz w:val="18"/>
          <w:szCs w:val="18"/>
          <w:color w:val="auto"/>
        </w:rPr>
        <w:t>. The Incorporated Documents, when they were filed with the Reviewing Authority or filed with or furnished to the Commission, as the case may be, conformed in all material respects with requirements under applicable Canadian Securities Laws and the Exchange Act and the rules and regulations promulgated thereunder, each as applicable, and none of the Incorporated Documents, when they were filed with the Commission, contained any untrue statement of a material fact or omitted to state a material fact necessary to make the statements therein, in light of the circumstances under which they were made not misleading; and any further documents so filed and incorporated by reference in the Registration Statement, the Base Prospectuses, the Prospectus Supplements or the Prospectuses, when such documents are filed with the Reviewing Authority or the Commission, as the case may be, will conform in all material respects with requirements under applicable Canadian Securities Laws and the Exchange Act and the rules and regulations promulgated thereunder, each as applicable, and will not contain any untrue statement of a material fact or omit to state a material fact necessary to make the statements therein, in light of the circumstances under which they were made, not misleading.</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Ineligible Issuer</w:t>
      </w:r>
      <w:r>
        <w:rPr>
          <w:rFonts w:ascii="Times New Roman" w:cs="Times New Roman" w:eastAsia="Times New Roman" w:hAnsi="Times New Roman"/>
          <w:sz w:val="18"/>
          <w:szCs w:val="18"/>
          <w:color w:val="auto"/>
        </w:rPr>
        <w:t>. (i) At the earliest time after the filing of the Registration Statement that the Company or another offering participant made a bona fide offer (within the meaning of Rule 164(h)(2)) of the Shares and (ii) as of the Execution Time and on each such time this representation is repeated or deemed to be made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The Company is eligible to use Issuer Free Writing Prospectuses. Any Issuer Free Writing Prospectus used in connection with the issuance and sale of Shares under this Agreement does not include any information the substance of which conflicts with the information contained in the Registration Statement, including any Incorporated Documents, and the Prospectuses and any prospectus supplement deemed to be a part thereof that has not been superseded or modified; and each such Issuer Free Writing Prospectus does not contain any untrue statement of a material fact or omit to state any material fact necessary in order to make the statements therein, in the light of the circumstances under which they were made, not misleading. The foregoing sentence does not apply to statements in or omissions from any Issuer Free Writing Prospectus used in connection with the issuance and sale of Shares under this Agreement based upon and in conformity with written information furnished to the Company by the Manager specifically for use therein. Any Issuer Free Writing Prospectus that the Company is required to file pursuant to Rule 433(d) in connection with the issuance and sale of Shares under this Agreement has been, or will be, filed with the Commission in accordance with the requirements of the Act and the rules thereunder. Each Issuer Free Writing Prospectus that the Company has filed, or is required to file, pursuant to Rule 433(d) in connection with the issuance and sale of Shares under this Agreement or that was prepared by or behalf of or used by the Company complies or will comply in all material respects with the requirements of the Act and the rules thereunder. The Company will not, without the prior consent of the Manager, prepare, use or refer to, any Issuer Free Writing Prospectuses in connection with the issuance and sale of Shares under this Agreement.</w:t>
      </w:r>
    </w:p>
    <w:p>
      <w:pPr>
        <w:spacing w:after="0" w:line="200" w:lineRule="exact"/>
        <w:rPr>
          <w:sz w:val="20"/>
          <w:szCs w:val="20"/>
          <w:color w:val="auto"/>
        </w:rPr>
      </w:pPr>
    </w:p>
    <w:p>
      <w:pPr>
        <w:spacing w:after="0" w:line="2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0" w:name="page21"/>
    <w:bookmarkEnd w:id="20"/>
    <w:p>
      <w:pPr>
        <w:jc w:val="both"/>
        <w:ind w:left="-460" w:firstLine="644"/>
        <w:spacing w:after="0" w:line="258" w:lineRule="auto"/>
        <w:tabs>
          <w:tab w:leader="none" w:pos="49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Related to Registration Statement</w:t>
      </w:r>
      <w:r>
        <w:rPr>
          <w:rFonts w:ascii="Times New Roman" w:cs="Times New Roman" w:eastAsia="Times New Roman" w:hAnsi="Times New Roman"/>
          <w:sz w:val="18"/>
          <w:szCs w:val="18"/>
          <w:color w:val="auto"/>
        </w:rPr>
        <w:t>. The Registration Statement is not the subject of a pending proceeding or examination under Section 8(d) or 8(e) of the Act, and the Company is not the subject of a pending proceeding under Section 8A of the Act in connection with the offering of the Shares. The Company has not received any notice that the Commission has issued or intends to issue a stop-order with respect to the Registration Statement or that the Commission otherwise has suspended or withdrawn the effectiveness of the Registration Statement, either temporarily or permanently, or intends or has threatened in writing to do so.</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Reporting in Canada</w:t>
      </w:r>
      <w:r>
        <w:rPr>
          <w:rFonts w:ascii="Times New Roman" w:cs="Times New Roman" w:eastAsia="Times New Roman" w:hAnsi="Times New Roman"/>
          <w:sz w:val="18"/>
          <w:szCs w:val="18"/>
          <w:color w:val="auto"/>
        </w:rPr>
        <w:t>. The Company has complied in all material respects with requirements to file all reports, schedules, forms, statements and other documents required to be filed by it under the Act and the Exchange Act, including pursuant to Section 13(a) or 15(d) thereof, for the twelve (12) months preceding the date hereof (or such shorter period as the Company was required by law to file such material) (the foregoing materials, including the exhibits thereto and documents incorporated by reference therein, together with the U.S. Prospectus and the U.S.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xml:space="preserve">”) on a timely basis or has obtained a valid extension of such time of filing and has filed any such SEC Reports prior to the expiration of any such extension. The Company is in compliance in all material respects with its obligations under Canadian Securities Laws (including, without limitation, its disclosure obligations pursuant to National Instrument 51-102 – </w:t>
      </w:r>
      <w:r>
        <w:rPr>
          <w:rFonts w:ascii="Times New Roman" w:cs="Times New Roman" w:eastAsia="Times New Roman" w:hAnsi="Times New Roman"/>
          <w:sz w:val="18"/>
          <w:szCs w:val="18"/>
          <w:i w:val="1"/>
          <w:iCs w:val="1"/>
          <w:color w:val="auto"/>
        </w:rPr>
        <w:t>Continuous Disclosure Obligations</w:t>
      </w:r>
      <w:r>
        <w:rPr>
          <w:rFonts w:ascii="Times New Roman" w:cs="Times New Roman" w:eastAsia="Times New Roman" w:hAnsi="Times New Roman"/>
          <w:sz w:val="18"/>
          <w:szCs w:val="18"/>
          <w:color w:val="auto"/>
        </w:rPr>
        <w:t xml:space="preserve"> and National Instrument 58-101 – </w:t>
      </w:r>
      <w:r>
        <w:rPr>
          <w:rFonts w:ascii="Times New Roman" w:cs="Times New Roman" w:eastAsia="Times New Roman" w:hAnsi="Times New Roman"/>
          <w:sz w:val="18"/>
          <w:szCs w:val="18"/>
          <w:i w:val="1"/>
          <w:iCs w:val="1"/>
          <w:color w:val="auto"/>
        </w:rPr>
        <w:t>Disclosure of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Governance Practices</w:t>
      </w:r>
      <w:r>
        <w:rPr>
          <w:rFonts w:ascii="Times New Roman" w:cs="Times New Roman" w:eastAsia="Times New Roman" w:hAnsi="Times New Roman"/>
          <w:sz w:val="18"/>
          <w:szCs w:val="18"/>
          <w:color w:val="auto"/>
        </w:rPr>
        <w:t>, each as adopted by the Canadian Securities Administrators).</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8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consolidated financial statements incorporated by reference in the Registration Statement and the Prospectuses and any amendments thereof or supplements thereto comply or will comply in all material respects with applicable accounting requirements and the rules and regulations of the Commission with respect thereto as in effect at the time of filing or as amended or corrected in a subsequent filing. Such financial statements have been prepared in accordance with International Financial Reporting Standards applied on a consistent basis during the periods involved (“</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IFRS, and fairly present in all material respects the financial position of the Company and its consolidated Subsidiaries as of and for the dates thereof and the results of operations and cash flows for the periods then ended, subject, in the case of unaudited statements, to normal, year-end audit adjustments.</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1" w:name="page22"/>
    <w:bookmarkEnd w:id="21"/>
    <w:p>
      <w:pPr>
        <w:jc w:val="both"/>
        <w:ind w:left="-460" w:firstLine="644"/>
        <w:spacing w:after="0" w:line="261" w:lineRule="auto"/>
        <w:tabs>
          <w:tab w:leader="none" w:pos="4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auditors are PricewaterhouseCoopers LLP. To the knowledge of the Company, such auditors, which the Company expects will express their opinion with respect to the financial statements to be included in the Company’s next Annual Report on Form 40-F, are independent with respect to the Company as required by the Canadian Securities Laws and are independent registered public accountants as required by the Act, the Exchange Act and the rules of the Public Company Accounting Oversight Board.</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Adverse Events</w:t>
      </w:r>
      <w:r>
        <w:rPr>
          <w:rFonts w:ascii="Times New Roman" w:cs="Times New Roman" w:eastAsia="Times New Roman" w:hAnsi="Times New Roman"/>
          <w:sz w:val="18"/>
          <w:szCs w:val="18"/>
          <w:color w:val="auto"/>
        </w:rPr>
        <w:t>. Since the date of the latest audited financial statements included within the SEC Reports, except as specifically disclosed in the Prospectuses or any Incorporated Documents, (i) there has been no event, occurrence or development that has had or that could reasonably be expected to result in a Material Adverse Effect, (ii) the Company has not incurred any liabilities (contingent or otherwise) other than fees, expenses and other liabilities (A) incurred in connection with the transactions contemplated hereby, (B) incurred in the ordinary course of business which, in the aggregate, have not had and could not reasonably be expected to result in a Material Adverse Effect and (C) not required to be reflected in the Company’s financial statements pursuant to IFRS or disclosed in filings made with the Reviewing Authority or the Commission, (iii) the Company has not materially altered its method of accounting, (iv) the Company has not declared or made any dividend or distribution of cash or other property to its shareholders or purchased, redeemed or made any agreements to purchase or redeem any shares of its share capital and (v) the Company has not issued any equity securities to any officer, director or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(defined as any Person that, directly or indirectly through one or more intermediaries, controls or is controlled by or is under common control with a Person, as such terms are used in and construed under Rule 144 under the Act), except pursuant to existing Company equity incentive plans.</w:t>
      </w:r>
    </w:p>
    <w:p>
      <w:pPr>
        <w:spacing w:after="0" w:line="191"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5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that would be reasonably likely to have a Material Adverse Effect.</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2" w:name="page23"/>
    <w:bookmarkEnd w:id="22"/>
    <w:p>
      <w:pPr>
        <w:jc w:val="both"/>
        <w:ind w:left="-460" w:firstLine="644"/>
        <w:spacing w:after="0" w:line="253" w:lineRule="auto"/>
        <w:tabs>
          <w:tab w:leader="none" w:pos="41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Except as disclosed in the Prospectuses,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except, in each case, as would not, individually or in the aggregate, reasonably be expected to have a Material Adverse Effect. The Company and its Subsidiaries are in compliance with all applicable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Existing Defaults</w:t>
      </w:r>
      <w:r>
        <w:rPr>
          <w:rFonts w:ascii="Times New Roman" w:cs="Times New Roman" w:eastAsia="Times New Roman" w:hAnsi="Times New Roman"/>
          <w:sz w:val="18"/>
          <w:szCs w:val="18"/>
          <w:color w:val="auto"/>
        </w:rPr>
        <w:t>. Except as disclosed in the Prospectuses,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governmental body, or (iii) is or has been in violation of any statute, rule, ordinance or regulation of any governmental authority, including without limitation all Canadian, provincial, U.S. federal, state and local laws and foreign laws relating to taxes, environmental protection, occupational health and safety, product quality and safety and employment and labor matters, except in each case as would not have or reasonably be expected to result in a Material Adverse Effect.</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3" w:name="page24"/>
    <w:bookmarkEnd w:id="23"/>
    <w:p>
      <w:pPr>
        <w:jc w:val="both"/>
        <w:ind w:left="-460" w:firstLine="644"/>
        <w:spacing w:after="0" w:line="253" w:lineRule="auto"/>
        <w:tabs>
          <w:tab w:leader="none" w:pos="4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8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Except as disclosed in the Prospectuses, the Company and the Subsidiaries possess all certificates, authorizations and permits issued by the appropriate Canadian, provincial, U.S. federal, state, local or foreign regulatory authorities necessary to conduct their respective businesses as described in the Registration Statement and the Prospectuses, except where the failure to possess such permits would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 except where any such revocation or modification would not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that is material to the business of the Company and the Subsidiaries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(ii) Liens for the payment of Canadian, provincial, federal, state or other taxes, the payment of which is neither delinquent nor subject to penalties, and (iii) Liens disclosed in the Prospectuses or the Incorporated Documents. Any real property and facilities held under lease by the Company and the Subsidiaries are held by them under valid, subsisting and enforceable leases with which the Company and the Subsidiaries are in compliance, except where such non-compliance would not reasonably be expected to have a Material Adverse Effect.</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4" w:name="page25"/>
    <w:bookmarkEnd w:id="24"/>
    <w:p>
      <w:pPr>
        <w:jc w:val="both"/>
        <w:ind w:left="-460" w:firstLine="644"/>
        <w:spacing w:after="0" w:line="253" w:lineRule="auto"/>
        <w:tabs>
          <w:tab w:leader="none" w:pos="45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reasonably be expected to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reasonably be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reasonably be expected to have a Material Adverse Effect. To the knowledge of the Company, all such Intellectual Property Rights are enforceable and there is no existing infringement by another Person of any of the Intellectual Property Rights, except, in each case, as would not reasonably be expected to have a Material Adverse Effect.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and has obtained so called “Side A” directors and officers insurance coverage. Neither the Company nor any Subsidiary has been advised that it will not be able to renew its existing insurance coverage as and when such coverage expires or to obtain similar coverage from similar insurers as may be necessary to continue its business.</w:t>
      </w:r>
    </w:p>
    <w:p>
      <w:pPr>
        <w:spacing w:after="0" w:line="183" w:lineRule="exact"/>
        <w:rPr>
          <w:sz w:val="20"/>
          <w:szCs w:val="20"/>
          <w:color w:val="auto"/>
        </w:rPr>
      </w:pPr>
    </w:p>
    <w:p>
      <w:pPr>
        <w:jc w:val="both"/>
        <w:ind w:left="-460" w:firstLine="644"/>
        <w:spacing w:after="0" w:line="254" w:lineRule="auto"/>
        <w:tabs>
          <w:tab w:leader="none" w:pos="5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Except as set forth in the Registration Statement and the Prospectuses,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shareholder, member or partner, in each case in excess of CA$200,000 other than for (i) payment of salary or consulting fees for services rendered, (ii) reimbursement for expenses incurred on behalf of the Company and (iii) other employee benefits, including award agreements under any equity incentive plan of the Company.</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5" w:name="page26"/>
    <w:bookmarkEnd w:id="25"/>
    <w:p>
      <w:pPr>
        <w:ind w:left="-460" w:right="20" w:firstLine="644"/>
        <w:spacing w:after="0" w:line="282" w:lineRule="auto"/>
        <w:tabs>
          <w:tab w:leader="none" w:pos="5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 Oxley Compliance</w:t>
      </w:r>
      <w:r>
        <w:rPr>
          <w:rFonts w:ascii="Times New Roman" w:cs="Times New Roman" w:eastAsia="Times New Roman" w:hAnsi="Times New Roman"/>
          <w:sz w:val="18"/>
          <w:szCs w:val="18"/>
          <w:color w:val="auto"/>
        </w:rPr>
        <w:t>. Except as disclosed in the Registration Statement and the Prospectuses, the Company is in material compliance with all provisions of the United States Sarbanes-Oxley Act of 2002 that are applicable to it as of the Effective Date.</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51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Other than payments to be made to the Manager, no brokerage or finder’s fees or commissions are or will be payable by the Company to any broker, financial advisor or consultant, finder, placement agent, investment banker, bank or other Person with respect to the transactions contemplated by this Agreement. The Manager shall have no obligation with respect to any fees or with respect to any claims made by or on behalf of other Persons for fees of a type contemplated in this Section that may be due in connection with the transactions contemplated by this Agreement.</w:t>
      </w:r>
    </w:p>
    <w:p>
      <w:pPr>
        <w:spacing w:after="0" w:line="183"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57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Sales Agency Agreement</w:t>
      </w:r>
      <w:r>
        <w:rPr>
          <w:rFonts w:ascii="Times New Roman" w:cs="Times New Roman" w:eastAsia="Times New Roman" w:hAnsi="Times New Roman"/>
          <w:sz w:val="18"/>
          <w:szCs w:val="18"/>
          <w:color w:val="auto"/>
        </w:rPr>
        <w:t>. The Company has not entered into any other sales agency agreements or other similar arrangements with any agent or any other representative in respect of “at the market” offerings of the Shares.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53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other than, in the case of clauses (ii) and (iii), compensation paid to the Manager in connection with the placement of the Shares.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6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issuance and sale of the Shares as contemplated in this Agreement does not contravene the rules and regulations of the Trading Market. The Common Shares are registered pursuant to Section 12(b) of the Exchange Act, and the Company has taken no action designed to, or which to its knowledge is likely to have the effect of, terminating the registration of the Common Shares under the Exchange Act nor has the Company received any notification that the Commission is contemplating terminating such registration. Except as disclosed in the Registration Statement and the Prospectuses, the Company has not, in the 12 months preceding the date hereof, received notice from any Trading Market on which the Common Shares is or has been listed or quoted to the effect that the Company is not in compliance with the listing or maintenance requirements of such Trading Market.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5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Shares as described in the Registration Statement and the Prospectuses, will not be or be an Affiliate of, an “investment company” within the meaning of the United States Investment Company Act of 1940, as amended. The Company currently intends to conduct its business in a manner so that it will not become subject to the United States Investment Company Act of 1940, as amended.</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6" w:name="page27"/>
    <w:bookmarkEnd w:id="26"/>
    <w:p>
      <w:pPr>
        <w:jc w:val="both"/>
        <w:ind w:left="-460" w:firstLine="644"/>
        <w:spacing w:after="0" w:line="277" w:lineRule="auto"/>
        <w:tabs>
          <w:tab w:leader="none" w:pos="5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Status</w:t>
      </w:r>
      <w:r>
        <w:rPr>
          <w:rFonts w:ascii="Times New Roman" w:cs="Times New Roman" w:eastAsia="Times New Roman" w:hAnsi="Times New Roman"/>
          <w:sz w:val="17"/>
          <w:szCs w:val="17"/>
          <w:color w:val="auto"/>
        </w:rPr>
        <w:t>. Except for matters that would not, individually or in the aggregate, reasonably be expected to result in a Material Adverse Effect, the Company and its Subsidiaries each (i) has made or filed all applicable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w:t>
      </w:r>
    </w:p>
    <w:p>
      <w:pPr>
        <w:spacing w:after="0" w:line="167" w:lineRule="exact"/>
        <w:rPr>
          <w:rFonts w:ascii="Times New Roman" w:cs="Times New Roman" w:eastAsia="Times New Roman" w:hAnsi="Times New Roman"/>
          <w:sz w:val="17"/>
          <w:szCs w:val="17"/>
          <w:color w:val="auto"/>
        </w:rPr>
      </w:pPr>
    </w:p>
    <w:p>
      <w:pPr>
        <w:jc w:val="both"/>
        <w:ind w:left="-460" w:firstLine="644"/>
        <w:spacing w:after="0" w:line="266" w:lineRule="auto"/>
        <w:tabs>
          <w:tab w:leader="none" w:pos="45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to the knowledge of the Company, any agent or other person acting on behalf of the Company, has taken any action, directly or indirectly, that would result in a material violation by such persons of the United States Foreign Corrupt Practices Act of 1977, as amended.</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6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Member Shareholders</w:t>
      </w:r>
      <w:r>
        <w:rPr>
          <w:rFonts w:ascii="Times New Roman" w:cs="Times New Roman" w:eastAsia="Times New Roman" w:hAnsi="Times New Roman"/>
          <w:sz w:val="18"/>
          <w:szCs w:val="18"/>
          <w:color w:val="auto"/>
        </w:rPr>
        <w:t>. There are no affiliations with any FINRA member firm among, to the knowledge of the Company after due inquiry, the Company’s executive officers or directors or, to the knowledge of the Company, any ten percent (10%) or greater stockholder of the Company, except as set forth in the Registration Statement and the Prospectuses.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5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Documents.</w:t>
      </w:r>
      <w:r>
        <w:rPr>
          <w:rFonts w:ascii="Times New Roman" w:cs="Times New Roman" w:eastAsia="Times New Roman" w:hAnsi="Times New Roman"/>
          <w:sz w:val="18"/>
          <w:szCs w:val="18"/>
          <w:color w:val="auto"/>
        </w:rPr>
        <w:t xml:space="preserve"> The Company has delivered to the Manager one complete copy of each of the Canadian Base Prospectus and the Registration Statement and a copy of each consent and certificate of experts filed as a part thereof, and conformed copies of the Canadian Base Prospectus, the Registration Statement (without exhibits) and the Prospectuses, as amended, in such quantities and at such places as the Manager has reasonably requested.</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7" w:name="page28"/>
    <w:bookmarkEnd w:id="27"/>
    <w:p>
      <w:pPr>
        <w:ind w:left="184" w:hanging="184"/>
        <w:spacing w:after="0"/>
        <w:tabs>
          <w:tab w:leader="none" w:pos="1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The Company agrees with the Manager that: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1" w:lineRule="auto"/>
        <w:tabs>
          <w:tab w:leader="none" w:pos="89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Review Amendments and Supplements to Registration Statement and Prospectuses</w:t>
      </w:r>
      <w:r>
        <w:rPr>
          <w:rFonts w:ascii="Times New Roman" w:cs="Times New Roman" w:eastAsia="Times New Roman" w:hAnsi="Times New Roman"/>
          <w:sz w:val="18"/>
          <w:szCs w:val="18"/>
          <w:color w:val="auto"/>
        </w:rPr>
        <w:t>. During any period when the delivery of a prospectus relating to the Shares is required (including in circumstances where such requirement may be satisfied pursuant to Rule 172, 173 or any similar rule) to be delivered under the Act in connection with the offering or the sale of Shares, the Company will not file any amendment to the Registration Statement or supplement (including any Prospectus Supplement) to the Base Prospectuses unless the Company has furnished to the Manager a copy for its review prior to filing and will not file any such proposed amendment or supplement to which the Manager reasonably objects unless and to the extent required by law (provided, however, that the Company will have no obligation to provide the Manager any advance copy of such filing or to provide the Manager an opportunity to object to such filing if the filing does not name the Manager and does not relate to the transaction herein provided). The Company has filed the U.S. Prospectus, as amended or supplemented at the Execution Time and in a form approved by the Manager, with the Commission pursuant to the instructions to Form F-10 by the Execution Time and will cause any supplement to the U.S. Prospectus to be filed with the Commission in a form approved by the Manager pursuant to the instructions to Form F-10 within the time period prescribed thereby and will provide evidence reasonably satisfactory to the Manager of such timely filing. The Company will promptly advise the Manager (i) when the Canadian Prospectus, and any supplement thereto, shall have been filed (if required) with the Reviewing Authority and in any of the other Canadian Qualifying Jurisdictions, as applicable, pursuant to the Shelf Procedures and the Commission pursuant to the instructions to Form F-10, (ii) when, during any period when the delivery of a prospectus (whether physically or through compliance with Rule 172, 173 or any similar rule) is required under the Act in connection with the offering or sale of the Shares, any amendment to the Registration Statement shall have been filed or become effective (other than any annual report of the Company filed pursuant to Section 13(a) or 15(d) of the Exchange Act), (iii) of any request by the Commission or its staff for any amendment of the Registration Statement, or for any supplement to the U.S.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Shares for sale in any jurisdiction or the institution or threatening of any proceeding for such purpose. The Company will use its commercially reasonable efforts to prevent the issuance of any such stop order or the occurrence of any such suspension or objection to the use of the Registration Statement and, upon such issuance, occurrence or notice of objection, to obtain as soon as reasonably possible the withdrawal of such stop order or relief from such occurrence or objection, including, if necessary, by filing an amendment to the Registration Statement or a new registration statement and using its commercially reasonable efforts to have such amendment or new registration statement declared effective as soon as practicable.</w:t>
      </w:r>
    </w:p>
    <w:p>
      <w:pPr>
        <w:spacing w:after="0" w:line="204"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90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Events</w:t>
      </w:r>
      <w:r>
        <w:rPr>
          <w:rFonts w:ascii="Times New Roman" w:cs="Times New Roman" w:eastAsia="Times New Roman" w:hAnsi="Times New Roman"/>
          <w:sz w:val="18"/>
          <w:szCs w:val="18"/>
          <w:color w:val="auto"/>
        </w:rPr>
        <w:t>. If, at any time on or after an Applicable Time but prior to the related Settlement Date, any event occurs as a result of which the Registration Statement or U.S. Prospectus would include any untrue statement of a material fact or omit to state any material fact necessary to make the statements therein in the light of the circumstances under which they were made or the circumstances then prevailing not misleading, the Company will (i) notify promptly the Manager so that any use of the Registration Statement or U.S. Prospectus may cease until such are amended or supplemented; (ii) if, in the Company’s determination and at the Company’s sole discretion, it is necessary to file an amendment or supplement to the Registration Statement or the Prospectuses to comply with the Act or applicable Canadian Securities Laws, will amend or supplement the Registration Statement or Prospectuses to correct such statement or omission; and (iii) supply any amendment or supplement to the Manager in such quantities as the Manager may reasonably request.</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8" w:name="page29"/>
    <w:bookmarkEnd w:id="28"/>
    <w:p>
      <w:pPr>
        <w:jc w:val="both"/>
        <w:ind w:left="4" w:firstLine="644"/>
        <w:spacing w:after="0" w:line="252" w:lineRule="auto"/>
        <w:tabs>
          <w:tab w:leader="none" w:pos="89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Subsequent Filings</w:t>
      </w:r>
      <w:r>
        <w:rPr>
          <w:rFonts w:ascii="Times New Roman" w:cs="Times New Roman" w:eastAsia="Times New Roman" w:hAnsi="Times New Roman"/>
          <w:sz w:val="18"/>
          <w:szCs w:val="18"/>
          <w:color w:val="auto"/>
        </w:rPr>
        <w:t>. During any period when the delivery of a prospectus relating to the Shares is required (including in circumstances where such requirement may be satisfied pursuant to Rule 172, 173 or any similar rule) to be delivered under the Act, any event occurs as a result of which the Prospectuses as then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file a new registration statement or supplement the Prospectuses to comply with the Act or the Exchange Act or the respective rules thereunder, including in connection with use or delivery of the Prospectuses, the Company promptly will (i) notify the Manager of any such event, (ii) subject to Section 5(a), prepare and file with the Commission an amendment or supplement or new registration statement which will correct such statement or omission or effect such compliance, (iii) use its commercially reasonable efforts to have any amendment to the Registration Statement or new registration statement declared effective as soon as practicable in order to avoid any disruption in use of the Prospectus and</w:t>
      </w:r>
    </w:p>
    <w:p>
      <w:pPr>
        <w:spacing w:after="0" w:line="5"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any supplemented Prospectuses to the Manager in such quantities as the Manager may reasonably request.</w:t>
      </w:r>
    </w:p>
    <w:p>
      <w:pPr>
        <w:spacing w:after="0" w:line="206"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90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Shares</w:t>
      </w:r>
      <w:r>
        <w:rPr>
          <w:rFonts w:ascii="Times New Roman" w:cs="Times New Roman" w:eastAsia="Times New Roman" w:hAnsi="Times New Roman"/>
          <w:sz w:val="18"/>
          <w:szCs w:val="18"/>
          <w:color w:val="auto"/>
        </w:rPr>
        <w:t xml:space="preserve">. During any period in which the U.S. Prospectus relating to the Shares is required to be delivered by the Manager under the Act with respect to a pending sale of the Shares (including in circumstances where such requirement may be satisfied pursuant to Rule 172 under the Act), the Company will use its commercially reasonable efforts to cause the Shares to be approved for listing on the TSX and the Trading Market and to qualify the Shares for sale under the securities laws of such jurisdictions as the Manager reasonably designates and to continue such qualifications in effect so long as required for the distribution of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in connection therewith to qualify as a foreign corporation or a dealer in securities, to otherwise qualify to do business in any jurisdiction where it is not now so qualified, to subject itself to taxation in any jurisdiction where it is not so subject or to take any action that would subject it to service of process in suits (other than those arising out of the offering or sale of the Shares) or to file a general consent to service of process in any jurisdiction where it is not now subject.</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89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Statements</w:t>
      </w:r>
      <w:r>
        <w:rPr>
          <w:rFonts w:ascii="Times New Roman" w:cs="Times New Roman" w:eastAsia="Times New Roman" w:hAnsi="Times New Roman"/>
          <w:sz w:val="18"/>
          <w:szCs w:val="18"/>
          <w:color w:val="auto"/>
        </w:rPr>
        <w:t>. As soon as practicable, the Company will make generally available to its security holders and to the Manager an earnings statement or statements of the Company and its Subsidiaries which will satisfy the provisions of Section 11(a) of the Act and Rule 158. For the avoidance of doubt, the Company’s compliance with the reporting requirements of the Exchange Act shall be deemed to satisfy the requirements of this Section 4(e).</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9" w:name="page30"/>
    <w:bookmarkEnd w:id="29"/>
    <w:p>
      <w:pPr>
        <w:jc w:val="both"/>
        <w:ind w:left="-460" w:firstLine="644"/>
        <w:spacing w:after="0" w:line="254" w:lineRule="auto"/>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Canadian Base Prospectus, Registration Statement, Form F-X and Prospectus Supplements</w:t>
      </w:r>
      <w:r>
        <w:rPr>
          <w:rFonts w:ascii="Times New Roman" w:cs="Times New Roman" w:eastAsia="Times New Roman" w:hAnsi="Times New Roman"/>
          <w:sz w:val="18"/>
          <w:szCs w:val="18"/>
          <w:color w:val="auto"/>
        </w:rPr>
        <w:t>. Upon the request of the Manager, the Company will furnish to the Manager and counsel for the Manager, without charge, signed copies of the Canadian Base Prospectus, the Registration Statement, the Form F-X, the Prospectus Supplements (including any exhibits and amendments) and, so long as delivery of a prospectus by the Manager or dealer may be required by the Act (including in circumstances where such requirement may be satisfied pursuant to Rule 172, 173 or any similar rule), as many copies of the U.S. Prospectus and each Issuer Free Writing Prospectus and any supplement thereto as the Manager may reasonably request; provided, however, that the Company shall not be required to furnish any document (other than the Prospectuses) to the Manager to the extent such document is available on SEDAR or EDGAR. The Company will pay the expenses of printing or other production of all documents relating to the offering as set forth in Section 6 herein.</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The Company agrees that, unless the Company has or shall have obtained the prior written consent of the Manager, and the Manager agrees with the Company that, unless the Manager has or shall have obtained, as the case may be, the prior written consent of the Company, neither the Company nor the Manager, as the case may be, has made nor will it make any offer relating to the Shares that would constitute an Issuer Free Writing Prospectus or that would otherwise constitute a “free writing prospectus” (as defined in Rule 405) required to be filed by the Company or the Manager, as applicable, with the Commission or retained by the Company or the Manager, as applicable, under Rule 433. Any such free writing prospectus consented to by the Manager or the Company is hereinafter referred to as a “</w:t>
      </w:r>
      <w:r>
        <w:rPr>
          <w:rFonts w:ascii="Times New Roman" w:cs="Times New Roman" w:eastAsia="Times New Roman" w:hAnsi="Times New Roman"/>
          <w:sz w:val="18"/>
          <w:szCs w:val="18"/>
          <w:u w:val="single" w:color="auto"/>
          <w:color w:val="auto"/>
        </w:rPr>
        <w:t>Permitted Free 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Company and the Manager agree that it has complied and will comply, as the case may be, with the requirements of Rules 164 and 433 applicable to any Permitted Free Writing Prospectus, including in respect of timely filing with the Commission, legending and record keeping.</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5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Equity Issuances</w:t>
      </w:r>
      <w:r>
        <w:rPr>
          <w:rFonts w:ascii="Times New Roman" w:cs="Times New Roman" w:eastAsia="Times New Roman" w:hAnsi="Times New Roman"/>
          <w:sz w:val="18"/>
          <w:szCs w:val="18"/>
          <w:color w:val="auto"/>
        </w:rPr>
        <w:t xml:space="preserve">. Neither the Company nor any Subsidiary will offer, sell, issue, contract to sell, contract to issue or otherwise dispose of, directly or indirectly, any other Common Shares or any Common Share Equivalents (other than the Shares) during the term of this Agreement without giving the Manager at least three (3) Business Days’ prior written notice specifying the nature of the proposed transaction and the date of such proposed transaction, and the Manager shall thereupon suspend acting under this Agreement for such period of time requested by the Company or as deemed appropriate by the Manager in light of the proposed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may, without giving such notice, issue and sell Common Shares pursuant to (i) any employee equity incentive plan, share ownership plan or dividend reinvestment plan of the Company in effect from time to time, (ii) an acquisition, merger or sale or purchase of assets, (iii) the conversion or exercise of Common Share Equivalents outstanding from time to time and (iv) any obligations in respect of existing agreements, arrangements or instruments.</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0" w:name="page31"/>
    <w:bookmarkEnd w:id="30"/>
    <w:p>
      <w:pPr>
        <w:jc w:val="both"/>
        <w:ind w:left="-460" w:firstLine="644"/>
        <w:spacing w:after="0" w:line="261" w:lineRule="auto"/>
        <w:tabs>
          <w:tab w:leader="none" w:pos="4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Manipulation</w:t>
      </w:r>
      <w:r>
        <w:rPr>
          <w:rFonts w:ascii="Times New Roman" w:cs="Times New Roman" w:eastAsia="Times New Roman" w:hAnsi="Times New Roman"/>
          <w:sz w:val="18"/>
          <w:szCs w:val="18"/>
          <w:color w:val="auto"/>
        </w:rPr>
        <w:t>. Until the termination of this Agreement, the Company will not take, directly or indirectly, any action designed to or that would constitute or that would reasonably be expected to cause or result in, under the Exchange Act or otherwise, stabilization or manipulation in violation of the Act, Exchange Act of the price of any security of the Company to facilitate the sale or resale of the Shares or otherwise violate any provision of Regulation M under the Exchange Act in connection therewith.</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Incorrect Certificate</w:t>
      </w:r>
      <w:r>
        <w:rPr>
          <w:rFonts w:ascii="Times New Roman" w:cs="Times New Roman" w:eastAsia="Times New Roman" w:hAnsi="Times New Roman"/>
          <w:sz w:val="18"/>
          <w:szCs w:val="18"/>
          <w:color w:val="auto"/>
        </w:rPr>
        <w:t>. The Company will, at any time during the term of this Agreement, as supplemented from time to time, advise the Manager promptly after it shall have received notice or obtained knowledge thereof, of any information or fact that would result in any material statement made in any opinion, certificate, letter or other document provided to the Manager pursuant to Section 7 herein to be materially inaccurate or untrue as of the date such statement was made.</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5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Certification of Accuracy of Disclosure</w:t>
      </w:r>
      <w:r>
        <w:rPr>
          <w:rFonts w:ascii="Times New Roman" w:cs="Times New Roman" w:eastAsia="Times New Roman" w:hAnsi="Times New Roman"/>
          <w:sz w:val="18"/>
          <w:szCs w:val="18"/>
          <w:color w:val="auto"/>
        </w:rPr>
        <w:t>. Upon commencement of the offering of the Shares under this Agreement (and upon the recommencement of the offering of the Shares under this Agreement following the termination or a suspension of sales hereunder lasting more than 30 Trading Days), and each time that (i) the Registration Statement or Prospectuses shall be amended or supplemented, other than by means of Incorporated Documents, (ii) the Company files its Annual Report on Form 40-F or Form 20-F under the Exchange Act (including any Form 40-F/A or Form 20-F/A that includes amended audited financial information), (iii) the Company files or furnishes its unaudited financial statements and management’s discussion and analysis on Form 6-K under the Exchange Act, or (iv) the Company files a Report on Form 6-K containing amended financial information (other than information that is furnished and not filed), if the Manager reasonably determines that the information in such Form 6- K is material and notifies the Company thereof (such commencement or recommencement date and each such date referred to in (i), (ii), (iii) and (iv) above, a “</w:t>
      </w:r>
      <w:r>
        <w:rPr>
          <w:rFonts w:ascii="Times New Roman" w:cs="Times New Roman" w:eastAsia="Times New Roman" w:hAnsi="Times New Roman"/>
          <w:sz w:val="18"/>
          <w:szCs w:val="18"/>
          <w:u w:val="single" w:color="auto"/>
          <w:color w:val="auto"/>
        </w:rPr>
        <w:t>Representation Date</w:t>
      </w:r>
      <w:r>
        <w:rPr>
          <w:rFonts w:ascii="Times New Roman" w:cs="Times New Roman" w:eastAsia="Times New Roman" w:hAnsi="Times New Roman"/>
          <w:sz w:val="18"/>
          <w:szCs w:val="18"/>
          <w:color w:val="auto"/>
        </w:rPr>
        <w:t>”), unless waived by the Manager, the Company shall furnish or cause to be furnished to the Manager promptly a certificate dated and delivered on the Representation Date, in form reasonably satisfactory to the Manager to the effect that the statements contained in the certificate referred to in Section 7(c) of this Agreement which were last furnished to the Manager are true and correct at the Representation Date, as though made at and as of such date (except that such statements shall be deemed to relate to the Registration Statement and the Prospectuses as amended and supplemented to such date) or, in lieu of such certificate, a certificate of the same tenor as the certificate referred to in said Section 7(c), modified as necessary to relate to the Registration Statement and the Prospectuses as amended and supplemented to the date of delivery of such certificate. The requirement to furnish or cause to be furnished a certificate under this Section 5(k) shall at the request of the Company be waived for any Representation Date occurring on a date on which no instruction to the Manager to sell Shares pursuant to this Agreement has been delivered by the Company or is pending. Notwithstanding the foregoing, if the Company subsequently decides to sell Shares following any Representation Date when the Company relied on such waiver and did not provide the Manager a certificate pursuant to this Section 5(k), then, before the Company is entitled to deliver a Sales Notice to the Manager to Sell shares pursuant to this Agreement, the Company shall provide the Manager such a certificate.</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1" w:name="page32"/>
    <w:bookmarkEnd w:id="31"/>
    <w:p>
      <w:pPr>
        <w:jc w:val="both"/>
        <w:ind w:left="-460" w:firstLine="644"/>
        <w:spacing w:after="0" w:line="267" w:lineRule="auto"/>
        <w:tabs>
          <w:tab w:leader="none" w:pos="4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Bring Down Opinions; Negative Assurance</w:t>
      </w:r>
      <w:r>
        <w:rPr>
          <w:rFonts w:ascii="Times New Roman" w:cs="Times New Roman" w:eastAsia="Times New Roman" w:hAnsi="Times New Roman"/>
          <w:sz w:val="17"/>
          <w:szCs w:val="17"/>
          <w:color w:val="auto"/>
        </w:rPr>
        <w:t>. Within five (5) Trading Days of each Representation Date, unless otherwise waived by the Manager, the Company shall furnish or cause to be furnished forthwith to the Manager and to counsel to the Manager (i) the written opinion and a negative assurance letter of Skadden, Arps, Slate, Meagher &amp; Flom LLP, U.S. counsel for the Company (“</w:t>
      </w:r>
      <w:r>
        <w:rPr>
          <w:rFonts w:ascii="Times New Roman" w:cs="Times New Roman" w:eastAsia="Times New Roman" w:hAnsi="Times New Roman"/>
          <w:sz w:val="17"/>
          <w:szCs w:val="17"/>
          <w:u w:val="single" w:color="auto"/>
          <w:color w:val="auto"/>
        </w:rPr>
        <w:t>U.S. Company Counsel</w:t>
      </w:r>
      <w:r>
        <w:rPr>
          <w:rFonts w:ascii="Times New Roman" w:cs="Times New Roman" w:eastAsia="Times New Roman" w:hAnsi="Times New Roman"/>
          <w:sz w:val="17"/>
          <w:szCs w:val="17"/>
          <w:color w:val="auto"/>
        </w:rPr>
        <w:t>”) and (ii) the written opinion of Peterson McVicar LLP, Canadian counsel for the Company (“</w:t>
      </w:r>
      <w:r>
        <w:rPr>
          <w:rFonts w:ascii="Times New Roman" w:cs="Times New Roman" w:eastAsia="Times New Roman" w:hAnsi="Times New Roman"/>
          <w:sz w:val="17"/>
          <w:szCs w:val="17"/>
          <w:u w:val="single" w:color="auto"/>
          <w:color w:val="auto"/>
        </w:rPr>
        <w:t>Canadian Company Counsel</w:t>
      </w:r>
      <w:r>
        <w:rPr>
          <w:rFonts w:ascii="Times New Roman" w:cs="Times New Roman" w:eastAsia="Times New Roman" w:hAnsi="Times New Roman"/>
          <w:sz w:val="17"/>
          <w:szCs w:val="17"/>
          <w:color w:val="auto"/>
        </w:rPr>
        <w:t>” and, collectively with U.S. Company Counsel, “</w:t>
      </w:r>
      <w:r>
        <w:rPr>
          <w:rFonts w:ascii="Times New Roman" w:cs="Times New Roman" w:eastAsia="Times New Roman" w:hAnsi="Times New Roman"/>
          <w:sz w:val="17"/>
          <w:szCs w:val="17"/>
          <w:u w:val="single" w:color="auto"/>
          <w:color w:val="auto"/>
        </w:rPr>
        <w:t>Company Counsel</w:t>
      </w:r>
      <w:r>
        <w:rPr>
          <w:rFonts w:ascii="Times New Roman" w:cs="Times New Roman" w:eastAsia="Times New Roman" w:hAnsi="Times New Roman"/>
          <w:sz w:val="17"/>
          <w:szCs w:val="17"/>
          <w:color w:val="auto"/>
        </w:rPr>
        <w:t>”), in each case addressed to the Manager and dated and delivered the date that the opinions are required to be delivered, in form and substance reasonably satisfactory to the Manager, including a negative assurance representation. In lieu of delivering such an opinion or such opinions for Representation Dates subsequent to the commencement of the offering of the Shares under this Agreement, Company Counsel may furnish the Manager with a letter to the effect that the Manager may rely on a prior opinion delivered under Section 7(b) or this Section 5(l) to the same extent as if it were dated the date of such letter (except that statements in such prior opinion shall be deemed to relate to the Registration Statement and the Prospectuses as amended or supplemented as of such subsequent Representation Date). The requirement to furnish or cause to be furnished opinions (but not with respect to a negative assurance representation of U.S. Company Counsel) under this Section 5(l) shall be waived for any Representation Date other than a Representation Date on which a material amendment to the Registration Statement or Prospectus is made or the Company files its Annual Report on Form 40-F or Form 20-F or a material amendment thereto under the Exchange Act, unless the Manager reasonably requests such deliverable required by this Section 5(l) in connection with a Representation Date, upon which request such deliverable shall be deliverable hereunder. The requirement to deliver or cause to be delivered one or more opinions under this Section 5(l) shall at the request of the Company be waived for any Representation Date occurring on a date on which no instruction to the Manager to sell Shares pursuant to this Agreement has been delivered by the Company or is pending. Notwithstanding the foregoing, if the Company subsequently decides to sell Shares following any Representation Date when the Company relied on such waiver and did not provide or cause to be provided to the Manager the opinions contemplated in this Section 5(l), then, before the Company is entitled to deliver a Sales Notice to the Manager to Sell shares pursuant to this Agreement, the Company shall provide or cause to be provided the Manager such opinion(s).</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2" w:name="page33"/>
    <w:bookmarkEnd w:id="32"/>
    <w:p>
      <w:pPr>
        <w:jc w:val="both"/>
        <w:ind w:left="-460" w:firstLine="644"/>
        <w:spacing w:after="0" w:line="252" w:lineRule="auto"/>
        <w:tabs>
          <w:tab w:leader="none" w:pos="50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Auditor Bring Down “Comfort” Letter</w:t>
      </w:r>
      <w:r>
        <w:rPr>
          <w:rFonts w:ascii="Times New Roman" w:cs="Times New Roman" w:eastAsia="Times New Roman" w:hAnsi="Times New Roman"/>
          <w:sz w:val="18"/>
          <w:szCs w:val="18"/>
          <w:color w:val="auto"/>
        </w:rPr>
        <w:t>. Within five (5) Trading Days of each Representation Date, unless waived by the Manager, the Company shall cause (1) the Company’s auditors (the “</w:t>
      </w: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xml:space="preserve">”), or other independent accountants satisfactory to the Manager forthwith to furnish the Manager a letter, and (2) the Chief Financial Officer of the Company forthwith to furnish the Manager a certificate, in each case dated within five (5) Trading Days of such Representation Date, in form satisfactory to the Manager, of the same tenor as the letters and certificate referred to in Section 7(d) of this Agreement but modified to relate to the Registration Statement and the Prospectuses, as amended and supplemented to the date of such letters and certificate;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requirement to furnish or cause to be furnished a “comfort” letter under this Section 5(m) shall be waived for any Representation Date other than a Representation Date on which a material amendment to the Registration Statement or Prospectus is made or the Company files its Annual Report on Form 40-F or Form 20-F or a material amendment thereto under the Exchange Act, unless the Manager reasonably requests the deliverables required by this Section 5(m) in connection with a Representation Date, upon which request such deliverables shall be deliverable hereunder. The requirement to deliver or cause to be delivered one or more letters and certificates under this Section 5(m) shall at the request of the Company be waived for any Representation Date occurring on a date on which no instruction to the Manager to sell Shares pursuant to this Agreement has been delivered by the Company or is pending. Notwithstanding the foregoing, if the Company subsequently decides to sell Shares following any Representation Date when the Company relied on such waiver and did not provide or cause to be provided to the Manager the letters or certificates contemplated in this Section 5(m), then, before the Company is entitled to deliver a Sales Notice to the Manager to Sell shares pursuant to this Agreement, the Company shall provide or cause to be provided the Manager such letters and certificates.</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4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Session</w:t>
      </w:r>
      <w:r>
        <w:rPr>
          <w:rFonts w:ascii="Times New Roman" w:cs="Times New Roman" w:eastAsia="Times New Roman" w:hAnsi="Times New Roman"/>
          <w:sz w:val="18"/>
          <w:szCs w:val="18"/>
          <w:color w:val="auto"/>
        </w:rPr>
        <w:t>. Upon commencement of the offering of the Shares under this Agreement (and upon the recommencement of the offering of the Shares under this Agreement following the termination of a suspension of sales hereunder lasting more than 30 Trading Days), and at each Representation Date, unless waived by the Manager, the Company will conduct a due diligence session, in form and substance, reasonably satisfactory to the Manager, which shall include representatives of management and the Accountants. The Company shall reasonably cooperate in a timely manner with any reasonable due diligence request from or review conducted by the Manager or its agents from time to time in connection with the transactions contemplated by this Agreement, including, without limitation, providing information and available documents and access to appropriate corporate officers and the Company’s agents during regular United States and Canadian business hours. The Company shall reimburse the Manager for Manager’s counsel’s fees in each such due diligence update session, up to a maximum of $2,500 per update, plus any incidental expense incurred by the Manager in connection therewith.</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3" w:name="page34"/>
    <w:bookmarkEnd w:id="33"/>
    <w:p>
      <w:pPr>
        <w:ind w:left="440" w:hanging="256"/>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4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Shares Sold</w:t>
      </w:r>
      <w:r>
        <w:rPr>
          <w:rFonts w:ascii="Times New Roman" w:cs="Times New Roman" w:eastAsia="Times New Roman" w:hAnsi="Times New Roman"/>
          <w:sz w:val="18"/>
          <w:szCs w:val="18"/>
          <w:color w:val="auto"/>
        </w:rPr>
        <w:t>. The Company will disclose in its annual and interim management’s discussion and analysis prepared and filed in accordance with Canadian Securities Laws, as applicable, the number of Shares sold through the Manager under this Agreement, the Net Proceeds to the Company and the compensation paid by the Company with respect to sales of Shares pursuant to this Agreement during the relevant quarter; and, if required by any subsequent change in Commission policy or request, more frequently by means of a report on Form 6-K or other applicable form.</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4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w:t>
      </w:r>
      <w:r>
        <w:rPr>
          <w:rFonts w:ascii="Times New Roman" w:cs="Times New Roman" w:eastAsia="Times New Roman" w:hAnsi="Times New Roman"/>
          <w:sz w:val="18"/>
          <w:szCs w:val="18"/>
          <w:color w:val="auto"/>
        </w:rPr>
        <w:t>. If, at any time on or after the time that a person has agreed to purchase Shares from the Company as the result of an offer to purchase solicited by the Manager pursuant to a Sales Notice but prior to the related Settlement Date, the Company or the Manager becomes aware that (i) the Registration Statement or the U.S. Prospectus included at the date of such sale contains any untrue statement of a material fact or omits to state any material fact necessary to make the statements therein in the light of the circumstances under which they were made or the circumstances then prevailing not misleading or (ii) the conditions set forth in Section 7 have not been satisfied in connection with such sale, the Company will, prior to the related Settlement Date for such Shares, offer to such person the right to refuse to purchase and pay for such Shares.</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1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Bring Down of Representations and Warranties</w:t>
      </w:r>
      <w:r>
        <w:rPr>
          <w:rFonts w:ascii="Times New Roman" w:cs="Times New Roman" w:eastAsia="Times New Roman" w:hAnsi="Times New Roman"/>
          <w:sz w:val="18"/>
          <w:szCs w:val="18"/>
          <w:color w:val="auto"/>
        </w:rPr>
        <w:t>. Each acceptance by the Company of an offer to purchase the Shares hereunder shall be deemed to be an affirmation to the Manager that the representations and warranties of the Company contained in or made pursuant to this Agreement are true and correct as of the date of such acceptance as though made at and as of such date (except for any of such representations and warranties that speak as of a specific date), and an undertaking that such representations and warranties will be true and correct as of the Settlement Date for the Shares relating to such acceptance relating to such sale, as the case may be, as though made at and as of such date (except for any of such representations and warranties that speak as of a specific date and, otherwise, except that such representations and warranties shall be deemed to relate to the Registration Statement and the Prospectuses as amended and supplemented relating to such Shares).</w:t>
      </w:r>
    </w:p>
    <w:p>
      <w:pPr>
        <w:spacing w:after="0" w:line="188"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2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Shares</w:t>
      </w:r>
      <w:r>
        <w:rPr>
          <w:rFonts w:ascii="Times New Roman" w:cs="Times New Roman" w:eastAsia="Times New Roman" w:hAnsi="Times New Roman"/>
          <w:sz w:val="18"/>
          <w:szCs w:val="18"/>
          <w:color w:val="auto"/>
        </w:rPr>
        <w:t>. The Company will use its commercially reasonable efforts to cause the Shares to be listed for trading on the Trading Market and the TSX, to the extent applicable, and to maintain such listing.</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4" w:name="page35"/>
    <w:bookmarkEnd w:id="34"/>
    <w:p>
      <w:pPr>
        <w:jc w:val="both"/>
        <w:ind w:left="-460" w:firstLine="644"/>
        <w:spacing w:after="0" w:line="261" w:lineRule="auto"/>
        <w:tabs>
          <w:tab w:leader="none" w:pos="4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 Under Exchange Act</w:t>
      </w:r>
      <w:r>
        <w:rPr>
          <w:rFonts w:ascii="Times New Roman" w:cs="Times New Roman" w:eastAsia="Times New Roman" w:hAnsi="Times New Roman"/>
          <w:sz w:val="18"/>
          <w:szCs w:val="18"/>
          <w:color w:val="auto"/>
        </w:rPr>
        <w:t>. During any period when the delivery of a prospectus relating to the Shares is required (including in circumstances where such requirement may be satisfied pursuant to Rule 172, 173 or any similar rule) to be delivered under the Act, the Company will file all documents required to be filed with the Commission pursuant to the Exchange Act within the time periods required by the Exchange Act and the regulations thereunder (as applicable, giving effect to any extension under the Exchange Act).</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47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DTC Facility</w:t>
      </w:r>
      <w:r>
        <w:rPr>
          <w:rFonts w:ascii="Times New Roman" w:cs="Times New Roman" w:eastAsia="Times New Roman" w:hAnsi="Times New Roman"/>
          <w:sz w:val="18"/>
          <w:szCs w:val="18"/>
          <w:color w:val="auto"/>
        </w:rPr>
        <w:t>. The Company shall cooperate with Manager and use its reasonable efforts to permit the Shares to be eligible for clearance and settlement through the facilities of DTC.</w:t>
      </w:r>
    </w:p>
    <w:p>
      <w:pPr>
        <w:spacing w:after="0" w:line="161"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apply the Net Proceeds from the sale of the Shares in the manner set forth in the Prospectus.</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8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of Prospectus Supplements</w:t>
      </w:r>
      <w:r>
        <w:rPr>
          <w:rFonts w:ascii="Times New Roman" w:cs="Times New Roman" w:eastAsia="Times New Roman" w:hAnsi="Times New Roman"/>
          <w:sz w:val="18"/>
          <w:szCs w:val="18"/>
          <w:color w:val="auto"/>
        </w:rPr>
        <w:t>. In the event that any sales are made pursuant to this Agreement which are not made in an “at the market distribution” under NI 44-102 and the Company believes, in its sole discretion, upon consultation with counsel, that the filing of a Canadian Prospectus Supplement and/or a U.S. Prospectus Supplement is required under the applicable Canadian and/or United States securities laws, the Company shall file a Canadian Prospectus Supplement with the Reviewing Authority, in accordance with the Shelf Procedures, and a U.S. Prospectus Supplement, in accordance with the instructions to Form F-10, describing the terms of such transaction, the amount of Shares sold, the price thereof, the applicable Manager’s compensation, and such other information as may be required pursuant the Shelf Procedures and the instructions to Form F-10.</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7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Registration Statement</w:t>
      </w:r>
      <w:r>
        <w:rPr>
          <w:rFonts w:ascii="Times New Roman" w:cs="Times New Roman" w:eastAsia="Times New Roman" w:hAnsi="Times New Roman"/>
          <w:sz w:val="18"/>
          <w:szCs w:val="18"/>
          <w:color w:val="auto"/>
        </w:rPr>
        <w:t>. To the extent that the Registration Statement is not available for the sales of the Shares, as contemplated by this Agreement, the Company shall file a new registration statement with respect to any additional Common Shares necessary to complete such sales of the Shares and shall cause such registration statement to become effective as promptly as practicable. After the effectiveness of any such registration statement, all references to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included in this Agreement shall be deemed to include such new registration statement, including all documents incorporated by reference therein pursuant to Form F-10, and all references to “</w:t>
      </w:r>
      <w:r>
        <w:rPr>
          <w:rFonts w:ascii="Times New Roman" w:cs="Times New Roman" w:eastAsia="Times New Roman" w:hAnsi="Times New Roman"/>
          <w:sz w:val="18"/>
          <w:szCs w:val="18"/>
          <w:u w:val="single" w:color="auto"/>
          <w:color w:val="auto"/>
        </w:rPr>
        <w:t>U.S. 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included in this Agreement shall be deemed to include the final form of prospectus, including all documents incorporated therein by reference, included in any such registration statement at the time such registration statement became effective.</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7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the Existing At The Market Offering Agreement</w:t>
      </w:r>
      <w:r>
        <w:rPr>
          <w:rFonts w:ascii="Times New Roman" w:cs="Times New Roman" w:eastAsia="Times New Roman" w:hAnsi="Times New Roman"/>
          <w:sz w:val="18"/>
          <w:szCs w:val="18"/>
          <w:color w:val="auto"/>
        </w:rPr>
        <w:t>. The Company and the Manager hereby agree that, upon the execution of this Agreement, the At The Market Offering Agreement, dated as of August 16, 2021, between the Company and the Manager (the “</w:t>
      </w:r>
      <w:r>
        <w:rPr>
          <w:rFonts w:ascii="Times New Roman" w:cs="Times New Roman" w:eastAsia="Times New Roman" w:hAnsi="Times New Roman"/>
          <w:sz w:val="18"/>
          <w:szCs w:val="18"/>
          <w:u w:val="single" w:color="auto"/>
          <w:color w:val="auto"/>
        </w:rPr>
        <w:t>Existing ATM Agreement</w:t>
      </w:r>
      <w:r>
        <w:rPr>
          <w:rFonts w:ascii="Times New Roman" w:cs="Times New Roman" w:eastAsia="Times New Roman" w:hAnsi="Times New Roman"/>
          <w:sz w:val="18"/>
          <w:szCs w:val="18"/>
          <w:color w:val="auto"/>
        </w:rPr>
        <w:t>”) shall be terminated by mutual agreement of the parties pursuant to Section 9(c) of the Existing ATM Agreement.</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5" w:name="page36"/>
    <w:bookmarkEnd w:id="35"/>
    <w:p>
      <w:pPr>
        <w:jc w:val="both"/>
        <w:ind w:firstLine="656"/>
        <w:spacing w:after="0" w:line="252" w:lineRule="auto"/>
        <w:tabs>
          <w:tab w:leader="none" w:pos="8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agrees to pay the costs and expenses incident to the performance of its obligations under this Agreement, whether or not the transactions contemplated hereby are consummated, including without limitation: (i) the preparation, printing or reproduction and filing with the Commission of the Registration Statement (including financial statements and exhibits thereto), the Prospectuses and each Issuer Free Writing Prospectus, and each amendment or supplement to any of them; (ii) the printing (or reproduction) and delivery (including postage, air freight charges and charges for counting and packaging) of such copies of the Registration Statement, the Prospectuses, and each Issuer Free Writing Prospectus, and all amendments or supplements to any of them, as may, in each case, be reasonably requested by the Manager for use in connection with the offering and sale of the Shares; (iii) the preparation, printing, authentication, issuance and delivery of certificates for the Shares, including any stamp or transfer taxes in connection with the original issuance and sale of the Shares; (iv) the printing (or reproduction) and delivery of this Agreement and all other agreements or documents printed (or reproduced) and delivered in connection with the offering of the Shares; (v) the registration of the Shares under the Exchange Act, if applicable, and the listing of the Shares on the Trading Market; (vi) any registration or qualification of the Shares for offer and sale under the securities or blue sky laws of the several states (including filing fees and the reasonable fees and expenses of counsel for the Manager relating to such registration and qualification); (vii) the transportation and other expenses incurred by or on behalf of Company representatives in connection with presentations to prospective purchasers of the Shares; (viii) the fees and expenses of the Company’s accountants and the fees and expenses of counsel (including local and special counsel) for the Company; (ix) the filing fee under FINRA Rule 5110; (x) the reasonable fees and expenses of the Manager’s counsel, not to exceed $100,000 (excluding any periodic due diligence fees provided for under Section 5(n)), which shall be paid at the Execution Time; and (xi) all other costs and expenses incident to the performance by the Company of its obligations hereunder.</w:t>
      </w:r>
    </w:p>
    <w:p>
      <w:pPr>
        <w:spacing w:after="0" w:line="194"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Obligations of the Manager</w:t>
      </w:r>
      <w:r>
        <w:rPr>
          <w:rFonts w:ascii="Times New Roman" w:cs="Times New Roman" w:eastAsia="Times New Roman" w:hAnsi="Times New Roman"/>
          <w:sz w:val="18"/>
          <w:szCs w:val="18"/>
          <w:color w:val="auto"/>
        </w:rPr>
        <w:t>. The obligations of the Manager under this Agreement shall be subject to (i) the accuracy of the representations and warranties on the part of the Company contained herein as of the Execution Time, each Representation Date, and as of each Applicable Time and Settlement Date (except for any of such representations and warranties that speak as of a specific date), (ii) the performance by the Company of its obligations hereunder and (iii) the following additional conditions: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5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of Prospectus Supplements</w:t>
      </w:r>
      <w:r>
        <w:rPr>
          <w:rFonts w:ascii="Times New Roman" w:cs="Times New Roman" w:eastAsia="Times New Roman" w:hAnsi="Times New Roman"/>
          <w:sz w:val="18"/>
          <w:szCs w:val="18"/>
          <w:color w:val="auto"/>
        </w:rPr>
        <w:t>. Each of the Canadian Prospectus Supplement and the U.S. Prospectus Supplement shall have been filed in the manner contemplated by this Agreement; any further Prospectus Supplements required by Canadian Securities Laws, the Act or other applicable laws, rules or regulations shall have been timely filed; any other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left="4" w:firstLine="644"/>
        <w:spacing w:after="0" w:line="254" w:lineRule="auto"/>
        <w:tabs>
          <w:tab w:leader="none" w:pos="9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Opinion</w:t>
      </w:r>
      <w:r>
        <w:rPr>
          <w:rFonts w:ascii="Times New Roman" w:cs="Times New Roman" w:eastAsia="Times New Roman" w:hAnsi="Times New Roman"/>
          <w:sz w:val="18"/>
          <w:szCs w:val="18"/>
          <w:color w:val="auto"/>
        </w:rPr>
        <w:t>. The Company shall have caused U.S. Company Counsel and Canadian Company Counsel to furnish to the Manager at the Execution Time and in accordance with Section 5(l) its respective opinion and, in the case of U.S. Company Counsel, negative assurance statement, as applicable, dated as of such required delivery date and addressed to the Manager in form and substance reasonably acceptable to the Manager. In addition, the Manager shall have received a negative assurance statement from Ellenoff, Grossman &amp; Schole LLP, counsel to the Manager, (i) at the Execution Time and</w:t>
      </w:r>
    </w:p>
    <w:p>
      <w:pPr>
        <w:spacing w:after="0" w:line="3" w:lineRule="exact"/>
        <w:rPr>
          <w:rFonts w:ascii="Times New Roman" w:cs="Times New Roman" w:eastAsia="Times New Roman" w:hAnsi="Times New Roman"/>
          <w:sz w:val="18"/>
          <w:szCs w:val="18"/>
          <w:color w:val="auto"/>
        </w:rPr>
      </w:pPr>
    </w:p>
    <w:p>
      <w:pPr>
        <w:ind w:left="4" w:right="20" w:hanging="4"/>
        <w:spacing w:after="0" w:line="260" w:lineRule="auto"/>
        <w:tabs>
          <w:tab w:leader="none" w:pos="27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Representation Date with respect to which the Company is obligated to deliver a negative assurance statement pursuant to Section 5(l) and for which no waiver is applicable.</w:t>
      </w:r>
    </w:p>
    <w:p>
      <w:pPr>
        <w:spacing w:after="0" w:line="181"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91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Officer’s Certificate</w:t>
      </w:r>
      <w:r>
        <w:rPr>
          <w:rFonts w:ascii="Times New Roman" w:cs="Times New Roman" w:eastAsia="Times New Roman" w:hAnsi="Times New Roman"/>
          <w:sz w:val="18"/>
          <w:szCs w:val="18"/>
          <w:color w:val="auto"/>
        </w:rPr>
        <w:t>. The Company shall have furnished or caused to be furnished to the Manager a certificate of the Company signed by the Chief Executive Officer or the President and the principal financial or accounting officer of the Company, dated as of such required delivery date, to the effect that the signers of such certificate have carefully examined the Registration Statement, the Prospectuses, any Prospectus Supplement and any documents incorporated by reference therein and any supplements or amendments thereto and this Agreement and that:</w:t>
      </w:r>
    </w:p>
    <w:p>
      <w:pPr>
        <w:spacing w:after="0" w:line="183" w:lineRule="exact"/>
        <w:rPr>
          <w:rFonts w:ascii="Times New Roman" w:cs="Times New Roman" w:eastAsia="Times New Roman" w:hAnsi="Times New Roman"/>
          <w:sz w:val="18"/>
          <w:szCs w:val="18"/>
          <w:color w:val="auto"/>
        </w:rPr>
      </w:pPr>
    </w:p>
    <w:p>
      <w:pPr>
        <w:jc w:val="both"/>
        <w:ind w:left="644" w:firstLine="652"/>
        <w:spacing w:after="0" w:line="261" w:lineRule="auto"/>
        <w:tabs>
          <w:tab w:leader="none" w:pos="1507"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this Agreement are true and correct in all material respects on and as of such date with the same effect as if made on such date (except for any of such representations and warranties that speak as of a specific date), and the Company has complied with all the agreements and satisfied all the conditions on its part to be performed or satisfied at or prior to such date;</w:t>
      </w:r>
    </w:p>
    <w:p>
      <w:pPr>
        <w:spacing w:after="0" w:line="179" w:lineRule="exact"/>
        <w:rPr>
          <w:rFonts w:ascii="Times New Roman" w:cs="Times New Roman" w:eastAsia="Times New Roman" w:hAnsi="Times New Roman"/>
          <w:sz w:val="18"/>
          <w:szCs w:val="18"/>
          <w:color w:val="auto"/>
        </w:rPr>
      </w:pPr>
    </w:p>
    <w:p>
      <w:pPr>
        <w:ind w:left="644" w:firstLine="652"/>
        <w:spacing w:after="0" w:line="282" w:lineRule="auto"/>
        <w:tabs>
          <w:tab w:leader="none" w:pos="157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or any notice objecting to its use has been issued and no proceedings for that purpose have been instituted or, to the Company’s knowledge, threatened; and</w:t>
      </w:r>
    </w:p>
    <w:p>
      <w:pPr>
        <w:spacing w:after="0" w:line="161" w:lineRule="exact"/>
        <w:rPr>
          <w:rFonts w:ascii="Times New Roman" w:cs="Times New Roman" w:eastAsia="Times New Roman" w:hAnsi="Times New Roman"/>
          <w:sz w:val="18"/>
          <w:szCs w:val="18"/>
          <w:color w:val="auto"/>
        </w:rPr>
      </w:pPr>
    </w:p>
    <w:p>
      <w:pPr>
        <w:jc w:val="both"/>
        <w:ind w:left="644" w:firstLine="652"/>
        <w:spacing w:after="0" w:line="261" w:lineRule="auto"/>
        <w:tabs>
          <w:tab w:leader="none" w:pos="1612"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most recent financial statements included in the Registration Statement and the Prospectuses, there has been no Material Adverse Effect on the condition (financial or otherwise), earnings, business or properties of the Company and its subsidiaries, taken as a whole, whether or not arising from transactions in the ordinary course of business, except as set forth in or contemplated in the Registration Statement and the Prospectuses.</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7" w:name="page38"/>
    <w:bookmarkEnd w:id="37"/>
    <w:p>
      <w:pPr>
        <w:jc w:val="both"/>
        <w:ind w:left="-460" w:firstLine="644"/>
        <w:spacing w:after="0" w:line="256" w:lineRule="auto"/>
        <w:tabs>
          <w:tab w:leader="none" w:pos="44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Accountants’ “Comfort” Letter</w:t>
      </w:r>
      <w:r>
        <w:rPr>
          <w:rFonts w:ascii="Times New Roman" w:cs="Times New Roman" w:eastAsia="Times New Roman" w:hAnsi="Times New Roman"/>
          <w:sz w:val="18"/>
          <w:szCs w:val="18"/>
          <w:color w:val="auto"/>
        </w:rPr>
        <w:t>. The Company shall have requested and caused the Accountants to have furnished to the Manager letters (which may refer to letters previously delivered to the Manager) at or before the Execution Time, dated as of such required delivery date, in form and substance satisfactory to the Manager, confirming that they are independent accountants within the meaning of the Act and the Exchange Act and that they have performed a review of any unaudited interim financial information of the Company included or incorporated by reference in the Registration Statement and the Prospectuses and providing customary “comfort” as to such review in form and substance satisfactory to the Manager.</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Event</w:t>
      </w:r>
      <w:r>
        <w:rPr>
          <w:rFonts w:ascii="Times New Roman" w:cs="Times New Roman" w:eastAsia="Times New Roman" w:hAnsi="Times New Roman"/>
          <w:sz w:val="18"/>
          <w:szCs w:val="18"/>
          <w:color w:val="auto"/>
        </w:rPr>
        <w:t>. Since the respective dates as of which information is disclosed in the Registration Statement and the Prospectuses, except as otherwise stated therein, there shall not have been any change, or any material development involving a prospective change, in or affecting the condition (financial or otherwise), earnings, business or properties of the Company and its subsidiaries taken as a whole, whether or not arising from transactions in the ordinary course of business, except as set forth in or contemplated in the Registration Statement, the Prospectuses and the Incorporated Documents (exclusive of any subsequent amendment or supplement thereto) the effect of which, in any case referred to above, is, in the sole judgment of the Manager, so material and adverse as to make it impractical or inadvisable to proceed with the offering or delivery of the Shares as contemplated by the Registration Statement (exclusive of any subsequent amendment thereof), the Incorporated Documents and the Prospectuses (exclusive of any subsequent amendment or supplement thereto).</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1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All Fees</w:t>
      </w:r>
      <w:r>
        <w:rPr>
          <w:rFonts w:ascii="Times New Roman" w:cs="Times New Roman" w:eastAsia="Times New Roman" w:hAnsi="Times New Roman"/>
          <w:sz w:val="18"/>
          <w:szCs w:val="18"/>
          <w:color w:val="auto"/>
        </w:rPr>
        <w:t>. The Company shall have paid the required Commission filing fees relating to the Shares within the time period required by Rule 456(b)(1)(i) of the Act without regard to the proviso therein and otherwise in accordance with Rules 456(b) and 457(r) of the Act.</w:t>
      </w:r>
    </w:p>
    <w:p>
      <w:pPr>
        <w:spacing w:after="0" w:line="175" w:lineRule="exact"/>
        <w:rPr>
          <w:rFonts w:ascii="Times New Roman" w:cs="Times New Roman" w:eastAsia="Times New Roman" w:hAnsi="Times New Roman"/>
          <w:sz w:val="18"/>
          <w:szCs w:val="18"/>
          <w:color w:val="auto"/>
        </w:rPr>
      </w:pPr>
    </w:p>
    <w:p>
      <w:pPr>
        <w:ind w:left="-460" w:firstLine="644"/>
        <w:spacing w:after="0" w:line="282" w:lineRule="auto"/>
        <w:tabs>
          <w:tab w:leader="none" w:pos="44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FINRA Objections</w:t>
      </w:r>
      <w:r>
        <w:rPr>
          <w:rFonts w:ascii="Times New Roman" w:cs="Times New Roman" w:eastAsia="Times New Roman" w:hAnsi="Times New Roman"/>
          <w:sz w:val="18"/>
          <w:szCs w:val="18"/>
          <w:color w:val="auto"/>
        </w:rPr>
        <w:t>. FINRA shall not have raised any objection with respect to the fairness and reasonableness of the terms and arrangements under this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Listed on Trading Market</w:t>
      </w:r>
      <w:r>
        <w:rPr>
          <w:rFonts w:ascii="Times New Roman" w:cs="Times New Roman" w:eastAsia="Times New Roman" w:hAnsi="Times New Roman"/>
          <w:sz w:val="18"/>
          <w:szCs w:val="18"/>
          <w:color w:val="auto"/>
        </w:rPr>
        <w:t>. The Shares shall have either been (i) listed and admitted and authorized for trading on the Trading Market and, to the extent applicable, the TSX and satisfactory evidence of such actions shall have been provided to the Manager or (ii) approved for listing, subject only to notice of issuance, on the Trading Market, or, to the extent applicable, the TSX, subject only to customary terms and conditions of the TSX.</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44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Assurances</w:t>
      </w:r>
      <w:r>
        <w:rPr>
          <w:rFonts w:ascii="Times New Roman" w:cs="Times New Roman" w:eastAsia="Times New Roman" w:hAnsi="Times New Roman"/>
          <w:sz w:val="18"/>
          <w:szCs w:val="18"/>
          <w:color w:val="auto"/>
        </w:rPr>
        <w:t>. Prior to each Settlement Date the Company shall have furnished to the Manager such further information, certificates and documents as the Manager may reasonably request.</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8" w:name="page39"/>
    <w:bookmarkEnd w:id="3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of the conditions specified in this Section 7 shall not have been fulfilled when and as provided in this Agreement, or if any of the opinions and certificates mentioned above or elsewhere in this Agreement shall not be reasonably satisfactory in form and substance to the Manager and counsel for the Manager, this Agreement and all obligations of the Manager hereunder may be canceled at, or at any time prior to, any Settlement Date, by the Manager. Notice of such cancellation shall be given to the Company in writing or by telephone or facsimile confirmed in writing by electronic mail.</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documents required to be delivered by this Section 7 shall be delivered at the office of Ellenoff Grossman &amp; Schole LLP, counsel for the Manager, at 1345 Avenue of the Americas, New York, New York 10105, capmkts@egsllp.com, on each such date as provided in this Agreement; provided that delivery by electronic mail or similar means to representatives of Ellenoff Grossman &amp; Schole LLP shall be deemed to constitute good delivery hereunder.</w:t>
      </w:r>
    </w:p>
    <w:p>
      <w:pPr>
        <w:spacing w:after="0" w:line="180" w:lineRule="exact"/>
        <w:rPr>
          <w:sz w:val="20"/>
          <w:szCs w:val="20"/>
          <w:color w:val="auto"/>
        </w:rPr>
      </w:pPr>
    </w:p>
    <w:p>
      <w:pPr>
        <w:ind w:left="840" w:hanging="184"/>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55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Company</w:t>
      </w:r>
      <w:r>
        <w:rPr>
          <w:rFonts w:ascii="Times New Roman" w:cs="Times New Roman" w:eastAsia="Times New Roman" w:hAnsi="Times New Roman"/>
          <w:sz w:val="18"/>
          <w:szCs w:val="18"/>
          <w:color w:val="auto"/>
        </w:rPr>
        <w:t xml:space="preserve">. The Company agrees to indemnify and hold harmless the Manager, the directors, officers, employees and agents of the Manager and each person who controls the Manager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Shares as originally filed or in any amendment thereof, or in the Base Prospectuses, any Prospectus Supplement, the Prospectuses, any Issuer Free Writing Prospectus, or in any amendment thereof or supplement thereto, or arise out of or are based upon the omission or alleged omission to state therein a material fact required to be stated therein or necessary to make the statements therein not misleading or result from or relate to any breach of any of the representations, warranties, covenants or agreements made by the Company in this Agreement, and agrees to reimburse each such indemnified party for any legal or other expenses reasonably incurred by them in connection with investigating or defending any such loss, claim, damage, liability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the Manager specifically for inclusion therein. This indemnity agreement will be in addition to any liability that the Company may otherwise have.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left="4" w:firstLine="644"/>
        <w:spacing w:after="0" w:line="256" w:lineRule="auto"/>
        <w:tabs>
          <w:tab w:leader="none" w:pos="9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Manager</w:t>
      </w:r>
      <w:r>
        <w:rPr>
          <w:rFonts w:ascii="Times New Roman" w:cs="Times New Roman" w:eastAsia="Times New Roman" w:hAnsi="Times New Roman"/>
          <w:sz w:val="18"/>
          <w:szCs w:val="18"/>
          <w:color w:val="auto"/>
        </w:rPr>
        <w:t xml:space="preserve">. The Manager agrees to indemnify and hold harmless the Company, each of its directors, each of its officers who signs the Registration Statement, and each person who controls the Company within the meaning of either the Act or the Exchange Act, to the same extent as the foregoing indemnity from the Company to the Manager, but only with reference to written information relating to the Manager furnished to the Company by the Manager specifically for inclusion in the documents referred to in the foregoing indemnity;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case shall the Manager be responsible for any amount in excess of the Broker Fee applicable to the Shares and paid hereunder. This indemnity agreement will be in addition to any liability which the Manager may otherwise have.</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1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Procedures</w:t>
      </w:r>
      <w:r>
        <w:rPr>
          <w:rFonts w:ascii="Times New Roman" w:cs="Times New Roman" w:eastAsia="Times New Roman" w:hAnsi="Times New Roman"/>
          <w:sz w:val="18"/>
          <w:szCs w:val="18"/>
          <w:color w:val="auto"/>
        </w:rPr>
        <w:t>. 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and the contribution obligation under paragraph</w:t>
      </w:r>
    </w:p>
    <w:p>
      <w:pPr>
        <w:spacing w:after="0" w:line="5"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7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below.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 indemnified party will not, without the prior written consent of the indemnifying party, which shall not be unreasonably withheld, settle or compromise or consent to the entry of any judgment with respect to any pending or threatened claim, action, suit or proceeding in respect of which indemnification or contribution may be sought hereunder.</w:t>
      </w:r>
    </w:p>
    <w:p>
      <w:pPr>
        <w:spacing w:after="0" w:line="200" w:lineRule="exact"/>
        <w:rPr>
          <w:sz w:val="20"/>
          <w:szCs w:val="20"/>
          <w:color w:val="auto"/>
        </w:rPr>
      </w:pPr>
    </w:p>
    <w:p>
      <w:pPr>
        <w:spacing w:after="0" w:line="20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0" w:name="page41"/>
    <w:bookmarkEnd w:id="40"/>
    <w:p>
      <w:pPr>
        <w:jc w:val="both"/>
        <w:ind w:left="-460" w:firstLine="644"/>
        <w:spacing w:after="0" w:line="251" w:lineRule="auto"/>
        <w:tabs>
          <w:tab w:leader="none" w:pos="4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In the event that the indemnity provided in paragraph (a), (b) or (c) of this Section 8 is unavailable to or insufficient to hold harmless an indemnified party for any reason, the Company and the Manager agree to contribute to the aggregate losses, claims, damages and liabilities (including legal or other expenses reasonably incurred in connection with investigating or defending the same)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to which the Company and the Manager may be subject in such proportion as is appropriate to reflect the relative benefits received by the Company on the one hand and by the Manager on the other from the offering of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case shall the Manager be responsible for any amount in excess of the Broker Fee applicable to the Shares and paid hereunder. If the allocation provided by the immediately preceding sentence is unavailable for any reason, the Company and the Manager severally shall contribute in such proportion as is appropriate to reflect not only such relative benefits but also the relative fault of the Company on the one hand and of the Manager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the Manager shall be deemed to be equal to the Broker Fee applicable to the Shares and paid hereunder as determined by this Agreement. Relative fault shall be determined by reference to, among other things, whether any untrue or any alleged untrue statement of a material fact or the omission or alleged omission to state a material fact relates to information provided by the Company on the one hand or the Manager on the other, the intent of the parties and their relative knowledge, access to information and opportunity to correct or prevent such untrue statement or omission. The Company and the Manager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8, each person who controls the Manager within the meaning of either the Act or the Exchange Act and each director, officer, employee and agent of the Manager shall have the same rights to contribution as the Manager,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spacing w:after="0" w:line="200" w:lineRule="exact"/>
        <w:rPr>
          <w:sz w:val="20"/>
          <w:szCs w:val="20"/>
          <w:color w:val="auto"/>
        </w:rPr>
      </w:pPr>
    </w:p>
    <w:p>
      <w:pPr>
        <w:spacing w:after="0" w:line="22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1" w:name="page42"/>
    <w:bookmarkEnd w:id="41"/>
    <w:p>
      <w:pPr>
        <w:ind w:left="840" w:hanging="184"/>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6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by giving written notice as hereinafter specified, to terminate the provisions of this Agreement relating to the solicitation of offers to purchase the Shares in its sole discretion at any time upon ten (10) Business Days’ prior written notice. Any such termination shall be without liability of any party to any other party except that (i) with respect to any pending sale, through the Manager for the Company, the obligations of the Company, including in respect of compensation of the Manager, shall remain in full force and effect notwithstanding the termination and (ii) the provisions of Sections 6, 8, 9, 10, 11, 13, the second sentence of 14, 15 and 16 of this Agreement shall remain in full force and effect notwithstanding such termination.</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shall have the right, by giving written notice as hereinafter specified, to terminate the provisions of this Agreement relating to the solicitation of offers to purchase the Shares in its sole discretion at any time. Any such termination shall be without liability of any party to any other party except that the provisions of Sections 6, 8, 9, 10, 11, 13, the second sentence of 14, 15 and 16 of this Agreement shall remain in full force and effect notwithstanding such termination.</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5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remain in full force and effect until such date that this Agreement is terminated pursuant to Sections 9(a) or (b) above or otherwise by mutual agreement of the parties; provided that any such termination by mutual agreement shall in all cases be deemed to provide that Sections 5, 6, 7, 8, 9, 10, 12, the second sentence of 13, 14 and 16 of this Agreement shall remain in full force and effect.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0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of this Agreement shall be effective on the date specified in such notice of termination, provided that such termination shall not be effective until the close of business on the date of receipt of such notice by the Manager or the Company, as the case may be. If such termination shall occur prior to the Settlement Date for any sale of the Shares effected prior to such termination, such sale of the Shares shall settle in accordance with the provisions of Section 3(b) of this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3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Indemnities to Survive</w:t>
      </w:r>
      <w:r>
        <w:rPr>
          <w:rFonts w:ascii="Times New Roman" w:cs="Times New Roman" w:eastAsia="Times New Roman" w:hAnsi="Times New Roman"/>
          <w:sz w:val="18"/>
          <w:szCs w:val="18"/>
          <w:color w:val="auto"/>
        </w:rPr>
        <w:t>. The respective agreements, representations, warranties, indemnities and other statements of the Company or its officers and of the Manager set forth in or made pursuant to this Agreement will remain in full force and effect, regardless of any investigation made by the Manager or the Company or any of the officers, directors, employees, agents or controlling persons referred to in Section 8, and will survive delivery of and payment for the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56"/>
        <w:spacing w:after="0" w:line="266" w:lineRule="auto"/>
        <w:tabs>
          <w:tab w:leader="none" w:pos="91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otherwise specifically provided in this Agreement, all communications hereunder will be in writing and effective only on receipt and will be mailed, delivered, e-mailed or facsimiled to the addresses of the Company and the Manager, respectively, set forth on the signature page hereto.</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 officers, directors, employees, agents and controlling persons referred to in Section 8, and no other person will have any right or obligation hereunder. Neither party may assign this Agreement or any rights or obligations it has hereunder without the prior written consent of the other party.</w:t>
      </w:r>
    </w:p>
    <w:p>
      <w:pPr>
        <w:spacing w:after="0" w:line="175" w:lineRule="exact"/>
        <w:rPr>
          <w:rFonts w:ascii="Times New Roman" w:cs="Times New Roman" w:eastAsia="Times New Roman" w:hAnsi="Times New Roman"/>
          <w:sz w:val="18"/>
          <w:szCs w:val="18"/>
          <w:color w:val="auto"/>
        </w:rPr>
      </w:pPr>
    </w:p>
    <w:p>
      <w:pPr>
        <w:jc w:val="both"/>
        <w:ind w:firstLine="656"/>
        <w:spacing w:after="0" w:line="257" w:lineRule="auto"/>
        <w:tabs>
          <w:tab w:leader="none" w:pos="91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The Company hereby acknowledges that (a) the purchase and sale of the Shares pursuant to this Agreement is an arm’s-length commercial transaction between the Company, on the one hand, and the Manager and any affiliate through which it may be acting, on the other, (b) the Manager is acting solely as sales agent in connection with the purchase and sale of the Company’s securities and not as a fiduciary of the Company and</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4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engagement of the Manager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the Manager has advised or is currently advising the Company on related or other matters). The Company agrees that it will not claim that the Manager has rendered advisory services of any nature or respect, or owe an agency, fiduciary or similar duty to the Company, in connection with such transaction or the process leading thereto.</w:t>
      </w:r>
    </w:p>
    <w:p>
      <w:pPr>
        <w:spacing w:after="0" w:line="186" w:lineRule="exact"/>
        <w:rPr>
          <w:rFonts w:ascii="Times New Roman" w:cs="Times New Roman" w:eastAsia="Times New Roman" w:hAnsi="Times New Roman"/>
          <w:sz w:val="18"/>
          <w:szCs w:val="18"/>
          <w:color w:val="auto"/>
        </w:rPr>
      </w:pPr>
    </w:p>
    <w:p>
      <w:pPr>
        <w:jc w:val="both"/>
        <w:ind w:firstLine="656"/>
        <w:spacing w:after="0" w:line="258" w:lineRule="auto"/>
        <w:tabs>
          <w:tab w:leader="none" w:pos="94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supersede all prior agreements and understandings (whether written or oral) between the Company and the Manager with respect to the subject matter hereof. Notwithstanding anything herein to the contrary, each of the letter agreements, dated November 21, 2023, December 12, 2023 and March 8, 2024 by and between the Company and the Manager shall continue to be effective and the terms therein shall continue to survive and be enforceable by the Manager in accordance with its terms; provided that, in the event of a conflict between the terms of a letter agreement, other than with respect to the letter agreement, dated March 8, 2024, and this Agreement, the terms of this Agreement shall prevail.</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1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the Manager.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future exercise of any such right.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56"/>
        <w:spacing w:after="0" w:line="253" w:lineRule="auto"/>
        <w:tabs>
          <w:tab w:leader="none" w:pos="9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will be governed by and construed in accordance with the laws of the State of New York applicable to contracts made and to be performed within the State of New York. Each of the Company and the Manager: (i) agrees that any legal suit, action or proceeding arising out of or relating to this Agreement shall be instituted exclusively in New York Supreme Court, County of New York, or in the United States District Court for the Southern District of New York, (ii) waives any objection which it may have or hereafter to the venue of any such suit, action or proceeding, and (iii) irrevocably consents to the jurisdiction of the New York Supreme Court, County of New York, and the United States District Court for the Southern District of New York in any such suit, action or proceeding. Each of the Company and the Manager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 Company mailed by certified mail to the Company’s address shall be deemed in every respect effective service of process upon the Company, in any such suit, action or proceeding, and service of process upon the Manager mailed by certified mail to the Manager’s address shall be deemed in every respect effective service process upon the Manager, in any such suit, action or proceeding. If either party shall commence an action or proceeding to enforce any provision of this Agreement, then the prevailing party in such action or proceeding shall be reimbursed by the other party for its reasonable attorney’s fees and other costs and expenses incurred with the investigation, preparation and prosecution of such action or proceeding.</w:t>
      </w:r>
    </w:p>
    <w:p>
      <w:pPr>
        <w:spacing w:after="0" w:line="183" w:lineRule="exact"/>
        <w:rPr>
          <w:rFonts w:ascii="Times New Roman" w:cs="Times New Roman" w:eastAsia="Times New Roman" w:hAnsi="Times New Roman"/>
          <w:sz w:val="18"/>
          <w:szCs w:val="18"/>
          <w:color w:val="auto"/>
        </w:rPr>
      </w:pPr>
    </w:p>
    <w:p>
      <w:pPr>
        <w:jc w:val="both"/>
        <w:ind w:firstLine="656"/>
        <w:spacing w:after="0" w:line="268" w:lineRule="auto"/>
        <w:tabs>
          <w:tab w:leader="none" w:pos="9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EACH OF THE COMPANY AND THE MANAGER HEREBY IRREVOCABLY WAIVES, TO THE FULLEST EXTENT PERMITTED BY APPLICABLE LAW, ANY AND ALL RIGHT TO TRIAL BY JURY IN ANY LEGAL PROCEEDING ARISING OUT OF OR RELATING TO THIS AGREEMENT OR THE TRANSACTIONS CONTEMPLATED HEREBY OR THEREBY.</w:t>
      </w:r>
    </w:p>
    <w:p>
      <w:pPr>
        <w:spacing w:after="0" w:line="174" w:lineRule="exact"/>
        <w:rPr>
          <w:rFonts w:ascii="Times New Roman" w:cs="Times New Roman" w:eastAsia="Times New Roman" w:hAnsi="Times New Roman"/>
          <w:sz w:val="18"/>
          <w:szCs w:val="18"/>
          <w:color w:val="auto"/>
        </w:rPr>
      </w:pPr>
    </w:p>
    <w:p>
      <w:pPr>
        <w:jc w:val="both"/>
        <w:ind w:firstLine="656"/>
        <w:spacing w:after="0" w:line="258" w:lineRule="auto"/>
        <w:tabs>
          <w:tab w:leader="none" w:pos="91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one or more counterparts, each of which shall constitute an original and all of which together shall constitute one and the same agreement. Counterparts may be delivered via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used in this Agreement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left="4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us the enclosed duplicate hereof, whereupon this letter and your acceptance shall represent a binding agreement among the Company and the Manager.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L. Geoffrey Morphy</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 Geoffrey Morphy</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 for Notice</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King Street 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 Canada M5C 1C4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 Geoffrey Morphy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gmorphy@bitfarms.com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10001-8602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Ryan.Dzierniejko@skadden.com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Ryan J. Dzierniejko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Agreement is hereby confirmed and accepted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first written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H.C. WAINWRIGHT &amp; CO., LLC</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Edward D. Silvera</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Edward D. Silvera</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 for Notice</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notices@hcwco.com</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for At The Market Offering Agreement]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March 8, 2024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Geoffrey Morphy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gmorphy@bitfarms.com</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154305</wp:posOffset>
            </wp:positionV>
            <wp:extent cx="2031365" cy="531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Bitfarms Announces $375 Million At-the-Market Equity Offering Program</w:t>
      </w:r>
    </w:p>
    <w:p>
      <w:pPr>
        <w:spacing w:after="0" w:line="2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(March 8, 2024) </w:t>
      </w:r>
      <w:r>
        <w:rPr>
          <w:rFonts w:ascii="Times New Roman" w:cs="Times New Roman" w:eastAsia="Times New Roman" w:hAnsi="Times New Roman"/>
          <w:sz w:val="18"/>
          <w:szCs w:val="18"/>
          <w:color w:val="auto"/>
        </w:rPr>
        <w:t>- Bitfarms Ltd. (Nasdaq/TSX: BITF), a global Bitcoin vertically integrated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it has entered into an at-the-market offering agreement (the “ATM Agreement”) dated March 8, 2024 with H.C. Wainwright &amp; Co., LLC (the “Agent”) as agent, pursuant to which the Company established an at-the-market equity program (the “ATM Program”). Pursuant to the ATM Program, the Company may, at its discretion and from time-to-time during the term of the ATM Agreement, sell, through the Agent, such number of common shares of the Company (“Common Shares”) as would result in aggregate gross proceeds to the Company of up to US$375 million. Sales of Common Shares, if any, through the Agent will be made through “at-the-market” issuances, including without limitation, sales made directly on the Nasdaq Stock Market or another trading market for the shares in the United States at the market price prevailing at the time of each sale. No Common Shares will be offered or sold under the ATM Program on the TSX or any other trading market in Canada. The ATM Program may be terminated by either party at any time.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use the net proceeds of the ATM Program, if any, primarily on capital expenditures to support the growth and development of the Company’s existing mining operations as well as for working capital and general corporate purposes.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Since the Common Shares will be distributed at trading prices prevailing at the time of the sale, prices may vary between purchasers and during the period of distribution. The volume and timing of sales, if any, will be determined at the sole discretion of the Company’s management and in accordance with the terms of the ATM Agreement. To date, no Common Shares have been distributed by the Company pursuant to the ATM Agreement.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offer and sale of the Common Shares under the ATM Program will be made by means of a prospectus supplement dated March 8, 2024 (the “Prospectus Supplement”) to the Company’s existing shelf prospectus dated November 10, 2023 (the “Base Shelf Prospectus” and, together with the Prospectus Supplement, the “Prospectus”) and U.S. registration statement on Form F-10 (the “Registration Statement”) (File No. 333-272989), which includes the Base Prospectus.. The Prospectus Supplement has been filed with the applicable provincial regulatory authorities in Canada and the SEC. The Prospectus is available on the SEDAR website maintained by the Canadian Securities Administrators at http://www.sedar.com and is available on the SEC’s EDGAR website at http://www.sec.gov.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spacing w:after="0" w:line="266" w:lineRule="auto"/>
        <w:rPr>
          <w:sz w:val="20"/>
          <w:szCs w:val="20"/>
          <w:color w:val="auto"/>
        </w:rPr>
      </w:pPr>
      <w:r>
        <w:rPr>
          <w:rFonts w:ascii="Times New Roman" w:cs="Times New Roman" w:eastAsia="Times New Roman" w:hAnsi="Times New Roman"/>
          <w:sz w:val="18"/>
          <w:szCs w:val="18"/>
          <w:color w:val="auto"/>
        </w:rPr>
        <w:t>This news release does not constitute an offer to sell or the solicitation of an offer to buy, nor shall there be any sale of these Common Shares in any jurisdiction in which such offer, solicitation or sale would be unlawful prior to the registration or qualification under the securities laws of any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-116840</wp:posOffset>
            </wp:positionV>
            <wp:extent cx="7123430" cy="15087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23430" cy="1508760"/>
                    </a:xfrm>
                    <a:prstGeom prst="rect">
                      <a:avLst/>
                    </a:prstGeom>
                    <a:noFill/>
                  </pic:spPr>
                </pic:pic>
              </a:graphicData>
            </a:graphic>
          </wp:anchor>
        </w:drawing>
      </w:r>
    </w:p>
    <w:p>
      <w:pPr>
        <w:spacing w:after="0" w:line="209"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Bitfarms currently has 11 operating Bitcoin mining facilities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3317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2331720"/>
                    </a:xfrm>
                    <a:prstGeom prst="rect">
                      <a:avLst/>
                    </a:prstGeom>
                    <a:noFill/>
                  </pic:spPr>
                </pic:pic>
              </a:graphicData>
            </a:graphic>
          </wp:anchor>
        </w:drawing>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w:t>
      </w:r>
      <w:r>
        <w:rPr>
          <w:rFonts w:ascii="Times New Roman" w:cs="Times New Roman" w:eastAsia="Times New Roman" w:hAnsi="Times New Roman"/>
          <w:sz w:val="18"/>
          <w:szCs w:val="18"/>
          <w:i w:val="1"/>
          <w:iCs w:val="1"/>
          <w:color w:val="auto"/>
          <w:highlight w:val="white"/>
        </w:rPr>
        <w:t xml:space="preserve">securities laws. The statements and information in this release regarding the ATM Program and any sales of the Common Shares thereunder and proceeds to the Company therefrom, as well as the potential use of such proceeds,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w:t>
      </w:r>
      <w:r>
        <w:rPr>
          <w:rFonts w:ascii="Times New Roman" w:cs="Times New Roman" w:eastAsia="Times New Roman" w:hAnsi="Times New Roman"/>
          <w:sz w:val="18"/>
          <w:szCs w:val="18"/>
          <w:i w:val="1"/>
          <w:iCs w:val="1"/>
          <w:color w:val="auto"/>
        </w:rPr>
        <w:t xml:space="preserve">“could”, “would”, “might” or “will” be taken to occur or be achieved) are not statements of historical fact and may be forward-looking information and </w:t>
      </w:r>
      <w:r>
        <w:rPr>
          <w:rFonts w:ascii="Times New Roman" w:cs="Times New Roman" w:eastAsia="Times New Roman" w:hAnsi="Times New Roman"/>
          <w:sz w:val="18"/>
          <w:szCs w:val="18"/>
          <w:i w:val="1"/>
          <w:iCs w:val="1"/>
          <w:color w:val="auto"/>
          <w:highlight w:val="white"/>
        </w:rPr>
        <w:t>are intended to identify forward-looking information.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highlight w:val="white"/>
        </w:rPr>
        <w:t xml:space="preserve">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construction and operation of the Company’s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the impact of the Restatement on the price of the Company’s common shares, financial condition and results of operations; </w:t>
      </w:r>
      <w:r>
        <w:rPr>
          <w:rFonts w:ascii="Times New Roman" w:cs="Times New Roman" w:eastAsia="Times New Roman" w:hAnsi="Times New Roman"/>
          <w:sz w:val="18"/>
          <w:szCs w:val="18"/>
          <w:i w:val="1"/>
          <w:iCs w:val="1"/>
          <w:color w:val="auto"/>
        </w:rPr>
        <w:t xml:space="preserve">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w:t>
      </w:r>
      <w:r>
        <w:rPr>
          <w:rFonts w:ascii="Times New Roman" w:cs="Times New Roman" w:eastAsia="Times New Roman" w:hAnsi="Times New Roman"/>
          <w:sz w:val="18"/>
          <w:szCs w:val="18"/>
          <w:i w:val="1"/>
          <w:iCs w:val="1"/>
          <w:color w:val="auto"/>
          <w:highlight w:val="white"/>
        </w:rPr>
        <w:t>any regulations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color w:val="auto"/>
          <w:highlight w:val="white"/>
        </w:rPr>
        <w:t>laws that will prevent Bitfarms from operating its business;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MD&amp;A for the year-ended December 31, 2023, filed on March 7,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 (Bitfarms)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tkrumme@bitfarms.com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 (LHA)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Agency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Khushboo Chaudhary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+1 646-373-9946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mediarelations@bitfarms.com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Québec Media: 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1"/>
      <w:numFmt w:val="lowerRoman"/>
      <w:start w:val="1"/>
    </w:lvl>
    <w:lvl w:ilvl="1">
      <w:lvlJc w:val="left"/>
      <w:lvlText w:val="%2."/>
      <w:numFmt w:val="decimal"/>
      <w:start w:val="2"/>
    </w:lvl>
  </w:abstractNum>
  <w:abstractNum w:abstractNumId="2">
    <w:nsid w:val="6763845E"/>
    <w:multiLevelType w:val="hybridMultilevel"/>
    <w:lvl w:ilvl="0">
      <w:lvlJc w:val="left"/>
      <w:lvlText w:val="(%1)"/>
      <w:numFmt w:val="lowerRoman"/>
      <w:start w:val="2"/>
    </w:lvl>
    <w:lvl w:ilvl="1">
      <w:lvlJc w:val="left"/>
      <w:lvlText w:val="%2"/>
      <w:numFmt w:val="decimal"/>
      <w:start w:val="1"/>
    </w:lvl>
  </w:abstractNum>
  <w:abstractNum w:abstractNumId="3">
    <w:nsid w:val="75A2A8D4"/>
    <w:multiLevelType w:val="hybridMultilevel"/>
    <w:lvl w:ilvl="0">
      <w:lvlJc w:val="left"/>
      <w:lvlText w:val="%1."/>
      <w:numFmt w:val="decimal"/>
      <w:start w:val="3"/>
    </w:lvl>
    <w:lvl w:ilvl="1">
      <w:lvlJc w:val="left"/>
      <w:lvlText w:val="(%2)"/>
      <w:numFmt w:val="lowerLetter"/>
      <w:start w:val="1"/>
    </w:lvl>
  </w:abstractNum>
  <w:abstractNum w:abstractNumId="4">
    <w:nsid w:val="8EDBDAB"/>
    <w:multiLevelType w:val="hybridMultilevel"/>
    <w:lvl w:ilvl="0">
      <w:lvlJc w:val="left"/>
      <w:lvlText w:val="(%1)"/>
      <w:numFmt w:val="lowerLetter"/>
      <w:start w:val="2"/>
    </w:lvl>
    <w:lvl w:ilvl="1">
      <w:lvlJc w:val="left"/>
      <w:lvlText w:val="(%2)"/>
      <w:numFmt w:val="lowerRoman"/>
      <w:start w:val="1"/>
    </w:lvl>
  </w:abstractNum>
  <w:abstractNum w:abstractNumId="5">
    <w:nsid w:val="79838CB2"/>
    <w:multiLevelType w:val="hybridMultilevel"/>
    <w:lvl w:ilvl="0">
      <w:lvlJc w:val="left"/>
      <w:lvlText w:val="(%1)"/>
      <w:numFmt w:val="lowerRoman"/>
      <w:start w:val="4"/>
    </w:lvl>
  </w:abstractNum>
  <w:abstractNum w:abstractNumId="6">
    <w:nsid w:val="4353D0CD"/>
    <w:multiLevelType w:val="hybridMultilevel"/>
    <w:lvl w:ilvl="0">
      <w:lvlJc w:val="left"/>
      <w:lvlText w:val="%1"/>
      <w:numFmt w:val="lowerLetter"/>
      <w:start w:val="1"/>
    </w:lvl>
    <w:lvl w:ilvl="1">
      <w:lvlJc w:val="left"/>
      <w:lvlText w:val="(%2)"/>
      <w:numFmt w:val="lowerRoman"/>
      <w:start w:val="8"/>
    </w:lvl>
  </w:abstractNum>
  <w:abstractNum w:abstractNumId="7">
    <w:nsid w:val="B03E0C6"/>
    <w:multiLevelType w:val="hybridMultilevel"/>
    <w:lvl w:ilvl="0">
      <w:lvlJc w:val="left"/>
      <w:lvlText w:val="(%1)"/>
      <w:numFmt w:val="lowerLetter"/>
      <w:start w:val="3"/>
    </w:lvl>
    <w:lvl w:ilvl="1">
      <w:lvlJc w:val="left"/>
      <w:lvlText w:val="%2"/>
      <w:numFmt w:val="lowerRoman"/>
      <w:start w:val="1"/>
    </w:lvl>
  </w:abstractNum>
  <w:abstractNum w:abstractNumId="8">
    <w:nsid w:val="189A769B"/>
    <w:multiLevelType w:val="hybridMultilevel"/>
    <w:lvl w:ilvl="0">
      <w:lvlJc w:val="left"/>
      <w:lvlText w:val="(%1)"/>
      <w:numFmt w:val="lowerLetter"/>
      <w:start w:val="5"/>
    </w:lvl>
  </w:abstractNum>
  <w:abstractNum w:abstractNumId="9">
    <w:nsid w:val="54E49EB4"/>
    <w:multiLevelType w:val="hybridMultilevel"/>
    <w:lvl w:ilvl="0">
      <w:lvlJc w:val="left"/>
      <w:lvlText w:val="%1."/>
      <w:numFmt w:val="decimal"/>
      <w:start w:val="4"/>
    </w:lvl>
    <w:lvl w:ilvl="1">
      <w:lvlJc w:val="left"/>
      <w:lvlText w:val="(%2)"/>
      <w:numFmt w:val="lowerLetter"/>
      <w:start w:val="1"/>
    </w:lvl>
  </w:abstractNum>
  <w:abstractNum w:abstractNumId="10">
    <w:nsid w:val="71F32454"/>
    <w:multiLevelType w:val="hybridMultilevel"/>
    <w:lvl w:ilvl="0">
      <w:lvlJc w:val="left"/>
      <w:lvlText w:val="(%1)"/>
      <w:numFmt w:val="lowerLetter"/>
      <w:start w:val="3"/>
    </w:lvl>
  </w:abstractNum>
  <w:abstractNum w:abstractNumId="11">
    <w:nsid w:val="2CA88611"/>
    <w:multiLevelType w:val="hybridMultilevel"/>
    <w:lvl w:ilvl="0">
      <w:lvlJc w:val="left"/>
      <w:lvlText w:val="(%1)"/>
      <w:numFmt w:val="lowerLetter"/>
      <w:start w:val="5"/>
    </w:lvl>
  </w:abstractNum>
  <w:abstractNum w:abstractNumId="12">
    <w:nsid w:val="836C40E"/>
    <w:multiLevelType w:val="hybridMultilevel"/>
    <w:lvl w:ilvl="0">
      <w:lvlJc w:val="left"/>
      <w:lvlText w:val="(%1)"/>
      <w:numFmt w:val="lowerLetter"/>
      <w:start w:val="7"/>
    </w:lvl>
  </w:abstractNum>
  <w:abstractNum w:abstractNumId="13">
    <w:nsid w:val="2901D82"/>
    <w:multiLevelType w:val="hybridMultilevel"/>
    <w:lvl w:ilvl="0">
      <w:lvlJc w:val="left"/>
      <w:lvlText w:val="(%1)"/>
      <w:numFmt w:val="lowerRoman"/>
      <w:start w:val="1"/>
    </w:lvl>
  </w:abstractNum>
  <w:abstractNum w:abstractNumId="14">
    <w:nsid w:val="3A95F874"/>
    <w:multiLevelType w:val="hybridMultilevel"/>
    <w:lvl w:ilvl="0">
      <w:lvlJc w:val="left"/>
      <w:lvlText w:val="(%1)"/>
      <w:numFmt w:val="lowerLetter"/>
      <w:start w:val="10"/>
    </w:lvl>
  </w:abstractNum>
  <w:abstractNum w:abstractNumId="15">
    <w:nsid w:val="8138641"/>
    <w:multiLevelType w:val="hybridMultilevel"/>
    <w:lvl w:ilvl="0">
      <w:lvlJc w:val="left"/>
      <w:lvlText w:val="(%1)"/>
      <w:numFmt w:val="lowerLetter"/>
      <w:start w:val="13"/>
    </w:lvl>
  </w:abstractNum>
  <w:abstractNum w:abstractNumId="16">
    <w:nsid w:val="1E7FF521"/>
    <w:multiLevelType w:val="hybridMultilevel"/>
    <w:lvl w:ilvl="0">
      <w:lvlJc w:val="left"/>
      <w:lvlText w:val="(%1)"/>
      <w:numFmt w:val="lowerLetter"/>
      <w:start w:val="16"/>
    </w:lvl>
  </w:abstractNum>
  <w:abstractNum w:abstractNumId="17">
    <w:nsid w:val="7C3DBD3D"/>
    <w:multiLevelType w:val="hybridMultilevel"/>
    <w:lvl w:ilvl="0">
      <w:lvlJc w:val="left"/>
      <w:lvlText w:val="(%1)"/>
      <w:numFmt w:val="lowerLetter"/>
      <w:start w:val="20"/>
    </w:lvl>
  </w:abstractNum>
  <w:abstractNum w:abstractNumId="18">
    <w:nsid w:val="737B8DDC"/>
    <w:multiLevelType w:val="hybridMultilevel"/>
    <w:lvl w:ilvl="0">
      <w:lvlJc w:val="left"/>
      <w:lvlText w:val="(%1)"/>
      <w:numFmt w:val="lowerLetter"/>
      <w:start w:val="22"/>
    </w:lvl>
  </w:abstractNum>
  <w:abstractNum w:abstractNumId="19">
    <w:nsid w:val="6CEAF087"/>
    <w:multiLevelType w:val="hybridMultilevel"/>
    <w:lvl w:ilvl="0">
      <w:lvlJc w:val="left"/>
      <w:lvlText w:val="(%1)"/>
      <w:numFmt w:val="lowerLetter"/>
      <w:start w:val="25"/>
    </w:lvl>
  </w:abstractNum>
  <w:abstractNum w:abstractNumId="20">
    <w:nsid w:val="22221A70"/>
    <w:multiLevelType w:val="hybridMultilevel"/>
    <w:lvl w:ilvl="0">
      <w:lvlJc w:val="left"/>
      <w:lvlText w:val="(%1)"/>
      <w:numFmt w:val="lowerLetter"/>
      <w:start w:val="27"/>
    </w:lvl>
  </w:abstractNum>
  <w:abstractNum w:abstractNumId="21">
    <w:nsid w:val="4516DDE9"/>
    <w:multiLevelType w:val="hybridMultilevel"/>
    <w:lvl w:ilvl="0">
      <w:lvlJc w:val="left"/>
      <w:lvlText w:val="(%1)"/>
      <w:numFmt w:val="lowerLetter"/>
      <w:start w:val="28"/>
    </w:lvl>
  </w:abstractNum>
  <w:abstractNum w:abstractNumId="22">
    <w:nsid w:val="3006C83E"/>
    <w:multiLevelType w:val="hybridMultilevel"/>
    <w:lvl w:ilvl="0">
      <w:lvlJc w:val="left"/>
      <w:lvlText w:val="(%1)"/>
      <w:numFmt w:val="lowerLetter"/>
      <w:start w:val="34"/>
    </w:lvl>
  </w:abstractNum>
  <w:abstractNum w:abstractNumId="23">
    <w:nsid w:val="614FD4A1"/>
    <w:multiLevelType w:val="hybridMultilevel"/>
    <w:lvl w:ilvl="0">
      <w:lvlJc w:val="left"/>
      <w:lvlText w:val="%1."/>
      <w:numFmt w:val="decimal"/>
      <w:start w:val="5"/>
    </w:lvl>
    <w:lvl w:ilvl="1">
      <w:lvlJc w:val="left"/>
      <w:lvlText w:val="(%2)"/>
      <w:numFmt w:val="lowerLetter"/>
      <w:start w:val="1"/>
    </w:lvl>
  </w:abstractNum>
  <w:abstractNum w:abstractNumId="24">
    <w:nsid w:val="419AC241"/>
    <w:multiLevelType w:val="hybridMultilevel"/>
    <w:lvl w:ilvl="0">
      <w:lvlJc w:val="left"/>
      <w:lvlText w:val="%1"/>
      <w:numFmt w:val="lowerRoman"/>
      <w:start w:val="1"/>
    </w:lvl>
    <w:lvl w:ilvl="1">
      <w:lvlJc w:val="left"/>
      <w:lvlText w:val="(%2)"/>
      <w:numFmt w:val="lowerLetter"/>
      <w:start w:val="3"/>
    </w:lvl>
  </w:abstractNum>
  <w:abstractNum w:abstractNumId="25">
    <w:nsid w:val="5577F8E1"/>
    <w:multiLevelType w:val="hybridMultilevel"/>
    <w:lvl w:ilvl="0">
      <w:lvlJc w:val="left"/>
      <w:lvlText w:val="(%1)"/>
      <w:numFmt w:val="lowerRoman"/>
      <w:start w:val="4"/>
    </w:lvl>
    <w:lvl w:ilvl="1">
      <w:lvlJc w:val="left"/>
      <w:lvlText w:val="(%2)"/>
      <w:numFmt w:val="lowerLetter"/>
      <w:start w:val="4"/>
    </w:lvl>
  </w:abstractNum>
  <w:abstractNum w:abstractNumId="26">
    <w:nsid w:val="440BADFC"/>
    <w:multiLevelType w:val="hybridMultilevel"/>
    <w:lvl w:ilvl="0">
      <w:lvlJc w:val="left"/>
      <w:lvlText w:val="(%1)"/>
      <w:numFmt w:val="lowerLetter"/>
      <w:start w:val="6"/>
    </w:lvl>
  </w:abstractNum>
  <w:abstractNum w:abstractNumId="27">
    <w:nsid w:val="5072367"/>
    <w:multiLevelType w:val="hybridMultilevel"/>
    <w:lvl w:ilvl="0">
      <w:lvlJc w:val="left"/>
      <w:lvlText w:val="(%1)"/>
      <w:numFmt w:val="lowerLetter"/>
      <w:start w:val="9"/>
    </w:lvl>
  </w:abstractNum>
  <w:abstractNum w:abstractNumId="28">
    <w:nsid w:val="3804823E"/>
    <w:multiLevelType w:val="hybridMultilevel"/>
    <w:lvl w:ilvl="0">
      <w:lvlJc w:val="left"/>
      <w:lvlText w:val="(%1)"/>
      <w:numFmt w:val="lowerLetter"/>
      <w:start w:val="12"/>
    </w:lvl>
  </w:abstractNum>
  <w:abstractNum w:abstractNumId="29">
    <w:nsid w:val="77465F01"/>
    <w:multiLevelType w:val="hybridMultilevel"/>
    <w:lvl w:ilvl="0">
      <w:lvlJc w:val="left"/>
      <w:lvlText w:val="(%1)"/>
      <w:numFmt w:val="lowerLetter"/>
      <w:start w:val="13"/>
    </w:lvl>
  </w:abstractNum>
  <w:abstractNum w:abstractNumId="30">
    <w:nsid w:val="7724C67E"/>
    <w:multiLevelType w:val="hybridMultilevel"/>
    <w:lvl w:ilvl="0">
      <w:lvlJc w:val="left"/>
      <w:lvlText w:val="(%1)"/>
      <w:numFmt w:val="lowerLetter"/>
      <w:start w:val="15"/>
    </w:lvl>
  </w:abstractNum>
  <w:abstractNum w:abstractNumId="31">
    <w:nsid w:val="5C482A97"/>
    <w:multiLevelType w:val="hybridMultilevel"/>
    <w:lvl w:ilvl="0">
      <w:lvlJc w:val="left"/>
      <w:lvlText w:val="(%1)"/>
      <w:numFmt w:val="lowerLetter"/>
      <w:start w:val="20"/>
    </w:lvl>
  </w:abstractNum>
  <w:abstractNum w:abstractNumId="32">
    <w:nsid w:val="2463B9EA"/>
    <w:multiLevelType w:val="hybridMultilevel"/>
    <w:lvl w:ilvl="0">
      <w:lvlJc w:val="left"/>
      <w:lvlText w:val="%1."/>
      <w:numFmt w:val="decimal"/>
      <w:start w:val="6"/>
    </w:lvl>
    <w:lvl w:ilvl="1">
      <w:lvlJc w:val="left"/>
      <w:lvlText w:val="(%2)"/>
      <w:numFmt w:val="lowerLetter"/>
      <w:start w:val="1"/>
    </w:lvl>
  </w:abstractNum>
  <w:abstractNum w:abstractNumId="33">
    <w:nsid w:val="5E884ADC"/>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4">
    <w:nsid w:val="51EAD36B"/>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35">
    <w:nsid w:val="2D517796"/>
    <w:multiLevelType w:val="hybridMultilevel"/>
    <w:lvl w:ilvl="0">
      <w:lvlJc w:val="left"/>
      <w:lvlText w:val="(%1)"/>
      <w:numFmt w:val="lowerLetter"/>
      <w:start w:val="4"/>
    </w:lvl>
  </w:abstractNum>
  <w:abstractNum w:abstractNumId="36">
    <w:nsid w:val="580BD78F"/>
    <w:multiLevelType w:val="hybridMultilevel"/>
    <w:lvl w:ilvl="0">
      <w:lvlJc w:val="left"/>
      <w:lvlText w:val="%1."/>
      <w:numFmt w:val="decimal"/>
      <w:start w:val="8"/>
    </w:lvl>
    <w:lvl w:ilvl="1">
      <w:lvlJc w:val="left"/>
      <w:lvlText w:val="(%2)"/>
      <w:numFmt w:val="lowerLetter"/>
      <w:start w:val="1"/>
    </w:lvl>
  </w:abstractNum>
  <w:abstractNum w:abstractNumId="37">
    <w:nsid w:val="153EA438"/>
    <w:multiLevelType w:val="hybridMultilevel"/>
    <w:lvl w:ilvl="0">
      <w:lvlJc w:val="left"/>
      <w:lvlText w:val="%1"/>
      <w:numFmt w:val="lowerLetter"/>
      <w:start w:val="1"/>
    </w:lvl>
    <w:lvl w:ilvl="1">
      <w:lvlJc w:val="left"/>
      <w:lvlText w:val="(%2)"/>
      <w:numFmt w:val="lowerLetter"/>
      <w:start w:val="2"/>
    </w:lvl>
  </w:abstractNum>
  <w:abstractNum w:abstractNumId="38">
    <w:nsid w:val="3855585C"/>
    <w:multiLevelType w:val="hybridMultilevel"/>
    <w:lvl w:ilvl="0">
      <w:lvlJc w:val="left"/>
      <w:lvlText w:val="(%1)"/>
      <w:numFmt w:val="lowerLetter"/>
      <w:start w:val="4"/>
    </w:lvl>
    <w:lvl w:ilvl="1">
      <w:lvlJc w:val="left"/>
      <w:lvlText w:val="%2"/>
      <w:numFmt w:val="lowerLetter"/>
      <w:start w:val="1"/>
    </w:lvl>
  </w:abstractNum>
  <w:abstractNum w:abstractNumId="39">
    <w:nsid w:val="70A64E2A"/>
    <w:multiLevelType w:val="hybridMultilevel"/>
    <w:lvl w:ilvl="0">
      <w:lvlJc w:val="left"/>
      <w:lvlText w:val="(%1)"/>
      <w:numFmt w:val="lowerLetter"/>
      <w:start w:val="4"/>
    </w:lvl>
  </w:abstractNum>
  <w:abstractNum w:abstractNumId="40">
    <w:nsid w:val="6A2342EC"/>
    <w:multiLevelType w:val="hybridMultilevel"/>
    <w:lvl w:ilvl="0">
      <w:lvlJc w:val="left"/>
      <w:lvlText w:val="%1."/>
      <w:numFmt w:val="decimal"/>
      <w:start w:val="9"/>
    </w:lvl>
    <w:lvl w:ilvl="1">
      <w:lvlJc w:val="left"/>
      <w:lvlText w:val="(%2)"/>
      <w:numFmt w:val="lowerLetter"/>
      <w:start w:val="1"/>
    </w:lvl>
  </w:abstractNum>
  <w:abstractNum w:abstractNumId="41">
    <w:nsid w:val="2A487CB0"/>
    <w:multiLevelType w:val="hybridMultilevel"/>
    <w:lvl w:ilvl="0">
      <w:lvlJc w:val="left"/>
      <w:lvlText w:val="%1"/>
      <w:numFmt w:val="lowerLetter"/>
      <w:start w:val="1"/>
    </w:lvl>
    <w:lvl w:ilvl="1">
      <w:lvlJc w:val="left"/>
      <w:lvlText w:val="%2."/>
      <w:numFmt w:val="decimal"/>
      <w:start w:val="11"/>
    </w:lvl>
  </w:abstractNum>
  <w:abstractNum w:abstractNumId="42">
    <w:nsid w:val="1D4ED43B"/>
    <w:multiLevelType w:val="hybridMultilevel"/>
    <w:lvl w:ilvl="0">
      <w:lvlJc w:val="left"/>
      <w:lvlText w:val="(%1)"/>
      <w:numFmt w:val="lowerLetter"/>
      <w:start w:val="3"/>
    </w:lvl>
    <w:lvl w:ilvl="1">
      <w:lvlJc w:val="left"/>
      <w:lvlText w:val="%2."/>
      <w:numFmt w:val="decimal"/>
      <w:start w:val="14"/>
    </w:lvl>
  </w:abstractNum>
  <w:abstractNum w:abstractNumId="43">
    <w:nsid w:val="725A06FB"/>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jpe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18" Type="http://schemas.openxmlformats.org/officeDocument/2006/relationships/hyperlink" Target="http://www.sec.gov/Archives/edgar/data/1812477/000121390024021080/ea0201346-f10a4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2024-03-11T05:11:54Z</dcterms:created>
  <dcterms:modified xsi:type="dcterms:W3CDTF">2024-03-11T05:11:54Z</dcterms:modified>
</cp:coreProperties>
</file>