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 the month of December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797560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December 9, 2024, the Registrant filed with the Canadian Securities Regulatory Authorities on the System for Electronic Data Analysis and Retrieval + (SEDAR +) a press release, a copy of which is attached hereto as Exhibit 99.1, which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December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168275</wp:posOffset>
            </wp:positionV>
            <wp:extent cx="203136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Announces Restatement of Previously Issued Financial Statements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amended and restated prospectus supplement dated October 4, 2024, to its short form base shelf prospectus dated November 10, 2023.</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(December 9, 2024) </w:t>
      </w:r>
      <w:r>
        <w:rPr>
          <w:rFonts w:ascii="Times New Roman" w:cs="Times New Roman" w:eastAsia="Times New Roman" w:hAnsi="Times New Roman"/>
          <w:sz w:val="18"/>
          <w:szCs w:val="18"/>
          <w:color w:val="auto"/>
        </w:rPr>
        <w:t>- Bitfarms Ltd. (Nasdaq/TSX: BITF) (“</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global vertically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integrated Bitcoin data center company, today announced that, in connection with the Securities and Exchange Commission’s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review of its annual report for the fiscal year ended December 31, 2023 (the “</w:t>
      </w:r>
      <w:r>
        <w:rPr>
          <w:rFonts w:ascii="Times New Roman" w:cs="Times New Roman" w:eastAsia="Times New Roman" w:hAnsi="Times New Roman"/>
          <w:sz w:val="18"/>
          <w:szCs w:val="18"/>
          <w:b w:val="1"/>
          <w:bCs w:val="1"/>
          <w:color w:val="auto"/>
        </w:rPr>
        <w:t>SEC Review</w:t>
      </w:r>
      <w:r>
        <w:rPr>
          <w:rFonts w:ascii="Times New Roman" w:cs="Times New Roman" w:eastAsia="Times New Roman" w:hAnsi="Times New Roman"/>
          <w:sz w:val="18"/>
          <w:szCs w:val="18"/>
          <w:color w:val="auto"/>
        </w:rPr>
        <w:t>”), and in consultation with its Audit Committee of the Board of Directors and management, the Company has determined that its previously issued consolidated financial statements for the fiscal years ended December 31, 2023 and 2022 and the related management’s discussion and analysis for the year ended December 31, 2023, as well as the unaudited interim condensed consolidated financial statements for the three and nine months ended September 30, 2024 and 2023 (such interim periods together with the fiscal years ended December 31, 2023 and 2022, the “</w:t>
      </w:r>
      <w:r>
        <w:rPr>
          <w:rFonts w:ascii="Times New Roman" w:cs="Times New Roman" w:eastAsia="Times New Roman" w:hAnsi="Times New Roman"/>
          <w:sz w:val="18"/>
          <w:szCs w:val="18"/>
          <w:b w:val="1"/>
          <w:bCs w:val="1"/>
          <w:color w:val="auto"/>
        </w:rPr>
        <w:t>Restatement Periods</w:t>
      </w:r>
      <w:r>
        <w:rPr>
          <w:rFonts w:ascii="Times New Roman" w:cs="Times New Roman" w:eastAsia="Times New Roman" w:hAnsi="Times New Roman"/>
          <w:sz w:val="18"/>
          <w:szCs w:val="18"/>
          <w:color w:val="auto"/>
        </w:rPr>
        <w:t>”) and the related management’s discussion and analysis for the three and nine months ended September 30, 2024, should be restated to correct a material error in the classification of proceeds derived from the sale of digital assets.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and users of Bitfarms’ financial statements should note that the restatements are not a result of any change to its operations, business or financial operating performance for the periods being restated. For any and all of the Restatement Periods, there is no impact on the Company’s overall cash position or net cash flows.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Bitfarms previously categorized proceeds derived from the sale of digital assets as a cash flow from operating activities. In conjunction with the SEC review, it was determined that proceeds from the sale of digital assets should be classified as cash flow from investing activities. Due to the materiality of the error in classification, the Company is restating the financial statements for the Restatement Periods. In addition to the correction to the consolidated statements of cash flows, the Company is also restating its financials to adjust for an error in the accounting for the redemption of warrants in 2023.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summary of the restatements is described in further detail in the tables set forth below (expressed in thousands of U.S. dollars). More details may be found in the revised financial statements and related revised management’s discussion and analyses, which are available on the Company’s profile on SEDAR+ at www.sedarplus.ca and on EDGAR at www.sec.gov/edgar.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222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Adjustments to consolidated statements of cash flows for the year ended December 31, 2022* - Restatement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0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Cash flow</w:t>
            </w:r>
          </w:p>
        </w:tc>
        <w:tc>
          <w:tcPr>
            <w:tcW w:w="1620" w:type="dxa"/>
            <w:vAlign w:val="bottom"/>
            <w:gridSpan w:val="4"/>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 (as restated)</w:t>
            </w:r>
          </w:p>
        </w:tc>
        <w:tc>
          <w:tcPr>
            <w:tcW w:w="0" w:type="dxa"/>
            <w:vAlign w:val="bottom"/>
          </w:tcPr>
          <w:p>
            <w:pPr>
              <w:spacing w:after="0"/>
              <w:rPr>
                <w:sz w:val="1"/>
                <w:szCs w:val="1"/>
                <w:color w:val="auto"/>
              </w:rPr>
            </w:pPr>
          </w:p>
        </w:tc>
      </w:tr>
      <w:tr>
        <w:trPr>
          <w:trHeight w:val="234"/>
        </w:trPr>
        <w:tc>
          <w:tcPr>
            <w:tcW w:w="508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2022 (as reported)   reclassification</w:t>
            </w:r>
          </w:p>
        </w:tc>
        <w:tc>
          <w:tcPr>
            <w:tcW w:w="1620" w:type="dxa"/>
            <w:vAlign w:val="bottom"/>
            <w:tcBorders>
              <w:bottom w:val="single" w:sz="8" w:color="auto"/>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operating activities</w:t>
            </w:r>
          </w:p>
        </w:tc>
        <w:tc>
          <w:tcPr>
            <w:tcW w:w="2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(175,644)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(175,644)</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2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50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digital assets earned</w:t>
            </w:r>
          </w:p>
        </w:tc>
        <w:tc>
          <w:tcPr>
            <w:tcW w:w="2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158,674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(158,674)</w:t>
            </w:r>
          </w:p>
        </w:tc>
        <w:tc>
          <w:tcPr>
            <w:tcW w:w="6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right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operating activities</w:t>
            </w:r>
          </w:p>
        </w:tc>
        <w:tc>
          <w:tcPr>
            <w:tcW w:w="2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36,250</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(158,674)</w:t>
            </w:r>
          </w:p>
        </w:tc>
        <w:tc>
          <w:tcPr>
            <w:tcW w:w="6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(122,424)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investing activities</w:t>
            </w:r>
          </w:p>
        </w:tc>
        <w:tc>
          <w:tcPr>
            <w:tcW w:w="2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digital assets earned</w:t>
            </w:r>
          </w:p>
        </w:tc>
        <w:tc>
          <w:tcPr>
            <w:tcW w:w="2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158,674</w:t>
            </w:r>
          </w:p>
        </w:tc>
        <w:tc>
          <w:tcPr>
            <w:tcW w:w="6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158,674</w:t>
            </w:r>
          </w:p>
        </w:tc>
        <w:tc>
          <w:tcPr>
            <w:tcW w:w="0" w:type="dxa"/>
            <w:vAlign w:val="bottom"/>
          </w:tcPr>
          <w:p>
            <w:pPr>
              <w:spacing w:after="0"/>
              <w:rPr>
                <w:sz w:val="1"/>
                <w:szCs w:val="1"/>
                <w:color w:val="auto"/>
              </w:rPr>
            </w:pPr>
          </w:p>
        </w:tc>
      </w:tr>
      <w:tr>
        <w:trPr>
          <w:trHeight w:val="243"/>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investing activities</w:t>
            </w:r>
          </w:p>
        </w:tc>
        <w:tc>
          <w:tcPr>
            <w:tcW w:w="2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(155,011)</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158,674</w:t>
            </w:r>
          </w:p>
        </w:tc>
        <w:tc>
          <w:tcPr>
            <w:tcW w:w="6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3,663</w:t>
            </w:r>
          </w:p>
        </w:tc>
        <w:tc>
          <w:tcPr>
            <w:tcW w:w="0" w:type="dxa"/>
            <w:vAlign w:val="bottom"/>
          </w:tcPr>
          <w:p>
            <w:pPr>
              <w:spacing w:after="0"/>
              <w:rPr>
                <w:sz w:val="1"/>
                <w:szCs w:val="1"/>
                <w:color w:val="auto"/>
              </w:rPr>
            </w:pPr>
          </w:p>
        </w:tc>
      </w:tr>
      <w:tr>
        <w:trPr>
          <w:trHeight w:val="432"/>
        </w:trPr>
        <w:tc>
          <w:tcPr>
            <w:tcW w:w="8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Adjustments to consolidated statements of cash flows for the year ended December 31, 2023* - Restatement</w:t>
            </w: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080" w:type="dxa"/>
            <w:vAlign w:val="bottom"/>
          </w:tcPr>
          <w:p>
            <w:pPr>
              <w:spacing w:after="0"/>
              <w:rPr>
                <w:sz w:val="16"/>
                <w:szCs w:val="16"/>
                <w:color w:val="auto"/>
              </w:rPr>
            </w:pPr>
          </w:p>
        </w:tc>
        <w:tc>
          <w:tcPr>
            <w:tcW w:w="220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2023 (as</w:t>
            </w:r>
          </w:p>
        </w:tc>
        <w:tc>
          <w:tcPr>
            <w:tcW w:w="12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Cash flow</w:t>
            </w:r>
          </w:p>
        </w:tc>
        <w:tc>
          <w:tcPr>
            <w:tcW w:w="1660" w:type="dxa"/>
            <w:vAlign w:val="bottom"/>
            <w:gridSpan w:val="2"/>
          </w:tcPr>
          <w:p>
            <w:pPr>
              <w:jc w:val="right"/>
              <w:ind w:right="330"/>
              <w:spacing w:after="0" w:line="188" w:lineRule="exact"/>
              <w:rPr>
                <w:sz w:val="20"/>
                <w:szCs w:val="20"/>
                <w:color w:val="auto"/>
              </w:rPr>
            </w:pPr>
            <w:r>
              <w:rPr>
                <w:rFonts w:ascii="Times New Roman" w:cs="Times New Roman" w:eastAsia="Times New Roman" w:hAnsi="Times New Roman"/>
                <w:sz w:val="18"/>
                <w:szCs w:val="18"/>
                <w:color w:val="auto"/>
              </w:rPr>
              <w:t>2023 warrants</w:t>
            </w:r>
          </w:p>
        </w:tc>
        <w:tc>
          <w:tcPr>
            <w:tcW w:w="1020" w:type="dxa"/>
            <w:vAlign w:val="bottom"/>
            <w:gridSpan w:val="3"/>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2023 (as</w:t>
            </w:r>
          </w:p>
        </w:tc>
        <w:tc>
          <w:tcPr>
            <w:tcW w:w="0" w:type="dxa"/>
            <w:vAlign w:val="bottom"/>
          </w:tcPr>
          <w:p>
            <w:pPr>
              <w:spacing w:after="0"/>
              <w:rPr>
                <w:sz w:val="1"/>
                <w:szCs w:val="1"/>
                <w:color w:val="auto"/>
              </w:rPr>
            </w:pPr>
          </w:p>
        </w:tc>
      </w:tr>
      <w:tr>
        <w:trPr>
          <w:trHeight w:val="238"/>
        </w:trPr>
        <w:tc>
          <w:tcPr>
            <w:tcW w:w="50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reported)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reclassification</w:t>
            </w:r>
          </w:p>
        </w:tc>
        <w:tc>
          <w:tcPr>
            <w:tcW w:w="166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adjustment</w:t>
            </w:r>
          </w:p>
        </w:tc>
        <w:tc>
          <w:tcPr>
            <w:tcW w:w="10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0" w:type="dxa"/>
            <w:vAlign w:val="bottom"/>
          </w:tcPr>
          <w:p>
            <w:pPr>
              <w:spacing w:after="0"/>
              <w:rPr>
                <w:sz w:val="1"/>
                <w:szCs w:val="1"/>
                <w:color w:val="auto"/>
              </w:rPr>
            </w:pPr>
          </w:p>
        </w:tc>
      </w:tr>
      <w:tr>
        <w:trPr>
          <w:trHeight w:val="425"/>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operating activities</w:t>
            </w:r>
          </w:p>
        </w:tc>
        <w:tc>
          <w:tcPr>
            <w:tcW w:w="2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(104,036)</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(4,886)</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(108,922)</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2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financial expenses</w:t>
            </w:r>
          </w:p>
        </w:tc>
        <w:tc>
          <w:tcPr>
            <w:tcW w:w="2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32,308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4,886</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37,194</w:t>
            </w:r>
          </w:p>
        </w:tc>
        <w:tc>
          <w:tcPr>
            <w:tcW w:w="0" w:type="dxa"/>
            <w:vAlign w:val="bottom"/>
          </w:tcPr>
          <w:p>
            <w:pPr>
              <w:spacing w:after="0"/>
              <w:rPr>
                <w:sz w:val="1"/>
                <w:szCs w:val="1"/>
                <w:color w:val="auto"/>
              </w:rPr>
            </w:pPr>
          </w:p>
        </w:tc>
      </w:tr>
      <w:tr>
        <w:trPr>
          <w:trHeight w:val="243"/>
        </w:trPr>
        <w:tc>
          <w:tcPr>
            <w:tcW w:w="5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Proceeds from sale of digital assets earned</w:t>
            </w:r>
          </w:p>
        </w:tc>
        <w:tc>
          <w:tcPr>
            <w:tcW w:w="2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129,309</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(129,309)</w:t>
            </w:r>
          </w:p>
        </w:tc>
        <w:tc>
          <w:tcPr>
            <w:tcW w:w="10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4"/>
        </w:trPr>
        <w:tc>
          <w:tcPr>
            <w:tcW w:w="5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operating activities</w:t>
            </w:r>
          </w:p>
        </w:tc>
        <w:tc>
          <w:tcPr>
            <w:tcW w:w="2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23,598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(129,309)</w:t>
            </w:r>
          </w:p>
        </w:tc>
        <w:tc>
          <w:tcPr>
            <w:tcW w:w="10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(105,711)</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investing activities</w:t>
            </w:r>
          </w:p>
        </w:tc>
        <w:tc>
          <w:tcPr>
            <w:tcW w:w="2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Proceeds from sale of digital assets earned</w:t>
            </w:r>
          </w:p>
        </w:tc>
        <w:tc>
          <w:tcPr>
            <w:tcW w:w="2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129,309</w:t>
            </w:r>
          </w:p>
        </w:tc>
        <w:tc>
          <w:tcPr>
            <w:tcW w:w="10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129,309</w:t>
            </w:r>
          </w:p>
        </w:tc>
        <w:tc>
          <w:tcPr>
            <w:tcW w:w="0" w:type="dxa"/>
            <w:vAlign w:val="bottom"/>
          </w:tcPr>
          <w:p>
            <w:pPr>
              <w:spacing w:after="0"/>
              <w:rPr>
                <w:sz w:val="1"/>
                <w:szCs w:val="1"/>
                <w:color w:val="auto"/>
              </w:rPr>
            </w:pPr>
          </w:p>
        </w:tc>
      </w:tr>
      <w:tr>
        <w:trPr>
          <w:trHeight w:val="244"/>
        </w:trPr>
        <w:tc>
          <w:tcPr>
            <w:tcW w:w="5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investing activities</w:t>
            </w:r>
          </w:p>
        </w:tc>
        <w:tc>
          <w:tcPr>
            <w:tcW w:w="2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(58,343)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129,309</w:t>
            </w:r>
          </w:p>
        </w:tc>
        <w:tc>
          <w:tcPr>
            <w:tcW w:w="10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70,966</w:t>
            </w:r>
          </w:p>
        </w:tc>
        <w:tc>
          <w:tcPr>
            <w:tcW w:w="0" w:type="dxa"/>
            <w:vAlign w:val="bottom"/>
          </w:tcPr>
          <w:p>
            <w:pPr>
              <w:spacing w:after="0"/>
              <w:rPr>
                <w:sz w:val="1"/>
                <w:szCs w:val="1"/>
                <w:color w:val="auto"/>
              </w:rPr>
            </w:pPr>
          </w:p>
        </w:tc>
      </w:tr>
      <w:tr>
        <w:trPr>
          <w:trHeight w:val="432"/>
        </w:trPr>
        <w:tc>
          <w:tcPr>
            <w:tcW w:w="8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consolidated statements of financial position as of December 31, 2023* - Restatement</w:t>
            </w: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As of December 31,</w:t>
            </w:r>
          </w:p>
        </w:tc>
        <w:tc>
          <w:tcPr>
            <w:tcW w:w="268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Adjustment   </w:t>
            </w: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191"/>
        </w:trPr>
        <w:tc>
          <w:tcPr>
            <w:tcW w:w="50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340" w:type="dxa"/>
            <w:vAlign w:val="bottom"/>
            <w:gridSpan w:val="2"/>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2023 warrants</w:t>
            </w:r>
          </w:p>
        </w:tc>
        <w:tc>
          <w:tcPr>
            <w:tcW w:w="1620" w:type="dxa"/>
            <w:vAlign w:val="bottom"/>
            <w:gridSpan w:val="4"/>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 (as restated)</w:t>
            </w:r>
          </w:p>
        </w:tc>
        <w:tc>
          <w:tcPr>
            <w:tcW w:w="0" w:type="dxa"/>
            <w:vAlign w:val="bottom"/>
          </w:tcPr>
          <w:p>
            <w:pPr>
              <w:spacing w:after="0"/>
              <w:rPr>
                <w:sz w:val="1"/>
                <w:szCs w:val="1"/>
                <w:color w:val="auto"/>
              </w:rPr>
            </w:pPr>
          </w:p>
        </w:tc>
      </w:tr>
      <w:tr>
        <w:trPr>
          <w:trHeight w:val="234"/>
        </w:trPr>
        <w:tc>
          <w:tcPr>
            <w:tcW w:w="508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2023 (as reported)</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adjustment</w:t>
            </w:r>
          </w:p>
        </w:tc>
        <w:tc>
          <w:tcPr>
            <w:tcW w:w="1620" w:type="dxa"/>
            <w:vAlign w:val="bottom"/>
            <w:tcBorders>
              <w:bottom w:val="single" w:sz="8" w:color="auto"/>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530,123</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4,886</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535,009</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Contributed surplus</w:t>
            </w:r>
          </w:p>
        </w:tc>
        <w:tc>
          <w:tcPr>
            <w:tcW w:w="2200" w:type="dxa"/>
            <w:vAlign w:val="bottom"/>
          </w:tcPr>
          <w:p>
            <w:pPr>
              <w:spacing w:after="0"/>
              <w:rPr>
                <w:sz w:val="18"/>
                <w:szCs w:val="18"/>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56,622</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56,622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Revaluation surplus</w:t>
            </w:r>
          </w:p>
        </w:tc>
        <w:tc>
          <w:tcPr>
            <w:tcW w:w="2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2,941</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2,941</w:t>
            </w:r>
          </w:p>
        </w:tc>
        <w:tc>
          <w:tcPr>
            <w:tcW w:w="0" w:type="dxa"/>
            <w:vAlign w:val="bottom"/>
          </w:tcPr>
          <w:p>
            <w:pPr>
              <w:spacing w:after="0"/>
              <w:rPr>
                <w:sz w:val="1"/>
                <w:szCs w:val="1"/>
                <w:color w:val="auto"/>
              </w:rPr>
            </w:pPr>
          </w:p>
        </w:tc>
      </w:tr>
      <w:tr>
        <w:trPr>
          <w:trHeight w:val="243"/>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(294,924)</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(4,886)</w:t>
            </w:r>
          </w:p>
        </w:tc>
        <w:tc>
          <w:tcPr>
            <w:tcW w:w="6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(299,810)</w:t>
            </w:r>
          </w:p>
        </w:tc>
        <w:tc>
          <w:tcPr>
            <w:tcW w:w="0" w:type="dxa"/>
            <w:vAlign w:val="bottom"/>
          </w:tcPr>
          <w:p>
            <w:pPr>
              <w:spacing w:after="0"/>
              <w:rPr>
                <w:sz w:val="1"/>
                <w:szCs w:val="1"/>
                <w:color w:val="auto"/>
              </w:rPr>
            </w:pPr>
          </w:p>
        </w:tc>
      </w:tr>
      <w:tr>
        <w:trPr>
          <w:trHeight w:val="243"/>
        </w:trPr>
        <w:tc>
          <w:tcPr>
            <w:tcW w:w="5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294,762</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294,762</w:t>
            </w:r>
          </w:p>
        </w:tc>
        <w:tc>
          <w:tcPr>
            <w:tcW w:w="0" w:type="dxa"/>
            <w:vAlign w:val="bottom"/>
          </w:tcPr>
          <w:p>
            <w:pPr>
              <w:spacing w:after="0"/>
              <w:rPr>
                <w:sz w:val="1"/>
                <w:szCs w:val="1"/>
                <w:color w:val="auto"/>
              </w:rPr>
            </w:pPr>
          </w:p>
        </w:tc>
      </w:tr>
      <w:tr>
        <w:trPr>
          <w:trHeight w:val="439"/>
        </w:trPr>
        <w:tc>
          <w:tcPr>
            <w:tcW w:w="50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8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right w:val="single" w:sz="8" w:color="auto"/>
            </w:tcBorders>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54"/>
        </w:trPr>
        <w:tc>
          <w:tcPr>
            <w:tcW w:w="508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ind w:left="8060" w:right="280" w:hanging="8044"/>
        <w:spacing w:after="0" w:line="307" w:lineRule="auto"/>
        <w:rPr>
          <w:sz w:val="20"/>
          <w:szCs w:val="20"/>
          <w:color w:val="auto"/>
        </w:rPr>
      </w:pPr>
      <w:r>
        <w:rPr>
          <w:rFonts w:ascii="Times New Roman" w:cs="Times New Roman" w:eastAsia="Times New Roman" w:hAnsi="Times New Roman"/>
          <w:sz w:val="17"/>
          <w:szCs w:val="17"/>
          <w:b w:val="1"/>
          <w:bCs w:val="1"/>
          <w:color w:val="auto"/>
        </w:rPr>
        <w:t>Adjustments to consolidated statements of profit or loss and comprehensive profit or loss for the year ended December 31, 2023* - Restatement Year ended December 31,</w:t>
      </w:r>
    </w:p>
    <w:tbl>
      <w:tblPr>
        <w:tblLayout w:type="fixed"/>
        <w:tblInd w:w="0" w:type="dxa"/>
        <w:tblCellMar>
          <w:top w:w="0" w:type="dxa"/>
          <w:left w:w="0" w:type="dxa"/>
          <w:bottom w:w="0" w:type="dxa"/>
          <w:right w:w="0" w:type="dxa"/>
        </w:tblCellMar>
      </w:tblPr>
      <w:tr>
        <w:trPr>
          <w:trHeight w:val="168"/>
        </w:trPr>
        <w:tc>
          <w:tcPr>
            <w:tcW w:w="34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720" w:type="dxa"/>
            <w:vAlign w:val="bottom"/>
            <w:tcBorders>
              <w:top w:val="single" w:sz="8" w:color="auto"/>
            </w:tcBorders>
            <w:gridSpan w:val="2"/>
          </w:tcPr>
          <w:p>
            <w:pPr>
              <w:jc w:val="right"/>
              <w:ind w:right="590"/>
              <w:spacing w:after="0" w:line="169" w:lineRule="exact"/>
              <w:rPr>
                <w:sz w:val="20"/>
                <w:szCs w:val="20"/>
                <w:color w:val="auto"/>
              </w:rPr>
            </w:pPr>
            <w:r>
              <w:rPr>
                <w:rFonts w:ascii="Times New Roman" w:cs="Times New Roman" w:eastAsia="Times New Roman" w:hAnsi="Times New Roman"/>
                <w:sz w:val="18"/>
                <w:szCs w:val="18"/>
                <w:color w:val="auto"/>
              </w:rPr>
              <w:t>2023 warrants</w:t>
            </w:r>
          </w:p>
        </w:tc>
        <w:tc>
          <w:tcPr>
            <w:tcW w:w="1000" w:type="dxa"/>
            <w:vAlign w:val="bottom"/>
            <w:tcBorders>
              <w:top w:val="single" w:sz="8" w:color="auto"/>
            </w:tcBorders>
          </w:tcPr>
          <w:p>
            <w:pPr>
              <w:spacing w:after="0"/>
              <w:rPr>
                <w:sz w:val="14"/>
                <w:szCs w:val="14"/>
                <w:color w:val="auto"/>
              </w:rPr>
            </w:pPr>
          </w:p>
        </w:tc>
      </w:tr>
      <w:tr>
        <w:trPr>
          <w:trHeight w:val="238"/>
        </w:trPr>
        <w:tc>
          <w:tcPr>
            <w:tcW w:w="3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2023 (as reported)</w:t>
            </w:r>
          </w:p>
        </w:tc>
        <w:tc>
          <w:tcPr>
            <w:tcW w:w="25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adjustment   </w:t>
            </w:r>
            <w:r>
              <w:rPr>
                <w:rFonts w:ascii="Times New Roman" w:cs="Times New Roman" w:eastAsia="Times New Roman" w:hAnsi="Times New Roman"/>
                <w:sz w:val="18"/>
                <w:szCs w:val="18"/>
                <w:b w:val="1"/>
                <w:bCs w:val="1"/>
                <w:color w:val="auto"/>
              </w:rPr>
              <w:t>2023 (as restated)</w:t>
            </w:r>
          </w:p>
        </w:tc>
      </w:tr>
      <w:tr>
        <w:trPr>
          <w:trHeight w:val="237"/>
        </w:trPr>
        <w:tc>
          <w:tcPr>
            <w:tcW w:w="3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37"/>
        </w:trPr>
        <w:tc>
          <w:tcPr>
            <w:tcW w:w="41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8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(72,129)</w:t>
            </w:r>
          </w:p>
        </w:tc>
        <w:tc>
          <w:tcPr>
            <w:tcW w:w="152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(72,129)</w:t>
            </w:r>
          </w:p>
        </w:tc>
      </w:tr>
      <w:tr>
        <w:trPr>
          <w:trHeight w:val="237"/>
        </w:trPr>
        <w:tc>
          <w:tcPr>
            <w:tcW w:w="4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Net financial expenses</w:t>
            </w:r>
          </w:p>
        </w:tc>
        <w:tc>
          <w:tcPr>
            <w:tcW w:w="8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(32,308)</w:t>
            </w:r>
          </w:p>
        </w:tc>
        <w:tc>
          <w:tcPr>
            <w:tcW w:w="15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(4,886)</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(37,194)</w:t>
            </w:r>
          </w:p>
        </w:tc>
      </w:tr>
      <w:tr>
        <w:trPr>
          <w:trHeight w:val="236"/>
        </w:trPr>
        <w:tc>
          <w:tcPr>
            <w:tcW w:w="41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8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(104,437)</w:t>
            </w:r>
          </w:p>
        </w:tc>
        <w:tc>
          <w:tcPr>
            <w:tcW w:w="15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(4,886)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(109,323)</w:t>
            </w:r>
          </w:p>
        </w:tc>
      </w:tr>
      <w:tr>
        <w:trPr>
          <w:trHeight w:val="237"/>
        </w:trPr>
        <w:tc>
          <w:tcPr>
            <w:tcW w:w="4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Income tax recovery</w:t>
            </w:r>
          </w:p>
        </w:tc>
        <w:tc>
          <w:tcPr>
            <w:tcW w:w="8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401</w:t>
            </w: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401</w:t>
            </w:r>
          </w:p>
        </w:tc>
      </w:tr>
      <w:tr>
        <w:trPr>
          <w:trHeight w:val="243"/>
        </w:trPr>
        <w:tc>
          <w:tcPr>
            <w:tcW w:w="41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and total comprehensive loss</w:t>
            </w:r>
          </w:p>
        </w:tc>
        <w:tc>
          <w:tcPr>
            <w:tcW w:w="8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(104,036)</w:t>
            </w:r>
          </w:p>
        </w:tc>
        <w:tc>
          <w:tcPr>
            <w:tcW w:w="15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(4,886)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(108,922)</w:t>
            </w:r>
          </w:p>
        </w:tc>
      </w:tr>
      <w:tr>
        <w:trPr>
          <w:trHeight w:val="216"/>
        </w:trPr>
        <w:tc>
          <w:tcPr>
            <w:tcW w:w="3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8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that will not be reclassified to profit or loss:</w:t>
            </w:r>
          </w:p>
        </w:tc>
        <w:tc>
          <w:tcPr>
            <w:tcW w:w="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3"/>
        </w:trPr>
        <w:tc>
          <w:tcPr>
            <w:tcW w:w="4180" w:type="dxa"/>
            <w:vAlign w:val="bottom"/>
            <w:tcBorders>
              <w:bottom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Change in revaluation surplus - digital assets, net of tax</w:t>
            </w:r>
          </w:p>
        </w:tc>
        <w:tc>
          <w:tcPr>
            <w:tcW w:w="8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9,242</w:t>
            </w:r>
          </w:p>
        </w:tc>
        <w:tc>
          <w:tcPr>
            <w:tcW w:w="152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9,242</w:t>
            </w:r>
          </w:p>
        </w:tc>
      </w:tr>
      <w:tr>
        <w:trPr>
          <w:trHeight w:val="244"/>
        </w:trPr>
        <w:tc>
          <w:tcPr>
            <w:tcW w:w="4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8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(94,794)</w:t>
            </w:r>
          </w:p>
        </w:tc>
        <w:tc>
          <w:tcPr>
            <w:tcW w:w="15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(4,886)</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(99,680)</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8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3"/>
        </w:trPr>
        <w:tc>
          <w:tcPr>
            <w:tcW w:w="4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8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(0.40)</w:t>
            </w:r>
          </w:p>
        </w:tc>
        <w:tc>
          <w:tcPr>
            <w:tcW w:w="15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(0.02)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(0.42)</w:t>
            </w:r>
          </w:p>
        </w:tc>
      </w:tr>
      <w:tr>
        <w:trPr>
          <w:trHeight w:val="210"/>
        </w:trPr>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1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50"/>
        </w:trPr>
        <w:tc>
          <w:tcPr>
            <w:tcW w:w="4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8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262,237,117</w:t>
            </w: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262,237,117</w:t>
            </w:r>
          </w:p>
        </w:tc>
      </w:tr>
      <w:tr>
        <w:trPr>
          <w:trHeight w:val="432"/>
        </w:trPr>
        <w:tc>
          <w:tcPr>
            <w:tcW w:w="102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w w:val="99"/>
              </w:rPr>
              <w:t>Adjustments to interim consolidated statements of cash flows for the nine months ended September 30, 2023 and 2024* - Restatement</w:t>
            </w:r>
          </w:p>
        </w:tc>
        <w:tc>
          <w:tcPr>
            <w:tcW w:w="1000" w:type="dxa"/>
            <w:vAlign w:val="bottom"/>
          </w:tcPr>
          <w:p>
            <w:pPr>
              <w:spacing w:after="0"/>
              <w:rPr>
                <w:sz w:val="24"/>
                <w:szCs w:val="24"/>
                <w:color w:val="auto"/>
              </w:rPr>
            </w:pPr>
          </w:p>
        </w:tc>
      </w:tr>
      <w:tr>
        <w:trPr>
          <w:trHeight w:val="459"/>
        </w:trPr>
        <w:tc>
          <w:tcPr>
            <w:tcW w:w="3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372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187"/>
        </w:trPr>
        <w:tc>
          <w:tcPr>
            <w:tcW w:w="3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color w:val="auto"/>
              </w:rPr>
              <w:t>2024 (as</w:t>
            </w:r>
          </w:p>
        </w:tc>
        <w:tc>
          <w:tcPr>
            <w:tcW w:w="148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color w:val="auto"/>
              </w:rPr>
              <w:t>Cash flow</w:t>
            </w:r>
          </w:p>
        </w:tc>
        <w:tc>
          <w:tcPr>
            <w:tcW w:w="104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2024 (as</w:t>
            </w:r>
          </w:p>
        </w:tc>
        <w:tc>
          <w:tcPr>
            <w:tcW w:w="120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color w:val="auto"/>
              </w:rPr>
              <w:t>2023 (as</w:t>
            </w:r>
          </w:p>
        </w:tc>
        <w:tc>
          <w:tcPr>
            <w:tcW w:w="152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color w:val="auto"/>
              </w:rPr>
              <w:t>Cash flow</w:t>
            </w:r>
          </w:p>
        </w:tc>
        <w:tc>
          <w:tcPr>
            <w:tcW w:w="100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2023 (as</w:t>
            </w:r>
          </w:p>
        </w:tc>
      </w:tr>
      <w:tr>
        <w:trPr>
          <w:trHeight w:val="238"/>
        </w:trPr>
        <w:tc>
          <w:tcPr>
            <w:tcW w:w="3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reported)</w:t>
            </w:r>
          </w:p>
        </w:tc>
        <w:tc>
          <w:tcPr>
            <w:tcW w:w="14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reclassification</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reported)</w:t>
            </w:r>
          </w:p>
        </w:tc>
        <w:tc>
          <w:tcPr>
            <w:tcW w:w="15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reclassification</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641"/>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operating activities</w:t>
            </w:r>
          </w:p>
        </w:tc>
        <w:tc>
          <w:tcPr>
            <w:tcW w:w="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(69,228)</w:t>
            </w:r>
          </w:p>
        </w:tc>
        <w:tc>
          <w:tcPr>
            <w:tcW w:w="1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(69,228)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(46,877)</w:t>
            </w:r>
          </w:p>
        </w:tc>
        <w:tc>
          <w:tcPr>
            <w:tcW w:w="1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(46,877)</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3"/>
        </w:trPr>
        <w:tc>
          <w:tcPr>
            <w:tcW w:w="41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digital assets</w:t>
            </w: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111,264</w:t>
            </w:r>
          </w:p>
        </w:tc>
        <w:tc>
          <w:tcPr>
            <w:tcW w:w="14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(111,264)</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87,724</w:t>
            </w:r>
          </w:p>
        </w:tc>
        <w:tc>
          <w:tcPr>
            <w:tcW w:w="15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(87,724)</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4"/>
        </w:trPr>
        <w:tc>
          <w:tcPr>
            <w:tcW w:w="4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operating activities</w:t>
            </w: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14,104</w:t>
            </w:r>
          </w:p>
        </w:tc>
        <w:tc>
          <w:tcPr>
            <w:tcW w:w="1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(111,264)</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(97,160)</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10,028</w:t>
            </w:r>
          </w:p>
        </w:tc>
        <w:tc>
          <w:tcPr>
            <w:tcW w:w="15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(87,724)</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(77,696)</w:t>
            </w:r>
          </w:p>
        </w:tc>
      </w:tr>
      <w:tr>
        <w:trPr>
          <w:trHeight w:val="216"/>
        </w:trPr>
        <w:tc>
          <w:tcPr>
            <w:tcW w:w="3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5"/>
        </w:trPr>
        <w:tc>
          <w:tcPr>
            <w:tcW w:w="41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Cash flows from (used in) investing activities</w:t>
            </w:r>
          </w:p>
        </w:tc>
        <w:tc>
          <w:tcPr>
            <w:tcW w:w="8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344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43"/>
        </w:trPr>
        <w:tc>
          <w:tcPr>
            <w:tcW w:w="41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digital assets</w:t>
            </w: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111,264</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111,264</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87,724</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87,724</w:t>
            </w:r>
          </w:p>
        </w:tc>
      </w:tr>
      <w:tr>
        <w:trPr>
          <w:trHeight w:val="244"/>
        </w:trPr>
        <w:tc>
          <w:tcPr>
            <w:tcW w:w="4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investing activities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(268,862)</w:t>
            </w:r>
          </w:p>
        </w:tc>
        <w:tc>
          <w:tcPr>
            <w:tcW w:w="14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111,264</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(157,598)</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(35,373)</w:t>
            </w:r>
          </w:p>
        </w:tc>
        <w:tc>
          <w:tcPr>
            <w:tcW w:w="15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87,724</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52,351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Adjustments to consolidated statements of financial position as of September 30, 2024* - Restatement</w:t>
            </w:r>
          </w:p>
        </w:tc>
        <w:tc>
          <w:tcPr>
            <w:tcW w:w="13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1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As of September 30,</w:t>
            </w:r>
          </w:p>
        </w:tc>
        <w:tc>
          <w:tcPr>
            <w:tcW w:w="30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Adjustment   </w:t>
            </w:r>
            <w:r>
              <w:rPr>
                <w:rFonts w:ascii="Times New Roman" w:cs="Times New Roman" w:eastAsia="Times New Roman" w:hAnsi="Times New Roman"/>
                <w:sz w:val="18"/>
                <w:szCs w:val="18"/>
                <w:b w:val="1"/>
                <w:bCs w:val="1"/>
                <w:color w:val="auto"/>
              </w:rPr>
              <w:t>As of September 30,</w:t>
            </w:r>
          </w:p>
        </w:tc>
        <w:tc>
          <w:tcPr>
            <w:tcW w:w="0" w:type="dxa"/>
            <w:vAlign w:val="bottom"/>
          </w:tcPr>
          <w:p>
            <w:pPr>
              <w:spacing w:after="0"/>
              <w:rPr>
                <w:sz w:val="1"/>
                <w:szCs w:val="1"/>
                <w:color w:val="auto"/>
              </w:rPr>
            </w:pPr>
          </w:p>
        </w:tc>
      </w:tr>
      <w:tr>
        <w:trPr>
          <w:trHeight w:val="191"/>
        </w:trPr>
        <w:tc>
          <w:tcPr>
            <w:tcW w:w="41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38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2023 warrants</w:t>
            </w:r>
          </w:p>
        </w:tc>
        <w:tc>
          <w:tcPr>
            <w:tcW w:w="16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 (as restated)</w:t>
            </w:r>
          </w:p>
        </w:tc>
        <w:tc>
          <w:tcPr>
            <w:tcW w:w="0" w:type="dxa"/>
            <w:vAlign w:val="bottom"/>
          </w:tcPr>
          <w:p>
            <w:pPr>
              <w:spacing w:after="0"/>
              <w:rPr>
                <w:sz w:val="1"/>
                <w:szCs w:val="1"/>
                <w:color w:val="auto"/>
              </w:rPr>
            </w:pPr>
          </w:p>
        </w:tc>
      </w:tr>
      <w:tr>
        <w:trPr>
          <w:trHeight w:val="234"/>
        </w:trPr>
        <w:tc>
          <w:tcPr>
            <w:tcW w:w="410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2024 (as reported)</w:t>
            </w: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adjustment</w:t>
            </w:r>
          </w:p>
        </w:tc>
        <w:tc>
          <w:tcPr>
            <w:tcW w:w="16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4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4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796,751</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4,886</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801,637</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Contributed surplus</w:t>
            </w:r>
          </w:p>
        </w:tc>
        <w:tc>
          <w:tcPr>
            <w:tcW w:w="4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63,785</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63,785</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(351,823)</w:t>
            </w: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(4,886)</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(356,709)</w:t>
            </w:r>
          </w:p>
        </w:tc>
        <w:tc>
          <w:tcPr>
            <w:tcW w:w="0" w:type="dxa"/>
            <w:vAlign w:val="bottom"/>
          </w:tcPr>
          <w:p>
            <w:pPr>
              <w:spacing w:after="0"/>
              <w:rPr>
                <w:sz w:val="1"/>
                <w:szCs w:val="1"/>
                <w:color w:val="auto"/>
              </w:rPr>
            </w:pPr>
          </w:p>
        </w:tc>
      </w:tr>
      <w:tr>
        <w:trPr>
          <w:trHeight w:val="24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Revaluation surplus</w:t>
            </w:r>
          </w:p>
        </w:tc>
        <w:tc>
          <w:tcPr>
            <w:tcW w:w="4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3,311</w:t>
            </w: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3,311</w:t>
            </w:r>
          </w:p>
        </w:tc>
        <w:tc>
          <w:tcPr>
            <w:tcW w:w="0" w:type="dxa"/>
            <w:vAlign w:val="bottom"/>
          </w:tcPr>
          <w:p>
            <w:pPr>
              <w:spacing w:after="0"/>
              <w:rPr>
                <w:sz w:val="1"/>
                <w:szCs w:val="1"/>
                <w:color w:val="auto"/>
              </w:rPr>
            </w:pPr>
          </w:p>
        </w:tc>
      </w:tr>
      <w:tr>
        <w:trPr>
          <w:trHeight w:val="24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4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512,024</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512,024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 in thousands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management has previously concluded that the Company had a material weakness in its internal control over financial reporting during the Restatement Periods. Management is in the process of implementing remediation measures to address the material weakness in respect of the errors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Founded in 2017, Bitfarms is a global Bitcoin data center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and two under Hosting agreements, situated in four countries: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 the United States, Paraguay, and Argentina. Powered predominantly by environmentally friendly hydro-electric and long-term power contracts,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is committed to using sustainable and often underutilized energy infrastructure.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impact of the Restatement, the filing of the Restated Financials and Restated MD&amp;A, the Company’s plans to remediate the material weakness in its internal control over financial reporting and other statements regarding future growth, plans and objectives of the Company are forward-looking information.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the pending SEC Review; the potential that additional restatements of the financial statements will be required; the potential that the Company identifies additional material weaknesses in its control over financial reporting; the ability of the Company to remediate known material weaknesses; the acquisition,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Bitcoin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For further information concerning these and other risks and uncertainties, refer to Bitfarms’ filings on www.sedarplus.ca (which are also available on the website of the U.S. Securities and Exchange Commission (the “SEC”) at www.sec.gov), including the restated MD&amp;A for the year-ended December 31, 2023, filed on December 9, 2024 and the restated MD&amp;A for the three and nine months ended September 30, 2024 filed on December 9, 2024.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undertakes no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nor any other securities exchange or regulatory authority accepts responsibility for the adequacy or accuracy of this release.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Québec: 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222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Page</w:t>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2024-12-10T05:07:59Z</dcterms:created>
  <dcterms:modified xsi:type="dcterms:W3CDTF">2024-12-10T05:07:59Z</dcterms:modified>
</cp:coreProperties>
</file>