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182880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 TO RULE 13a-16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June 2023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BITFARMS LTD.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18 King Street East, Suite 902, Toronto, Ontario, Canada M5C 1C4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4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214630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240665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317500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979"/>
          </w:cols>
          <w:pgMar w:left="480" w:top="611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DOCUMENTS INCLUDED AS PART OF THIS FORM 6-K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2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June 8, 2023, the Registrant filed with the Canadian Securities Regulatory Authorities on the System for Electronic Data Analysis and Retrieval (SEDAR) a press release, a copy of which is attached hereto as Exhibit 99.1, and which is incorporated herein by reference.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See the Exhibits listed below.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9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16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360" w:type="dxa"/>
            <w:vAlign w:val="bottom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780" w:type="dxa"/>
            <w:vAlign w:val="bottom"/>
            <w:gridSpan w:val="2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Press release dated June 8, 2023</w:t>
            </w:r>
          </w:p>
        </w:tc>
      </w:tr>
      <w:tr>
        <w:trPr>
          <w:trHeight w:val="614"/>
        </w:trPr>
        <w:tc>
          <w:tcPr>
            <w:tcW w:w="136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580" w:right="339" w:bottom="1440" w:gutter="0" w:footer="0" w:header="0"/>
        </w:sectPr>
      </w:pPr>
    </w:p>
    <w:bookmarkStart w:id="2" w:name="page3"/>
    <w:bookmarkEnd w:id="2"/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L. Geoffrey Morphy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4112260</wp:posOffset>
            </wp:positionH>
            <wp:positionV relativeFrom="paragraph">
              <wp:posOffset>14605</wp:posOffset>
            </wp:positionV>
            <wp:extent cx="292354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L. Geoffrey Morphy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48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President and Chief Executive Officer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8, 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220345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60"/>
          </w:cols>
          <w:pgMar w:left="480" w:top="868" w:right="1159" w:bottom="1440" w:gutter="0" w:footer="0" w:header="0"/>
        </w:sectPr>
      </w:pPr>
    </w:p>
    <w:bookmarkStart w:id="3" w:name="page4"/>
    <w:bookmarkEnd w:id="3"/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2559685</wp:posOffset>
            </wp:positionH>
            <wp:positionV relativeFrom="paragraph">
              <wp:posOffset>187960</wp:posOffset>
            </wp:positionV>
            <wp:extent cx="2032000" cy="5314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Bitfarms to Participate in the 2023 Cantor Fitzgerald Technology Conference on June 14 - 15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hanging="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This news release constitutes a “designated news release” for purposes of the Company’s prospectus supplement dated August 16, 2021, to its short form base shelf prospectus dated August 12, 2021.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jc w:val="both"/>
        <w:ind w:hanging="8"/>
        <w:spacing w:after="0" w:line="3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Toronto, Ontario and Brossard, Québec (June 8, 2023) </w:t>
      </w:r>
      <w:r>
        <w:rPr>
          <w:rFonts w:ascii="Arial" w:cs="Arial" w:eastAsia="Arial" w:hAnsi="Arial"/>
          <w:sz w:val="16"/>
          <w:szCs w:val="16"/>
          <w:color w:val="auto"/>
        </w:rPr>
        <w:t>- Bitfarms Ltd. (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NASDAQ: BITF//TSX: BITF</w:t>
      </w:r>
      <w:r>
        <w:rPr>
          <w:rFonts w:ascii="Arial" w:cs="Arial" w:eastAsia="Arial" w:hAnsi="Arial"/>
          <w:sz w:val="16"/>
          <w:szCs w:val="16"/>
          <w:color w:val="auto"/>
        </w:rPr>
        <w:t>), a global vertically integrated Bitcoin mining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company, announced that management will be participating in the 2023 Cantor Fitzgerald Technology Conference held on June 14 - 15 in New York City.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Event: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2023 Cantor Fitzgerald Technology Conference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June 14 – 15 , 2023 (June 14 features public and private companies within the Software, Crypto &amp; Disruptive Finance sectors.)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Location: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Ease Hospitality Venue, 605 E. 3rd Avenue, New York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Panel: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3:15 PM ET, June 14, 2023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CEO Geoff Morphy will join the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Resilience of Bitcoin Mining Panel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additional information or to schedule a 1:1 meeting on June 14, please contact your institutional sales representative or Bitfarms’ IR Team at bitfarms@lhai.com.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Bitfarms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-119380</wp:posOffset>
            </wp:positionV>
            <wp:extent cx="7123430" cy="1371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left="20" w:hanging="8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Founded in 2017, Bitfarms is a global, publicly traded (NASDAQ/TSX: BITF) Bitcoin mining company. Bitfarms develops, owns, and operates vertically integrated mining farms with in-house management and company-owned electrical engineering, installation service, and multiple onsite technical repair centers. The Company’s proprietary data analytics system delivers best-in-class operational performance and uptime.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-422275</wp:posOffset>
            </wp:positionV>
            <wp:extent cx="7123430" cy="4114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left="20" w:hanging="8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Bitfarms currently has 10 farms, which are located in four countries: Canada, the United States, Paraguay, and Argentina. Powered by predominantly environmentally friendly hydro-electric and long-term power contracts, Bitfarms is committed to using sustainable, locally based, and often underutilized energy infrastructure.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-422275</wp:posOffset>
            </wp:positionV>
            <wp:extent cx="7123430" cy="4114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learn more about Bitfarms’ events, developments, and online communities: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-121920</wp:posOffset>
            </wp:positionV>
            <wp:extent cx="7123430" cy="1371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Website: www.bitfarms.com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-121920</wp:posOffset>
            </wp:positionV>
            <wp:extent cx="7123430" cy="1371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https://www.facebook.com/bitfarms/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-121920</wp:posOffset>
            </wp:positionV>
            <wp:extent cx="7123430" cy="5486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https://twitter.com/Bitfarms_io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https://www.instagram.com/bitfarms/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https://www.linkedin.com/company/bitfarms/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Contacts: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LHA Investor Relations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Barnard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+1 415-433-3777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Investors@bitfarms.com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211455</wp:posOffset>
            </wp:positionV>
            <wp:extent cx="7132320" cy="1371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12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2023-06-08T15:10:43Z</dcterms:created>
  <dcterms:modified xsi:type="dcterms:W3CDTF">2023-06-08T15:10:43Z</dcterms:modified>
</cp:coreProperties>
</file>