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09173B107</w:t>
            </w:r>
          </w:p>
        </w:tc>
        <w:tc>
          <w:tcPr>
            <w:tcW w:w="440" w:type="dxa"/>
            <w:vAlign w:val="bottom"/>
          </w:tcPr>
          <w:p>
            <w:pPr>
              <w:spacing w:after="0"/>
              <w:rPr>
                <w:sz w:val="20"/>
                <w:szCs w:val="20"/>
                <w:color w:val="auto"/>
              </w:rPr>
            </w:pPr>
          </w:p>
        </w:tc>
        <w:tc>
          <w:tcPr>
            <w:tcW w:w="716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SCHEDULE 13D</w:t>
            </w:r>
          </w:p>
        </w:tc>
        <w:tc>
          <w:tcPr>
            <w:tcW w:w="15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w w:val="95"/>
              </w:rPr>
              <w:t>Page 2 of 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1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60" w:type="dxa"/>
            <w:vAlign w:val="bottom"/>
            <w:tcBorders>
              <w:bottom w:val="single" w:sz="8" w:color="auto"/>
            </w:tcBorders>
            <w:gridSpan w:val="3"/>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Riot Platforms, Inc.</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(a)</w:t>
            </w:r>
          </w:p>
        </w:tc>
        <w:tc>
          <w:tcPr>
            <w:tcW w:w="360" w:type="dxa"/>
            <w:vAlign w:val="bottom"/>
            <w:tcBorders>
              <w:right w:val="single" w:sz="8" w:color="auto"/>
            </w:tcBorders>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2"/>
        </w:trPr>
        <w:tc>
          <w:tcPr>
            <w:tcW w:w="320" w:type="dxa"/>
            <w:vAlign w:val="bottom"/>
            <w:tcBorders>
              <w:lef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20" w:type="dxa"/>
            <w:vAlign w:val="bottom"/>
            <w:tcBorders>
              <w:left w:val="single" w:sz="8" w:color="auto"/>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(b)</w:t>
            </w:r>
          </w:p>
        </w:tc>
        <w:tc>
          <w:tcPr>
            <w:tcW w:w="36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right w:val="single" w:sz="8" w:color="auto"/>
            </w:tcBorders>
          </w:tcPr>
          <w:p>
            <w:pPr>
              <w:spacing w:after="0"/>
              <w:rPr>
                <w:sz w:val="20"/>
                <w:szCs w:val="20"/>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44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gridSpan w:val="2"/>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tcPr>
          <w:p>
            <w:pPr>
              <w:spacing w:after="0"/>
              <w:rPr>
                <w:sz w:val="20"/>
                <w:szCs w:val="20"/>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SOURCE OF FUNDS</w:t>
            </w:r>
          </w:p>
        </w:tc>
        <w:tc>
          <w:tcPr>
            <w:tcW w:w="7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WC</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right w:val="single" w:sz="8" w:color="auto"/>
            </w:tcBorders>
          </w:tcPr>
          <w:p>
            <w:pPr>
              <w:spacing w:after="0"/>
              <w:rPr>
                <w:sz w:val="24"/>
                <w:szCs w:val="24"/>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260" w:type="dxa"/>
            <w:vAlign w:val="bottom"/>
            <w:tcBorders>
              <w:bottom w:val="single" w:sz="8" w:color="auto"/>
            </w:tcBorders>
            <w:gridSpan w:val="3"/>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Nevada</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61,331,631</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2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Borders>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8"/>
              </w:rPr>
              <w:t>SHARES</w:t>
            </w:r>
          </w:p>
        </w:tc>
        <w:tc>
          <w:tcPr>
            <w:tcW w:w="4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800" w:type="dxa"/>
            <w:vAlign w:val="bottom"/>
            <w:tcBorders>
              <w:right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BENEFICIALLY</w:t>
            </w:r>
          </w:p>
        </w:tc>
        <w:tc>
          <w:tcPr>
            <w:tcW w:w="440" w:type="dxa"/>
            <w:vAlign w:val="bottom"/>
            <w:tcBorders>
              <w:right w:val="single" w:sz="8" w:color="auto"/>
            </w:tcBorders>
          </w:tcPr>
          <w:p>
            <w:pPr>
              <w:spacing w:after="0"/>
              <w:rPr>
                <w:sz w:val="18"/>
                <w:szCs w:val="18"/>
                <w:color w:val="auto"/>
              </w:rPr>
            </w:pPr>
          </w:p>
        </w:tc>
        <w:tc>
          <w:tcPr>
            <w:tcW w:w="7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Borders>
              <w:bottom w:val="single" w:sz="8" w:color="auto"/>
              <w:right w:val="single" w:sz="8" w:color="auto"/>
            </w:tcBorders>
          </w:tcPr>
          <w:p>
            <w:pPr>
              <w:spacing w:after="0"/>
              <w:rPr>
                <w:sz w:val="19"/>
                <w:szCs w:val="19"/>
                <w:color w:val="auto"/>
              </w:rPr>
            </w:pPr>
          </w:p>
        </w:tc>
        <w:tc>
          <w:tcPr>
            <w:tcW w:w="716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2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Borders>
              <w:right w:val="single" w:sz="8" w:color="auto"/>
            </w:tcBorders>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w w:val="97"/>
              </w:rPr>
              <w:t>EACH</w:t>
            </w:r>
          </w:p>
        </w:tc>
        <w:tc>
          <w:tcPr>
            <w:tcW w:w="44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71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1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Borders>
              <w:right w:val="single" w:sz="8" w:color="auto"/>
            </w:tcBorders>
          </w:tcPr>
          <w:p>
            <w:pPr>
              <w:spacing w:after="0"/>
              <w:rPr>
                <w:sz w:val="18"/>
                <w:szCs w:val="18"/>
                <w:color w:val="auto"/>
              </w:rPr>
            </w:pPr>
          </w:p>
        </w:tc>
        <w:tc>
          <w:tcPr>
            <w:tcW w:w="7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Borders>
              <w:right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440" w:type="dxa"/>
            <w:vAlign w:val="bottom"/>
            <w:tcBorders>
              <w:right w:val="single" w:sz="8" w:color="auto"/>
            </w:tcBorders>
          </w:tcPr>
          <w:p>
            <w:pPr>
              <w:spacing w:after="0"/>
              <w:rPr>
                <w:sz w:val="18"/>
                <w:szCs w:val="18"/>
                <w:color w:val="auto"/>
              </w:rPr>
            </w:pPr>
          </w:p>
        </w:tc>
        <w:tc>
          <w:tcPr>
            <w:tcW w:w="7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61,331,631</w:t>
            </w:r>
          </w:p>
        </w:tc>
        <w:tc>
          <w:tcPr>
            <w:tcW w:w="11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320" w:type="dxa"/>
            <w:vAlign w:val="bottom"/>
            <w:tcBorders>
              <w:lef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60" w:type="dxa"/>
            <w:vAlign w:val="bottom"/>
            <w:tcBorders>
              <w:right w:val="single" w:sz="8" w:color="auto"/>
            </w:tcBorders>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rPr>
              <w:t>WITH</w:t>
            </w:r>
          </w:p>
        </w:tc>
        <w:tc>
          <w:tcPr>
            <w:tcW w:w="44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2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right w:val="single" w:sz="8" w:color="auto"/>
            </w:tcBorders>
            <w:vMerge w:val="continue"/>
          </w:tcPr>
          <w:p>
            <w:pPr>
              <w:spacing w:after="0"/>
              <w:rPr>
                <w:sz w:val="14"/>
                <w:szCs w:val="14"/>
                <w:color w:val="auto"/>
              </w:rPr>
            </w:pPr>
          </w:p>
        </w:tc>
        <w:tc>
          <w:tcPr>
            <w:tcW w:w="4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71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60" w:type="dxa"/>
            <w:vAlign w:val="bottom"/>
          </w:tcPr>
          <w:p>
            <w:pPr>
              <w:spacing w:after="0"/>
              <w:rPr>
                <w:sz w:val="14"/>
                <w:szCs w:val="14"/>
                <w:color w:val="auto"/>
              </w:rPr>
            </w:pPr>
          </w:p>
        </w:tc>
        <w:tc>
          <w:tcPr>
            <w:tcW w:w="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2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440" w:type="dxa"/>
            <w:vAlign w:val="bottom"/>
            <w:tcBorders>
              <w:right w:val="single" w:sz="8" w:color="auto"/>
            </w:tcBorders>
            <w:vMerge w:val="continue"/>
          </w:tcPr>
          <w:p>
            <w:pPr>
              <w:spacing w:after="0"/>
              <w:rPr>
                <w:sz w:val="5"/>
                <w:szCs w:val="5"/>
                <w:color w:val="auto"/>
              </w:rPr>
            </w:pPr>
          </w:p>
        </w:tc>
        <w:tc>
          <w:tcPr>
            <w:tcW w:w="716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61,331,631</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right w:val="single" w:sz="8" w:color="auto"/>
            </w:tcBorders>
          </w:tcPr>
          <w:p>
            <w:pPr>
              <w:spacing w:after="0"/>
              <w:rPr>
                <w:sz w:val="24"/>
                <w:szCs w:val="24"/>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0" w:type="dxa"/>
            <w:vAlign w:val="bottom"/>
            <w:tcBorders>
              <w:left w:val="single" w:sz="8" w:color="auto"/>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14.9%</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right w:val="single" w:sz="8" w:color="auto"/>
            </w:tcBorders>
          </w:tcPr>
          <w:p>
            <w:pPr>
              <w:spacing w:after="0"/>
              <w:rPr>
                <w:sz w:val="20"/>
                <w:szCs w:val="20"/>
                <w:color w:val="auto"/>
              </w:rPr>
            </w:pPr>
          </w:p>
        </w:tc>
        <w:tc>
          <w:tcPr>
            <w:tcW w:w="9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6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95"/>
        </w:trPr>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6 to Schedule 13D (“</w:t>
      </w:r>
      <w:r>
        <w:rPr>
          <w:rFonts w:ascii="Times New Roman" w:cs="Times New Roman" w:eastAsia="Times New Roman" w:hAnsi="Times New Roman"/>
          <w:sz w:val="18"/>
          <w:szCs w:val="18"/>
          <w:u w:val="single" w:color="auto"/>
          <w:color w:val="auto"/>
        </w:rPr>
        <w:t>Amendment No. 6</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Amendment No. 3 dated June 5, 2024, Amendment No. 4 dated June 12, 2024 and Amendment No. 5 dated June 13,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6,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6)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US$132,162,323.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2024, the Reporting Person sent a letter (the “</w:t>
      </w:r>
      <w:r>
        <w:rPr>
          <w:rFonts w:ascii="Times New Roman" w:cs="Times New Roman" w:eastAsia="Times New Roman" w:hAnsi="Times New Roman"/>
          <w:sz w:val="18"/>
          <w:szCs w:val="18"/>
          <w:u w:val="single" w:color="auto"/>
          <w:color w:val="auto"/>
        </w:rPr>
        <w:t>Requisition Letter</w:t>
      </w:r>
      <w:r>
        <w:rPr>
          <w:rFonts w:ascii="Times New Roman" w:cs="Times New Roman" w:eastAsia="Times New Roman" w:hAnsi="Times New Roman"/>
          <w:sz w:val="18"/>
          <w:szCs w:val="18"/>
          <w:color w:val="auto"/>
        </w:rPr>
        <w:t>”) to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to requisition a special meeting of shareholders of the Company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for the purpose of electing new independent members of the Board who will act in the best interests of the Company and all of its stakeholders. The Requisition Letter also stated that the Reporting Person is withdrawing its previous proposal to acquire the Company for US$2.30 per Common Share (the “</w:t>
      </w:r>
      <w:r>
        <w:rPr>
          <w:rFonts w:ascii="Times New Roman" w:cs="Times New Roman" w:eastAsia="Times New Roman" w:hAnsi="Times New Roman"/>
          <w:sz w:val="18"/>
          <w:szCs w:val="18"/>
          <w:u w:val="single" w:color="auto"/>
          <w:color w:val="auto"/>
        </w:rPr>
        <w:t>Proposal</w:t>
      </w:r>
      <w:r>
        <w:rPr>
          <w:rFonts w:ascii="Times New Roman" w:cs="Times New Roman" w:eastAsia="Times New Roman" w:hAnsi="Times New Roman"/>
          <w:sz w:val="18"/>
          <w:szCs w:val="18"/>
          <w:color w:val="auto"/>
        </w:rPr>
        <w:t>”) and will be commencing an application to the Ontario Capital Markets Tribunal to seek, on an expedited basis, an order cease-trading the shareholder rights plan adopted by the Board on June 10, 2024 (the “</w:t>
      </w:r>
      <w:r>
        <w:rPr>
          <w:rFonts w:ascii="Times New Roman" w:cs="Times New Roman" w:eastAsia="Times New Roman" w:hAnsi="Times New Roman"/>
          <w:sz w:val="18"/>
          <w:szCs w:val="18"/>
          <w:u w:val="single" w:color="auto"/>
          <w:color w:val="auto"/>
        </w:rPr>
        <w:t>Poison Pill</w:t>
      </w:r>
      <w:r>
        <w:rPr>
          <w:rFonts w:ascii="Times New Roman" w:cs="Times New Roman" w:eastAsia="Times New Roman" w:hAnsi="Times New Roman"/>
          <w:sz w:val="18"/>
          <w:szCs w:val="18"/>
          <w:color w:val="auto"/>
        </w:rPr>
        <w:t xml:space="preserve">”). The foregoing summary of the Requisition Letter is not intended to be complete and is qualified in its entirety by reference to the full text of the Requisition Letter,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June 24, 2024, the Reporting Person also issued a press release announcing that it has requisitioned the Special Meeting, that it has withdrawn the Proposal and that it stands ready to engage with the reconstituted Board regarding a potential business combination with the Company. The Reporting Person also disclosed that it currently owns approximately 14.9% of the Common Shares and will be applying to the Ontario Capital Markets Tribunal to cease-trade the Poison Pill.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2</w:t>
      </w:r>
      <w:r>
        <w:rPr>
          <w:rFonts w:ascii="Times New Roman" w:cs="Times New Roman" w:eastAsia="Times New Roman" w:hAnsi="Times New Roman"/>
          <w:sz w:val="18"/>
          <w:szCs w:val="18"/>
          <w:color w:val="auto"/>
        </w:rPr>
        <w:t xml:space="preserve">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266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7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c>
          <w:tcPr>
            <w:tcW w:w="3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06/17/2024</w:t>
            </w:r>
          </w:p>
        </w:tc>
        <w:tc>
          <w:tcPr>
            <w:tcW w:w="2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1,925,621</w:t>
            </w:r>
          </w:p>
        </w:tc>
        <w:tc>
          <w:tcPr>
            <w:tcW w:w="2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 – 3.23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24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06/18/2024</w:t>
            </w:r>
          </w:p>
        </w:tc>
        <w:tc>
          <w:tcPr>
            <w:tcW w:w="220" w:type="dxa"/>
            <w:vAlign w:val="bottom"/>
          </w:tcPr>
          <w:p>
            <w:pPr>
              <w:spacing w:after="0"/>
              <w:rPr>
                <w:sz w:val="20"/>
                <w:szCs w:val="20"/>
                <w:color w:val="auto"/>
              </w:rPr>
            </w:pPr>
          </w:p>
        </w:tc>
        <w:tc>
          <w:tcPr>
            <w:tcW w:w="25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1,778,974</w:t>
            </w:r>
          </w:p>
        </w:tc>
        <w:tc>
          <w:tcPr>
            <w:tcW w:w="220" w:type="dxa"/>
            <w:vAlign w:val="bottom"/>
          </w:tcPr>
          <w:p>
            <w:pPr>
              <w:spacing w:after="0"/>
              <w:rPr>
                <w:sz w:val="20"/>
                <w:szCs w:val="20"/>
                <w:color w:val="auto"/>
              </w:rPr>
            </w:pPr>
          </w:p>
        </w:tc>
        <w:tc>
          <w:tcPr>
            <w:tcW w:w="2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20"/>
                <w:szCs w:val="20"/>
                <w:color w:val="auto"/>
              </w:rPr>
            </w:pPr>
          </w:p>
        </w:tc>
        <w:tc>
          <w:tcPr>
            <w:tcW w:w="2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3.01 – 3.22</w:t>
            </w:r>
          </w:p>
        </w:tc>
        <w:tc>
          <w:tcPr>
            <w:tcW w:w="340" w:type="dxa"/>
            <w:vAlign w:val="bottom"/>
          </w:tcPr>
          <w:p>
            <w:pPr>
              <w:spacing w:after="0"/>
              <w:rPr>
                <w:sz w:val="20"/>
                <w:szCs w:val="20"/>
                <w:color w:val="auto"/>
              </w:rPr>
            </w:pPr>
          </w:p>
        </w:tc>
      </w:tr>
      <w:tr>
        <w:trPr>
          <w:trHeight w:val="657"/>
        </w:trPr>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Meeting Requisition and Letter to the Board of Directors of the Company, dated 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2: Press Release of the Reporting Person, dated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6 of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Dated: June 24,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85950" cy="694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5950" cy="6940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Riot Platforms, Inc.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3855 Ambrosia Street, Suite 301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Castle Rock, CO 80109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BY E-MAIL, HAND DELIVERY AND REGISTERED 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with a copy to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9160 Boulevard Leduc, Suite 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Brossard, QC J4Y 0E3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Attention:</w:t>
      </w:r>
      <w:r>
        <w:rPr>
          <w:sz w:val="20"/>
          <w:szCs w:val="20"/>
          <w:color w:val="auto"/>
        </w:rPr>
        <w:tab/>
      </w:r>
      <w:r>
        <w:rPr>
          <w:rFonts w:ascii="Times New Roman" w:cs="Times New Roman" w:eastAsia="Times New Roman" w:hAnsi="Times New Roman"/>
          <w:sz w:val="18"/>
          <w:szCs w:val="18"/>
          <w:b w:val="1"/>
          <w:bCs w:val="1"/>
          <w:color w:val="auto"/>
        </w:rPr>
        <w:t>Board of Directors, c/o Brian Howlett, Lead Director</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As you know, we are the largest shareholder of Bitfarms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being the registered and/or beneficial owner of approximately 14.90% of the outstanding common shares of the Company as of the date hereof. We are writing today to requisition a special meeting of shareholders of the Company in accordance with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for the purpose of electing new independent members of the Company’s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who will act in the best interests of the Company and all of its stakeholders (the “</w:t>
      </w:r>
      <w:r>
        <w:rPr>
          <w:rFonts w:ascii="Times New Roman" w:cs="Times New Roman" w:eastAsia="Times New Roman" w:hAnsi="Times New Roman"/>
          <w:sz w:val="17"/>
          <w:szCs w:val="17"/>
          <w:b w:val="1"/>
          <w:bCs w:val="1"/>
          <w:color w:val="auto"/>
        </w:rPr>
        <w:t>Requisition</w:t>
      </w:r>
      <w:r>
        <w:rPr>
          <w:rFonts w:ascii="Times New Roman" w:cs="Times New Roman" w:eastAsia="Times New Roman" w:hAnsi="Times New Roman"/>
          <w:sz w:val="17"/>
          <w:szCs w:val="17"/>
          <w:color w:val="auto"/>
        </w:rPr>
        <w:t>”). As set out below and in the attached Requisition, shareholders of the Company attending the special meeting, in person or by proxy, will be presented with resolutions to remove as directors of the Company Nicolas Bonta and Andrés Finkielsztain (or their replacements) as well as any individual who may be appointed to fill the current vacancy on the Board following the resignation of Emiliano Grodzki, who failed to be re-elected to the Board at the Company’s most recent annual general and special meeting of shareholders. Shareholders will then vote on the election of John A. Delaney, Amy Freedman and Ralph J. Goehring (the “</w:t>
      </w:r>
      <w:r>
        <w:rPr>
          <w:rFonts w:ascii="Times New Roman" w:cs="Times New Roman" w:eastAsia="Times New Roman" w:hAnsi="Times New Roman"/>
          <w:sz w:val="17"/>
          <w:szCs w:val="17"/>
          <w:b w:val="1"/>
          <w:bCs w:val="1"/>
          <w:color w:val="auto"/>
        </w:rPr>
        <w:t>Independent Nominees</w:t>
      </w:r>
      <w:r>
        <w:rPr>
          <w:rFonts w:ascii="Times New Roman" w:cs="Times New Roman" w:eastAsia="Times New Roman" w:hAnsi="Times New Roman"/>
          <w:sz w:val="17"/>
          <w:szCs w:val="17"/>
          <w:color w:val="auto"/>
        </w:rPr>
        <w:t>”) to the Board. We will also seek to remove any additional director appointed by the Board after the date of this letter.</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set out in our settlement proposal sent to you on June 13, 2024, we had sought to constructively work with you to reconstitute the Board for the benefit of all shareholders; however, as we did not receive any timely or meaningful engagement regarding the proposal, we are left with no choice now but to submit our Requisition and let Bitfarms’ shareholders decide. It is clear to us that you have no intention to engage with us in any meaningful way regarding the acquisition proposal that we submitted to you on April 22, 2024 and we are therefore withdrawing that proposal. Now our focus is on addressing our corporate governance concerns and the reconstitution of the Bitfarms board. We stand ready to engage regarding a potential transaction once a reconstituted board of directors is in place so that any proposal that we may submit in the future will be reviewed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8"/>
          <w:szCs w:val="18"/>
          <w:color w:val="auto"/>
        </w:rPr>
        <w:t>Separately, we also confirm that we will shortly be commencing an application to the Ontario Capital Markets Tribunal (the “</w:t>
      </w:r>
      <w:r>
        <w:rPr>
          <w:rFonts w:ascii="Times New Roman" w:cs="Times New Roman" w:eastAsia="Times New Roman" w:hAnsi="Times New Roman"/>
          <w:sz w:val="18"/>
          <w:szCs w:val="18"/>
          <w:b w:val="1"/>
          <w:bCs w:val="1"/>
          <w:color w:val="auto"/>
        </w:rPr>
        <w:t>Tribunal</w:t>
      </w:r>
      <w:r>
        <w:rPr>
          <w:rFonts w:ascii="Times New Roman" w:cs="Times New Roman" w:eastAsia="Times New Roman" w:hAnsi="Times New Roman"/>
          <w:sz w:val="18"/>
          <w:szCs w:val="18"/>
          <w:color w:val="auto"/>
        </w:rPr>
        <w:t>”) to seek, on an expedited basis, an order cease-trading the 15% trigger poison pill that was improperly adopted by the Board on June 10,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responding to our Requisition and calling the special meeting, we ask that you note the following:</w:t>
      </w:r>
    </w:p>
    <w:p>
      <w:pPr>
        <w:spacing w:after="0" w:line="225" w:lineRule="exact"/>
        <w:rPr>
          <w:sz w:val="20"/>
          <w:szCs w:val="20"/>
          <w:color w:val="auto"/>
        </w:rPr>
      </w:pPr>
    </w:p>
    <w:p>
      <w:pPr>
        <w:jc w:val="both"/>
        <w:ind w:left="1300" w:right="2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Nominees is well-qualified to serve on the Board and is independent of Bitfarms and Riot. None of the Independent Nominees is receiving any compensation or other financial benefit from Riot or any of Riot’s advisors, either directly or indirectly, related to the Requisition or in connection with serving as a nominee or director of Bitfarms.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Requisition sets forth, as business to be conducted at the special meeting: (i) the removal of two individuals as directors of the Company, being Messrs. Bonta and Finkielsztain (or any individual serving as a director of the Company in their place) and any other individual serving as a director of the Company on the date of the meeting, other than Edith M. Hofmeister and Brian Howlett; and (ii) the election of the Independent Nominees. Biographies of the Independent Nominees are attached to the Requisition as Schedule A. Additionally, Schedule B sets forth the document that Riot will be filing pursuant to sections 9.2(4) and 9.2(6) of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in connection with the matters set out herein. The information included in Schedules A and B is being provided for purposes of inclusion in the notice of meeting and management proxy circular to be sent to the shareholders of the Company in connection with the special meeting.</w:t>
      </w:r>
    </w:p>
    <w:p>
      <w:pPr>
        <w:spacing w:after="0" w:line="19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shareholders’ serious concerns regarding the Board’s track record of poor corporate governance, the holding of the meeting is a matter of urgency. Accordingly, we request that the meeting be conducted promptly and no later than by September 20, 2024. While we wish to convene the meeting expeditiously, we also require that the record date for the meeting be set only after the Tribunal has rendered its decision regarding the poison pill. In that regard, if the poison pill is cease-traded by the Tribunal, the Board should not set a record date that would have the effect of neutering the Tribunal decision permitting Riot to increase its stake in Bitfarms, particularly given the significant prejudice that Riot has suffered already as a result of Bitfarms’ improper adoption of the poison pill. In that regard, we expect that, subject only to the requirements of the Act and applicable securities laws, the record date for the special meeting should be set no earlier than twenty-one days after the date the poison pill is cease-traded by the Tribunal. Any attempt by the Board to set a record date earlier than requested will be viewed as further evidence of entrenchment, will clearly prejudice us in exercising our fundamental shareholder rights and we will pursue all available remedies.</w:t>
      </w:r>
    </w:p>
    <w:p>
      <w:pPr>
        <w:spacing w:after="0" w:line="19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request that the Company hold the meeting either in-person or in hybrid format. To ensure comprehensive engagement with shareholders, under no circumstances should the meeting be held using a virtual-only format.</w:t>
      </w:r>
    </w:p>
    <w:p>
      <w:pPr>
        <w:spacing w:after="0" w:line="378"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7"/>
          <w:szCs w:val="17"/>
          <w:color w:val="auto"/>
        </w:rPr>
        <w:t>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1300" w:right="20" w:hanging="644"/>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is duly signed by Riot Platforms, Inc., which is the registered holder of not less than 5% of the Company’s issued and outstanding common shares.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Requisition is an important and legitimate exercise of shareholder rights put forward in an effort to advance sensibly and fairly the best interests of the Company. We trust that you will keep us reasonably and appropriately advised as to the specifics of your plans for the special meeting we have requisitioned. As well, pending the outcome of this process, we must insist that you refrain from taking actions which might involve or result in changes of any significance to the Company, its capital, assets or business.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note that we are always open to constructive discussions with you given that our clear priority is, as we have stated, addressing corporate governance concerns with a view to improving the inherent value proposition of the Company for the benefit of its investors and stakeholders.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Benjamin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Yi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Riot Platforms,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Enclosure</w:t>
      </w:r>
      <w:r>
        <w:rPr>
          <w:rFonts w:ascii="Times New Roman" w:cs="Times New Roman" w:eastAsia="Times New Roman" w:hAnsi="Times New Roman"/>
          <w:sz w:val="18"/>
          <w:szCs w:val="18"/>
          <w:color w:val="auto"/>
        </w:rPr>
        <w:t>: Shareholder Requisition</w:t>
      </w:r>
    </w:p>
    <w:p>
      <w:pPr>
        <w:spacing w:after="0" w:line="200" w:lineRule="exact"/>
        <w:rPr>
          <w:sz w:val="20"/>
          <w:szCs w:val="20"/>
          <w:color w:val="auto"/>
        </w:rPr>
      </w:pPr>
    </w:p>
    <w:p>
      <w:pPr>
        <w:spacing w:after="0" w:line="245"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7"/>
          <w:szCs w:val="17"/>
          <w:color w:val="auto"/>
        </w:rPr>
        <w:t>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June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 M5C 1T4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with a copy to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9160 Boulevard Leduc, Suite 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Brossard, QC J4Y 0E3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Attention:</w:t>
      </w:r>
      <w:r>
        <w:rPr>
          <w:sz w:val="20"/>
          <w:szCs w:val="20"/>
          <w:color w:val="auto"/>
        </w:rPr>
        <w:tab/>
      </w:r>
      <w:r>
        <w:rPr>
          <w:rFonts w:ascii="Times New Roman" w:cs="Times New Roman" w:eastAsia="Times New Roman" w:hAnsi="Times New Roman"/>
          <w:sz w:val="18"/>
          <w:szCs w:val="18"/>
          <w:b w:val="1"/>
          <w:bCs w:val="1"/>
          <w:color w:val="auto"/>
        </w:rPr>
        <w:t>Board of Directors, c/o Brian Howlett, Lead 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Requisition for Special Meeting of Shareholders of Bitfarms Ltd.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being the registered holder of not less than 5% of the issued and outstanding common shares of the Company, hereby requisitions the directors of the Company to forthwith call a special meeting of the shareholders of the Company pursuant to the provisions of section 105 of the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(Ontario)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to be held for the following purposes:</w:t>
      </w:r>
    </w:p>
    <w:p>
      <w:pPr>
        <w:spacing w:after="0" w:line="176"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ordinary resolution to remove Nicolas Bonta (or any individual serving as a director of the Company in his place immediately prior to the special meeting) as a director of the Company pursuant to subsection 122(1) of the Act;</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ordinary resolution to remove Andrés Finkielsztain (or any individual serving as a director of the Company in his place immediately prior to the special meeting) as a director of the Company pursuant to subsection 122(1) of the Act;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ordinary resolution or resolutions to remove each other individual serving as a director of the Company immediately prior to the special meeting, other than Edith M. Hofmeister and Brian Howlett (the foregoing resolutions 1, 2 and 3 are hereafter referred to as the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Removal Resolutions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vacancy or vacancies are created by the Director Removal Resolutions, to fill such vacancy or vacancies with the following nominees pursuant to subsection 122(3) of the Act: John A. Delaney, Amy Freedman and Ralph J. Goehring (the “</w:t>
      </w:r>
      <w:r>
        <w:rPr>
          <w:rFonts w:ascii="Times New Roman" w:cs="Times New Roman" w:eastAsia="Times New Roman" w:hAnsi="Times New Roman"/>
          <w:sz w:val="18"/>
          <w:szCs w:val="18"/>
          <w:b w:val="1"/>
          <w:bCs w:val="1"/>
          <w:color w:val="auto"/>
        </w:rPr>
        <w:t>Director Election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such other business as may properly come before the meeting, including matters necessary or desirable to implement the foregoing.</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the Director Removal Resolutions, the undersigned reserves the right to bring forward one or more resolutions at the special meeting to achieve the intended purpose of each such Director Removal Resolution. With respect to the Director Election Resolutions, the undersigned intends that</w:t>
      </w:r>
    </w:p>
    <w:p>
      <w:pPr>
        <w:jc w:val="both"/>
        <w:ind w:firstLine="8"/>
        <w:spacing w:after="0" w:line="253" w:lineRule="auto"/>
        <w:tabs>
          <w:tab w:leader="none" w:pos="2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nominees for such election of directors is greater than the number of vacancies created by the Director Removal Resolutions, then those nominees receiving the greatest number of votes at the special meeting will be declared elected until all such vacancies have been filled, and (ii) if the number of nominees for such election of directors is equal to the number of vacancies to be filled, then all such nominees will be declared elected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biographies for each of John A. Delaney, Amy Freedman and Ralph J. Goehring are attached hereto as Schedule A. Additionally, Schedule B includes the document that the undersigned will be filing pursuant to sections 9.2(4) and 9.2(6) of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in connection with the matters set out herein, and Schedule C is evidence that the undersigned is the registered holder of not less than 5% of the issued and outstanding common shares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subsection 105(3) of the Act, the directors of the Company are obligated to call a meeting for the transaction of the business set out above. Should the directors fail to call such meeting within 21 days of the Company having received this requisition, the undersigned will have the right to call the meeting in accordance with subsection 105(4) of the Act.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requests that the meeting be held as soon as possible, and in any event no later than September 20, 2024. This date reflects the urgency of the objective underlying this requisition and also provides the Company ample time to prepare and deliver the required materials to shareholders in connection with the meeting. In addition, this date will permit the Company to meet the prescribed deadlines for communications with shareholders under its constating documents and applicable legislation, including National Instrument 54-101 – </w:t>
      </w:r>
      <w:r>
        <w:rPr>
          <w:rFonts w:ascii="Times New Roman" w:cs="Times New Roman" w:eastAsia="Times New Roman" w:hAnsi="Times New Roman"/>
          <w:sz w:val="18"/>
          <w:szCs w:val="18"/>
          <w:i w:val="1"/>
          <w:iCs w:val="1"/>
          <w:color w:val="auto"/>
        </w:rPr>
        <w:t>Communication with Beneficial Owners of Securities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Issuer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be advised that if the Company does not take steps to hold the meeting by September 20, 2024, the undersigned intends to exercise all rights available to it to cause the meeting to be held at the earliest opportunity.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confirmation forthwith that the above-noted meeting has been called for the purposes and within the time period set out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Benjamin Yi</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i w:val="1"/>
          <w:iCs w:val="1"/>
          <w:color w:val="auto"/>
        </w:rPr>
        <w:t>Registered owner of 36,856,350 common shares</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of 24,475,281 common shares</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10540"/>
        <w:spacing w:after="0"/>
        <w:rPr>
          <w:sz w:val="20"/>
          <w:szCs w:val="20"/>
          <w:color w:val="auto"/>
        </w:rPr>
      </w:pPr>
      <w:r>
        <w:rPr>
          <w:rFonts w:ascii="Times New Roman" w:cs="Times New Roman" w:eastAsia="Times New Roman" w:hAnsi="Times New Roman"/>
          <w:sz w:val="17"/>
          <w:szCs w:val="17"/>
          <w:b w:val="1"/>
          <w:bCs w:val="1"/>
          <w:color w:val="auto"/>
        </w:rPr>
        <w:t>Exhibit 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Riot Requisitions Special Meeting of Bitfarms Shareholders and Nominates Three Highly Qualified, Independent Directors to Bring Urgently Needed Change to Bitfarms Board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New Independent Directors Are Necessary to Fix Bitfarms’ Broken Corporate Governance and to Oversee a Fair Strategic Alternatives Process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Riot Urges the Bitfarms Board to Ensure Shareholders Are Heard by Holding the Special Meeting Without Delay</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Riot Withdraws Previous Proposal to Acquire Bitfarms for US$2.30 Per Share; Stands Ready to Engage with Reconstituted Bitfarms Board Regarding a Potential Transaction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CASTLE ROCK, Colo., June 24, 2024 – Riot Platforms, Inc. (NASDAQ: RIOT) (“Riot”) today announced that it has requisitioned a special meeting of Bitfarms Ltd. (NASDAQ: BITF) (“Bitfarms” or the “Company”) shareholders (the “Special Meeting”) to reconstitute the Bitfarms Board of Directors (the “Bitfarms Board”). Riot currently owns approximately 14.9% of Bitfarms, making it Bitfarms’ largest shareholder.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Special Meeting will give Bitfarms shareholders the opportunity to vote on the removal of Bitfarms Chairman and Interim CEO Nicolas Bonta and director Andrés Finkielsztain (or their replacements), and any individual who fills the current vacancy created by the resignation of co-founder Emiliano Grodzki, who was voted off the Bitfarms Board at the Company’s most recent Annual General and Special Meeting of Shareholders. Riot believes that Messrs. Bonta and Finkielsztain bear direct responsibility for the Bitfarms Board’s poor corporate governance practices and consistent inability to realize Bitfarms’ full potential. Riot will also seek to remove any additional director appointed by the Bitfarms Board after the date of this press release.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replace these individuals, Riot has nominated three exceptional candidates: John Delaney, Amy Freedman and Ralph Goehring (the “Nominees”). Each of the Nominees is independent of Riot and Bitfarms and is ideally qualified to help restore shareholders’ confidence in the Bitfarms Board. Together, the Nominees will bring needed independence and corporate governance credentials to the Bitfarms Board, as well as relevant experience overseeing significant corporate transactions and serving in executive management and public company director roles.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bottom line is this: over the course of more than a year of attempting to engage constructively with the Bitfarms Board regarding a potential combination of Bitfarms and Riot, it has become evident to Riot that good faith negotiations simply will not be possible until there is real change in the Bitfarms boardroom. The culture of the current Bitfarms Board is founder-driven, and Riot believes it prioritizes the interests of individual directors over what is best for Bitfarms and its shareholders. The strategic review initiated by the Bitfarms Board was a reaction to the public pressure Riot has placed on the Bitfarms Board and does not address the core issue: until Bitfarms shareholders can truly have their voices heard and fresh perspectives are considered, the fundamental and deep-seated problems that have plagued the Company will continue.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Why Board Change Is Needed Now at Bitfarms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consider the following:</w:t>
      </w:r>
    </w:p>
    <w:p>
      <w:pPr>
        <w:spacing w:after="0" w:line="221" w:lineRule="exact"/>
        <w:rPr>
          <w:sz w:val="20"/>
          <w:szCs w:val="20"/>
          <w:color w:val="auto"/>
        </w:rPr>
      </w:pPr>
    </w:p>
    <w:p>
      <w:pPr>
        <w:jc w:val="both"/>
        <w:ind w:left="340" w:hanging="332"/>
        <w:spacing w:after="0" w:line="257"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Bitfarms once again botched its CEO succession process </w:t>
      </w:r>
      <w:r>
        <w:rPr>
          <w:rFonts w:ascii="Times New Roman" w:cs="Times New Roman" w:eastAsia="Times New Roman" w:hAnsi="Times New Roman"/>
          <w:sz w:val="18"/>
          <w:szCs w:val="18"/>
          <w:color w:val="auto"/>
        </w:rPr>
        <w:t>– Bitfarms announced in March that it planned to seek a replacement for its CEO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at the time, Geoffrey Morphy, but that he would lead Bitfarms until a replacement could be identified. Then, on May 13, Bitfarms abruptly announced Mr. Morphy had been terminated immediately after he filed a $27 million lawsuit against Bitfarms. The sudden termination of the Bitfarms CEO without a transition plan in place at a crucial period of execution for Bitfarms and the industry, as well as the lawsuit allegations – which, if accurate, raise serious questions about whether certain directors are committed to acting in the best interests of all Bitfarms shareholders – represent a dangerous failure of leadership by the current Bitfarms Board.</w:t>
      </w: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 xml:space="preserve">This was not an isolated occurrence: Mr. Morphy was the fourth Bitfarms CEO in five years. The ability to effectively identify, recruit and oversee a CEO is a fundamental duty of a board, and is essential to a well-functioning company’s performance. </w:t>
      </w:r>
      <w:r>
        <w:rPr>
          <w:rFonts w:ascii="Times New Roman" w:cs="Times New Roman" w:eastAsia="Times New Roman" w:hAnsi="Times New Roman"/>
          <w:sz w:val="18"/>
          <w:szCs w:val="18"/>
          <w:u w:val="single" w:color="auto"/>
          <w:color w:val="auto"/>
        </w:rPr>
        <w:t>The persistent and inarguable inability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Bitfarms Board to adequately manage CEO succession is a clear indication that change is needed, and, as longtime directors, Messrs. Bonta and Finkielsztain bear direct responsibility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332" w:hanging="332"/>
        <w:spacing w:after="0" w:line="259"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Bitfarms’ Board has been unwilling to engage constructively with Riot </w:t>
      </w:r>
      <w:r>
        <w:rPr>
          <w:rFonts w:ascii="Times New Roman" w:cs="Times New Roman" w:eastAsia="Times New Roman" w:hAnsi="Times New Roman"/>
          <w:sz w:val="18"/>
          <w:szCs w:val="18"/>
          <w:color w:val="auto"/>
        </w:rPr>
        <w:t>– Following approximately 13 months of attempting to meaningfully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with Bitfarms regarding a potential combination of Bitfarms and Riot, Riot delivered a private acquisition proposal to the Bitfarms Board on April 22, 2024. After providing no constructive response, despite repeated follow up by Riot, the Bitfarms Board demanded that Riot sign a confidentiality agreement that included an excessive and off-market standstill of more than three years and, soon after, advised that the offer was too low, without any guidance as to what terms it would consider acceptable, or any other commentary.</w:t>
      </w:r>
    </w:p>
    <w:p>
      <w:pPr>
        <w:spacing w:after="0" w:line="183" w:lineRule="exact"/>
        <w:rPr>
          <w:rFonts w:ascii="Times New Roman" w:cs="Times New Roman" w:eastAsia="Times New Roman" w:hAnsi="Times New Roman"/>
          <w:sz w:val="18"/>
          <w:szCs w:val="18"/>
          <w:color w:val="auto"/>
        </w:rPr>
      </w:pPr>
    </w:p>
    <w:p>
      <w:pPr>
        <w:jc w:val="both"/>
        <w:ind w:left="33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then, Riot has made multiple attempts to work constructively with Bitfarms toward a mutually beneficial combination – including sending several private letters to the Bitfarms Board proposing paths forward. Instead of engaging in good faith, Bitfarms has responded by implementing a shareholder rights plan – or “poison pill” – with a 15% trigger that is well below the customary 20% threshold. The 15% trigger is in direct conflict with established legal and governance standards, including those published by leading proxy advisory firms Institutional Shareholder Services Inc. and Glass, Lewis &amp; Co. Bitfarms’ poison pill sets a dangerous precedent for Canadian boards seeking to protect their positions at the expense of shareholders, and Riot will be applying to the Ontario Capital Markets Tribunal to cease-trade the poison pill.</w:t>
      </w:r>
    </w:p>
    <w:p>
      <w:pPr>
        <w:spacing w:after="0" w:line="187" w:lineRule="exact"/>
        <w:rPr>
          <w:rFonts w:ascii="Times New Roman" w:cs="Times New Roman" w:eastAsia="Times New Roman" w:hAnsi="Times New Roman"/>
          <w:sz w:val="18"/>
          <w:szCs w:val="18"/>
          <w:color w:val="auto"/>
        </w:rPr>
      </w:pPr>
    </w:p>
    <w:p>
      <w:pPr>
        <w:jc w:val="both"/>
        <w:ind w:left="332"/>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Bitfarms has also made unwarranted and highly negative attacks against Riot and sought to falsely call into question Riot’s intentions and objectives. Even after the adoption of the off-market poison pill, Riot offered the Bitfarms Board an opportunity to avoid the Special Meeting by jointly refreshing the Bitfarms Board. Bitfarms rejected this olive branch. </w:t>
      </w:r>
      <w:r>
        <w:rPr>
          <w:rFonts w:ascii="Times New Roman" w:cs="Times New Roman" w:eastAsia="Times New Roman" w:hAnsi="Times New Roman"/>
          <w:sz w:val="18"/>
          <w:szCs w:val="18"/>
          <w:u w:val="single" w:color="auto"/>
          <w:color w:val="auto"/>
        </w:rPr>
        <w:t>This pattern of behavior reinforces the entrenched mentality of the current Bitfarms Board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its unwillingness to act in the best interests of all Bitfarms shareholders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Bitfarms shareholders have lost confidence in their Board </w:t>
      </w:r>
      <w:r>
        <w:rPr>
          <w:rFonts w:ascii="Times New Roman" w:cs="Times New Roman" w:eastAsia="Times New Roman" w:hAnsi="Times New Roman"/>
          <w:sz w:val="18"/>
          <w:szCs w:val="18"/>
          <w:color w:val="auto"/>
        </w:rPr>
        <w:t>– At Bitfarms’ Annual General and Special Meeting of Shareholders held on May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Bitfarms shareholders voted by a significant margin not to re-elect director and co-founder Emiliano Grodzki to the Bitfarms Board. Further, since Riot made its proposal public on May 28, Riot has been contacted by numerous Bitfarms shareholders who have conveyed support for fully exploring a combination between Riot and Bitfarms. These shareholders have also expressed a lack of confidence in the ability of the current Bitfarms Board to properly oversee a strategic alternatives process, successfully set and guide Bitfarms’ priorities moving forward and, ultimately, act in the best interests of Bitfarms and all of its shareholders.</w:t>
      </w:r>
    </w:p>
    <w:p>
      <w:pPr>
        <w:spacing w:after="0" w:line="186" w:lineRule="exact"/>
        <w:rPr>
          <w:rFonts w:ascii="Times New Roman" w:cs="Times New Roman" w:eastAsia="Times New Roman" w:hAnsi="Times New Roman"/>
          <w:sz w:val="18"/>
          <w:szCs w:val="18"/>
          <w:color w:val="auto"/>
        </w:rPr>
      </w:pPr>
    </w:p>
    <w:p>
      <w:pPr>
        <w:ind w:left="3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Riot is asking that Bitfarms let the views of its shareholders be heard. Based on the response to Riot’s public statements on Bitfarms, </w:t>
      </w:r>
      <w:r>
        <w:rPr>
          <w:rFonts w:ascii="Times New Roman" w:cs="Times New Roman" w:eastAsia="Times New Roman" w:hAnsi="Times New Roman"/>
          <w:sz w:val="18"/>
          <w:szCs w:val="18"/>
          <w:u w:val="single" w:color="auto"/>
          <w:color w:val="auto"/>
        </w:rPr>
        <w:t>Riot is confident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it is not alone in believing that Bitfarms’ corporate governance is broken, and that the status quo cannot be allowed to continue.</w:t>
      </w:r>
    </w:p>
    <w:p>
      <w:pPr>
        <w:spacing w:after="0" w:line="378" w:lineRule="exact"/>
        <w:rPr>
          <w:sz w:val="20"/>
          <w:szCs w:val="20"/>
          <w:color w:val="auto"/>
        </w:rPr>
      </w:pPr>
    </w:p>
    <w:p>
      <w:pPr>
        <w:ind w:left="1109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Riot’s Director Nominees Are Independent, Highly Qualified and Ready to Serve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clear that directors with fresh perspectives are needed to address the issues in the Bitfarms boardroom. Riot is proposing three highly qualified individuals, each of whom is completely independent of Riot and Bitfarms. None of these nominees is receiving any compensation or other financial benefit from Riot or any of Riot’s advisors, either directly or indirectly, related to Riot’s requisition of the Special Meeting or in connection with serving as a nominee or director of Bitfarms. Together, they will bring much needed corporate governance oversight, transaction experience and business expertise to the Bitfarms Board:</w:t>
      </w:r>
    </w:p>
    <w:p>
      <w:pPr>
        <w:spacing w:after="0" w:line="179" w:lineRule="exact"/>
        <w:rPr>
          <w:sz w:val="20"/>
          <w:szCs w:val="20"/>
          <w:color w:val="auto"/>
        </w:rPr>
      </w:pPr>
    </w:p>
    <w:p>
      <w:pPr>
        <w:jc w:val="both"/>
        <w:ind w:left="340" w:hanging="332"/>
        <w:spacing w:after="0" w:line="239"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John Delaney</w:t>
      </w:r>
      <w:r>
        <w:rPr>
          <w:rFonts w:ascii="Times New Roman" w:cs="Times New Roman" w:eastAsia="Times New Roman" w:hAnsi="Times New Roman"/>
          <w:sz w:val="18"/>
          <w:szCs w:val="18"/>
          <w:color w:val="auto"/>
        </w:rPr>
        <w:t>, a government and public affairs expert with experience in the public and private sectors who currently serves as President of Flagler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College, Of Counsel at government relations firm The Fiorentino Group and Of Counsel at law firm Rogers Towers P.A. Previously, he served in numerous political roles, including as the Mayor of Jacksonville – the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largest city by population in the United States. John currently serves as a director on the board of privately-held Main Street America Insurance (formerly The Main Street America Group), and previously was on the boards of Jacksonville Bancorp, Inc. (formerly Nasdaq: JAXB) and Florida Rock Industries, Inc. (formerly NYSE: FRK) – both of which were successfully acquired. </w:t>
      </w:r>
      <w:r>
        <w:rPr>
          <w:rFonts w:ascii="Times New Roman" w:cs="Times New Roman" w:eastAsia="Times New Roman" w:hAnsi="Times New Roman"/>
          <w:sz w:val="18"/>
          <w:szCs w:val="18"/>
          <w:b w:val="1"/>
          <w:bCs w:val="1"/>
          <w:i w:val="1"/>
          <w:iCs w:val="1"/>
          <w:color w:val="auto"/>
        </w:rPr>
        <w:t>John will bring decades of public policy and government relations knowledge, which is critical to the Bitcoin mining industry 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forward, as well as crucial hands-on experience overseeing successful sale processes as a public company director.</w:t>
      </w:r>
    </w:p>
    <w:p>
      <w:pPr>
        <w:spacing w:after="0" w:line="19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Amy Freedman</w:t>
      </w:r>
      <w:r>
        <w:rPr>
          <w:rFonts w:ascii="Times New Roman" w:cs="Times New Roman" w:eastAsia="Times New Roman" w:hAnsi="Times New Roman"/>
          <w:sz w:val="18"/>
          <w:szCs w:val="18"/>
          <w:color w:val="auto"/>
        </w:rPr>
        <w:t>, a corporate governance and public capital markets expert with over 25 years of experience. She is currently an advisor to Ewing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Morris and Co. Investment Partners and to Longacre Square Partners. Prior to serving as an advisor to Ewing Morris, Ms. Freedman was a Partner and Head of Engagement Fund Investing at Ewing Morris. Previously, she was CEO of Kingsdale Advisors, a leading shareholder services and advisory firm, and spent over 15 years in capital markets as an investment banker with global firms including Stifel Financial Corp. (NYSE: SF) and Morgan Stanley (NYSE: MS). Ms. Freedman is currently a director on the boards of Mandalay Resources Corporation (TSX: MND, OTCQB: MNDJF), Irish Residential Properties REIT plc (ISE: IRES) and American Hotel Income Properties REIT (TSX: HOT.UN, HOT.U). Ms. Freedman is also currently a director of Canaccord Genuity (TSX: CF), but her tenure on the board of Canaccord Genuity will end on August 9, 2024, as she is not standing for re-election. She formerly served on the board of Park Lawn Corporation (TSX: PLC, PLC.U). </w:t>
      </w:r>
      <w:r>
        <w:rPr>
          <w:rFonts w:ascii="Times New Roman" w:cs="Times New Roman" w:eastAsia="Times New Roman" w:hAnsi="Times New Roman"/>
          <w:sz w:val="18"/>
          <w:szCs w:val="18"/>
          <w:b w:val="1"/>
          <w:bCs w:val="1"/>
          <w:i w:val="1"/>
          <w:iCs w:val="1"/>
          <w:color w:val="auto"/>
        </w:rPr>
        <w:t>Amy will bring decades of experience helping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improve corporate governance and evaluate complex M&amp;A transactions and possesses a unique perspective from having served as both a public company advisor and director.</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Ralph Goehring</w:t>
      </w:r>
      <w:r>
        <w:rPr>
          <w:rFonts w:ascii="Times New Roman" w:cs="Times New Roman" w:eastAsia="Times New Roman" w:hAnsi="Times New Roman"/>
          <w:sz w:val="18"/>
          <w:szCs w:val="18"/>
          <w:color w:val="auto"/>
        </w:rPr>
        <w:t>, a financial and energy expert with extensive experience serving as a public company CFO. Ralph is currently a Business 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Global Clean Energy Holdings, Inc. (OTCQB: GCEH), where he previously served as CFO, and is also the founder and CEO of SandDollar Financial, LLC, an accounting firm that provides outsourced accounting and CFO services. Formerly, he was the CFO of both Bonanza Creek Energy, Inc. and Berry Petroleum Company. Ralph is currently President and CEO, and a board member, of privately-held Black Horse Resources, and previously served on the board of Strathmore Minerals Corp. (formerly TSX: STM), which was successfully sold. </w:t>
      </w:r>
      <w:r>
        <w:rPr>
          <w:rFonts w:ascii="Times New Roman" w:cs="Times New Roman" w:eastAsia="Times New Roman" w:hAnsi="Times New Roman"/>
          <w:sz w:val="18"/>
          <w:szCs w:val="18"/>
          <w:b w:val="1"/>
          <w:bCs w:val="1"/>
          <w:i w:val="1"/>
          <w:iCs w:val="1"/>
          <w:color w:val="auto"/>
        </w:rPr>
        <w:t>Ralph will bring relevant energy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industry and executive leadership experience, as well as extensive public company financial, accounting and tax expertise – which is integral to any potential M&amp;A process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Together, these three individuals possess the right fit-for-purpose skillsets and experience to be able to objectively help oversee the strategic alternatives process at Bitfarms – as well as to help guide Bitfarms forward if the Bitfarms Board ultimately determines that is the optimal direction for all Bitfarms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Next Steps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Bitfarms Board should demonstrate respect for the rights of its shareholders by holding the Special Meeting without delay. Any gamesmanship or tactics to avoid calling the Special Meeting as soon as possible will only be further evidence of entrenchment and a disregard for the will of Bitfarms’ shareholders.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continues to believe that a combination of Bitfarms and Riot will create the premier and largest publicly listed Bitcoin miner globally, with geographically diversified operations well-positioned for long-term growth. Riot remains completely committed to pursuing a transaction with Bitfarms. However, it is clear that engaging with the incumbent Bitfarms Board on a potential combination is just not possible. As a result, Riot has informed the Bitfarms Board that it has formally withdrawn its previous proposal to acquire all Bitfarms common shares at a price of US$2.30 per share and stands ready to engage and negotiate with a reconstituted Bitfarms Board to pursue a mutually beneficial combination of Bitfarms and Riot.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Canadian Early Warning Disclosure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Riot includes the following disclosure pursuant to Part 3 of Canadian National Instrument 62-103 – </w:t>
      </w:r>
      <w:r>
        <w:rPr>
          <w:rFonts w:ascii="Times New Roman" w:cs="Times New Roman" w:eastAsia="Times New Roman" w:hAnsi="Times New Roman"/>
          <w:sz w:val="18"/>
          <w:szCs w:val="18"/>
          <w:i w:val="1"/>
          <w:iCs w:val="1"/>
          <w:color w:val="auto"/>
        </w:rPr>
        <w:t>The Early Warning System and Related Take-Over Bid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Insider Reporting Issues </w:t>
      </w:r>
      <w:r>
        <w:rPr>
          <w:rFonts w:ascii="Times New Roman" w:cs="Times New Roman" w:eastAsia="Times New Roman" w:hAnsi="Times New Roman"/>
          <w:sz w:val="18"/>
          <w:szCs w:val="18"/>
          <w:color w:val="auto"/>
        </w:rPr>
        <w:t>and Part 5 of Canadian National Instrument 62-104 –</w:t>
      </w:r>
      <w:r>
        <w:rPr>
          <w:rFonts w:ascii="Times New Roman" w:cs="Times New Roman" w:eastAsia="Times New Roman" w:hAnsi="Times New Roman"/>
          <w:sz w:val="18"/>
          <w:szCs w:val="18"/>
          <w:i w:val="1"/>
          <w:iCs w:val="1"/>
          <w:color w:val="auto"/>
        </w:rPr>
        <w:t xml:space="preserve"> Take-Over Bids and Issuer Bids </w:t>
      </w:r>
      <w:r>
        <w:rPr>
          <w:rFonts w:ascii="Times New Roman" w:cs="Times New Roman" w:eastAsia="Times New Roman" w:hAnsi="Times New Roman"/>
          <w:sz w:val="18"/>
          <w:szCs w:val="18"/>
          <w:color w:val="auto"/>
        </w:rPr>
        <w:t>in respect of Bitfarms.</w:t>
      </w:r>
    </w:p>
    <w:p>
      <w:pPr>
        <w:spacing w:after="0" w:line="37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8"/>
          <w:szCs w:val="18"/>
          <w:color w:val="auto"/>
        </w:rPr>
        <w:t>Riot’s early warning report dated June 13, 2024 disclosed that Riot beneficially owned 57,627,036 common shares in Bitfarms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representing approximately 14.0% of the issued and outstanding Common Shares as of June 13, 2024 (as calculated based on the information most recently provided by Bitfarms in its material change report dated June 10, 2024). As of the date hereof, Riot beneficially owns 61,331,631 Common Shares, representing approximately 14.9% of the issued and outstanding Common Shares (as calculated based on the information most recently provided by Bitfarms in its material change report dated June 10,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Riot intends to review its investment in Bitfarms on a continuing basis and depending upon various factors, including without limitation, any discussion between Riot, Bitfarms and/or the Bitfarms Board and its advisors regarding, among other things, the requisitioned Special Meeting and/or the composition of the Bitfarms Board, Bitfarms’ financial position and strategic direction, overall market conditions, other investment opportunities available to Riot, and the availability of securities of Bitfarms at prices that would make the purchase or sale of such securities desirable, Riot may (i) increase or decrease its position in Bitfarms through, among other things, the purchase or sale of securities of Bitfarms, including through transactions involving the Common Shares and/or other equity, debt, notes, other securities, or derivative or other instruments that are based upon or relate to the value of securities of Bitfarms in the open market or otherwise, (ii) enter into transactions that increase or hedge its economic exposure to the Common Shares without affecting its beneficial ownership of the Common Shares or (iii) consider or propose one or more of the actions described in subparagraphs (a) - (k) of Item 5 of Riot’s early warning report filed on June 24, 2024 in accordance with applicable Canadian securities laws, including submitting a revised proposal to acquire Bitfarms.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Riot will file the early warning report in accordance with applicable securities laws, which will be available under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The address of Riot is 3855 Ambrosia Street, Suite 301, Castle Rock, CO 80109.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and to obtain a copy of the Early Warning Report, please see the Company’s profile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contact Phil McPherson, Vice President, Capital Markets &amp; Investor Relations, at (303) 794-2000 ext. 110.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Riot to achieve best-in-class execution and create successful outcomes.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Riot, a Nevada corporation, is a Bitcoin mining and digital infrastructure company focused on a vertically integrated strategy. Riot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Bitfarms will enter into discussions with Riot regarding the proposed combination of Riot and Bitfarms; the outcome of any such discussions, including the terms and conditions of any such potential combination; the future performance, liquidity and financial position of the combined company, and its ability to achieve expected synergies; uncertainties as to timing of the Special Meeting or the outcome.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in Support of Public Broadcast Exemption under Canadian Law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information contained in this press release does not and is not meant to constitute a solicitation of a proxy within the meaning of applicable corporate and securities laws. Shareholders of the Company are not being asked at this time to execute a proxy in favour of Riot’s director nominees or in respect of any other matter to be acted upon at the Special Meeting. In connection with the Special Meeting, Riot intends to file a dissident information circular in due course in compliance with applicable corporate and securities laws. Notwithstanding the foregoing, Riot has voluntarily provided in, or incorporated by reference into, this press release the disclosure required under section 9.2(4) of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xml:space="preserve"> (“NI 51-102”) and has filed a document (the “Document”) containing disclosure prescribed by applicable corporate law and disclosure required under section 9.2(6) of NI 51-102 in respect of Riot’s director nominees, in accordance with corporate and securities laws applicable to public broadcast solicitations. The Document is hereby incorporated by reference into this press release and is available under the Company’s profile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The registered office of the Company is 110 Yonge Street, Suite 1601, Toronto, ON M5C 1T4 Canada.</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Riot nor any director or officer of Riot is requesting that Company shareholders submit a proxy at this time. Once formal solicitation of proxies in connection with the Special Meeting has commenced, proxies may be revoked by a registered holder of Company shares: (a) by completing and signing a valid proxy bearing a later date and returning it in accordance with the instructions contained in the accompanying form of proxy; (b) by depositing an instrument in writing that is signed by the shareholder or an attorney who is authorized by a document that is signed in writing or by electronic signature;</w:t>
      </w:r>
    </w:p>
    <w:p>
      <w:pPr>
        <w:spacing w:after="0" w:line="3" w:lineRule="exact"/>
        <w:rPr>
          <w:sz w:val="20"/>
          <w:szCs w:val="20"/>
          <w:color w:val="auto"/>
        </w:rPr>
      </w:pPr>
    </w:p>
    <w:p>
      <w:pPr>
        <w:jc w:val="both"/>
        <w:ind w:firstLine="8"/>
        <w:spacing w:after="0" w:line="252" w:lineRule="auto"/>
        <w:tabs>
          <w:tab w:leader="none" w:pos="2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by telephonic or electronic means a revocation that is signed by electronic signature in accordance with applicable law, as the case may be: (i) at the registered office of the Company at any time up to and including the last business day preceding the day the Special Meeting or any adjournment or postponement of the Special Meeting is to be held, or (ii) with the chair of the Special Meeting on the day of the Special Meeting or any adjournment or postponement of the Special Meeting; or (d) in any other manner permitted by law. In addition, proxies may be revoked by a non-registered holder of Company shares at any time by written notice to the intermediary in accordance with the instructions given to the non-registered holder by its intermediary.</w:t>
      </w:r>
    </w:p>
    <w:p>
      <w:pPr>
        <w:spacing w:after="0" w:line="200" w:lineRule="exact"/>
        <w:rPr>
          <w:sz w:val="20"/>
          <w:szCs w:val="20"/>
          <w:color w:val="auto"/>
        </w:rPr>
      </w:pPr>
    </w:p>
    <w:p>
      <w:pPr>
        <w:spacing w:after="0" w:line="20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and any solicitation made by Riot in advance of the Special Meeting is, or will be, as applicable, made by Riot, and not by or on behalf of the management of the Company. Proxies may be solicited by proxy circular, mail, telephone, email or other electronic means, as well as by newspaper or other media advertising and in person by managers, directors, officers and employees of Riot who will not be specifically remunerated therefor. In addition, Riot may solicit proxies by way of public broadcast, including press release, speech or publication and any other manner permitted under applicable Canadian laws, and may engage the services of one or more agents and authorize other persons to assist it in soliciting proxies on their behalf.</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Riot has entered into agreements with Okapi Partners LLC (“Okapi”) and Shorecrest Group Ltd. (“Shorecrest”) in connection with solicitation and advisory services in respect of the requisitioned meeting, for which Okapi will receive a fee not to exceed US$1,200,000 and Shorecrest will receive a fee not to exceed US$110,000, in each case together with reimbursement for reasonable and out-of-pocket expenses, and under which each of Okapi and Shorecrest will be indemnified against certain liabilities and expenses, including certain liabilities under securities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incurred in the preparation and mailing of any circular or proxy solicitation by Riot will be borne directly and indirectly by Riot. In the event any of the Nominees are elected or appointed to the Bitfarms Board, Riot intends to seek reimbursement from Bitfarms of all expenses it incurs in connection with the solicitation of proxies for the election of the Nominees at the Special Meeting.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Riot, any director or officer of Riot nor any associate or affiliate of the foregoing (i) has any material interest, direct or indirect, by way of beneficial ownership of securities of the Company or otherwise, in any matter to be acted upon at the Special Meeting, other than the election of directors, or (ii) has or has had any material interest, direct or indirect, in any transaction since the beginning of the Company’s last completed financial year or, other than the proposal submitted by Riot to Bitfarms on April 22, 2024 and referred to in Riot’s press release dated May 28, 2024 (which proposal has since been withdrawn by Riot), in any proposed transaction that has materially affected or will materially affect the Company or any of the Company’s affiliates.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to Purchase or Sell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Shorecrest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1-888-637-5789 (North American Toll-Free)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contact@shorecrestgroup.com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0" w:lineRule="exact"/>
        <w:rPr>
          <w:sz w:val="20"/>
          <w:szCs w:val="20"/>
          <w:color w:val="auto"/>
        </w:rPr>
      </w:pPr>
    </w:p>
    <w:p>
      <w:pPr>
        <w:spacing w:after="0" w:line="22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3"/>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2024-06-24T08:03:56Z</dcterms:created>
  <dcterms:modified xsi:type="dcterms:W3CDTF">2024-06-24T08:03:56Z</dcterms:modified>
</cp:coreProperties>
</file>