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8808-6k_bitfarms.htm"/>
      <w:bookmarkStart w:id="1" w:name="ksea0208808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July 1,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F-10</w:t>
        </w:r>
      </w:hyperlink>
      <w:r>
        <w:rPr>
          <w:rFonts w:ascii="Times New Roman;Times;Serif" w:hAnsi="Times New Roman;Times;Serif"/>
          <w:b w:val="false"/>
          <w:i w:val="false"/>
          <w:caps w:val="false"/>
          <w:smallCaps w:val="false"/>
          <w:sz w:val="20"/>
        </w:rPr>
        <w:t xml:space="preserve"> (File No. 333-272989) and the Registration Statement of Bitfarms Ltd. on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333-278868).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980"/>
        <w:gridCol w:w="60"/>
        <w:gridCol w:w="3545"/>
      </w:tblGrid>
      <w:tr>
        <w:trPr/>
        <w:tc>
          <w:tcPr>
            <w:tcW w:w="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vAlign w:val="center"/>
          </w:tcPr>
          <w:p>
            <w:pPr>
              <w:pStyle w:val="TableContents"/>
              <w:bidi w:val="0"/>
              <w:spacing w:before="0" w:after="283"/>
              <w:jc w:val="left"/>
              <w:rPr/>
            </w:pPr>
            <w:r>
              <w:rPr/>
              <w:t> </w:t>
            </w:r>
          </w:p>
        </w:tc>
        <w:tc>
          <w:tcPr>
            <w:tcW w:w="354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both"/>
              <w:rPr/>
            </w:pPr>
            <w:hyperlink w:anchor="ea020880801ex99-1_bitfarms.htm">
              <w:r>
                <w:rPr>
                  <w:rStyle w:val="InternetLink"/>
                  <w:rFonts w:ascii="Times New Roman;Times;Serif" w:hAnsi="Times New Roman;Times;Serif"/>
                  <w:sz w:val="20"/>
                </w:rPr>
                <w:t>Material Change Report dated July 1,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75"/>
        <w:gridCol w:w="320"/>
        <w:gridCol w:w="590"/>
        <w:gridCol w:w="2240"/>
      </w:tblGrid>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Nicolas Bonta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Nicolas Bonta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Interim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0880801ex99-1_bitfarms.htm"/>
      <w:bookmarkStart w:id="3" w:name="ksea020880801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bidi w:val="0"/>
        <w:spacing w:before="0" w:after="0"/>
        <w:ind w:left="0" w:right="0" w:hanging="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66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1</w:t>
            </w:r>
          </w:p>
        </w:tc>
        <w:tc>
          <w:tcPr>
            <w:tcW w:w="3305" w:type="dxa"/>
            <w:tcBorders/>
            <w:vAlign w:val="center"/>
          </w:tcPr>
          <w:p>
            <w:pPr>
              <w:pStyle w:val="TableContents"/>
              <w:bidi w:val="0"/>
              <w:spacing w:before="0" w:after="283"/>
              <w:jc w:val="both"/>
              <w:rPr>
                <w:b/>
              </w:rPr>
            </w:pPr>
            <w:r>
              <w:rPr>
                <w:b/>
              </w:rPr>
              <w:t>Name and Address of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Yonge Street, Suite 1601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1T4</w:t>
      </w:r>
    </w:p>
    <w:p>
      <w:pPr>
        <w:pStyle w:val="TextBody"/>
        <w:bidi w:val="0"/>
        <w:spacing w:before="0" w:after="0"/>
        <w:ind w:left="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66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2</w:t>
            </w:r>
          </w:p>
        </w:tc>
        <w:tc>
          <w:tcPr>
            <w:tcW w:w="2555" w:type="dxa"/>
            <w:tcBorders/>
            <w:vAlign w:val="center"/>
          </w:tcPr>
          <w:p>
            <w:pPr>
              <w:pStyle w:val="TableContents"/>
              <w:bidi w:val="0"/>
              <w:spacing w:before="0" w:after="283"/>
              <w:jc w:val="both"/>
              <w:rPr>
                <w:b/>
              </w:rPr>
            </w:pPr>
            <w:r>
              <w:rPr>
                <w:b/>
              </w:rPr>
              <w:t>Date of Material 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2024.</w:t>
      </w:r>
    </w:p>
    <w:p>
      <w:pPr>
        <w:pStyle w:val="TextBody"/>
        <w:bidi w:val="0"/>
        <w:spacing w:before="0" w:after="0"/>
        <w:ind w:left="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665"/>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3</w:t>
            </w:r>
          </w:p>
        </w:tc>
        <w:tc>
          <w:tcPr>
            <w:tcW w:w="1415" w:type="dxa"/>
            <w:tcBorders/>
            <w:vAlign w:val="center"/>
          </w:tcPr>
          <w:p>
            <w:pPr>
              <w:pStyle w:val="TableContents"/>
              <w:bidi w:val="0"/>
              <w:spacing w:before="0" w:after="283"/>
              <w:jc w:val="both"/>
              <w:rPr>
                <w:b/>
              </w:rPr>
            </w:pPr>
            <w:r>
              <w:rPr>
                <w:b/>
              </w:rPr>
              <w:t>News Release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July 1, 2024 by a newswire company in Canada.</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66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4</w:t>
            </w:r>
          </w:p>
        </w:tc>
        <w:tc>
          <w:tcPr>
            <w:tcW w:w="3080" w:type="dxa"/>
            <w:tcBorders/>
            <w:vAlign w:val="center"/>
          </w:tcPr>
          <w:p>
            <w:pPr>
              <w:pStyle w:val="TableContents"/>
              <w:bidi w:val="0"/>
              <w:spacing w:before="0" w:after="283"/>
              <w:jc w:val="both"/>
              <w:rPr>
                <w:b/>
              </w:rPr>
            </w:pPr>
            <w:r>
              <w:rPr>
                <w:b/>
              </w:rPr>
              <w:t>Summary of Material 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665"/>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5</w:t>
            </w:r>
          </w:p>
        </w:tc>
        <w:tc>
          <w:tcPr>
            <w:tcW w:w="3710" w:type="dxa"/>
            <w:tcBorders/>
            <w:vAlign w:val="center"/>
          </w:tcPr>
          <w:p>
            <w:pPr>
              <w:pStyle w:val="TableContents"/>
              <w:bidi w:val="0"/>
              <w:spacing w:before="0" w:after="283"/>
              <w:jc w:val="both"/>
              <w:rPr>
                <w:b/>
              </w:rPr>
            </w:pPr>
            <w:r>
              <w:rPr>
                <w:b/>
              </w:rPr>
              <w:t>Full Description of Material 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665"/>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6</w:t>
            </w:r>
          </w:p>
        </w:tc>
        <w:tc>
          <w:tcPr>
            <w:tcW w:w="6080" w:type="dxa"/>
            <w:tcBorders/>
            <w:vAlign w:val="center"/>
          </w:tcPr>
          <w:p>
            <w:pPr>
              <w:pStyle w:val="TableContents"/>
              <w:bidi w:val="0"/>
              <w:spacing w:before="0" w:after="283"/>
              <w:jc w:val="both"/>
              <w:rPr>
                <w:b/>
              </w:rPr>
            </w:pPr>
            <w:r>
              <w:rPr>
                <w:b/>
              </w:rPr>
              <w:t xml:space="preserve">Reliance of subsection 7.1(2) of National Instrument 51-102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283"/>
        <w:jc w:val="left"/>
        <w:rPr/>
      </w:pPr>
      <w:r>
        <w:rPr/>
        <w:t> </w:t>
      </w:r>
    </w:p>
    <w:tbl>
      <w:tblPr>
        <w:tblW w:w="2853" w:type="dxa"/>
        <w:jc w:val="left"/>
        <w:tblInd w:w="0" w:type="dxa"/>
        <w:tblLayout w:type="fixed"/>
        <w:tblCellMar>
          <w:top w:w="0" w:type="dxa"/>
          <w:left w:w="0" w:type="dxa"/>
          <w:bottom w:w="0" w:type="dxa"/>
          <w:right w:w="0" w:type="dxa"/>
        </w:tblCellMar>
      </w:tblPr>
      <w:tblGrid>
        <w:gridCol w:w="38"/>
        <w:gridCol w:w="66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7</w:t>
            </w:r>
          </w:p>
        </w:tc>
        <w:tc>
          <w:tcPr>
            <w:tcW w:w="2150" w:type="dxa"/>
            <w:tcBorders/>
            <w:vAlign w:val="center"/>
          </w:tcPr>
          <w:p>
            <w:pPr>
              <w:pStyle w:val="TableContents"/>
              <w:bidi w:val="0"/>
              <w:spacing w:before="0" w:after="283"/>
              <w:jc w:val="both"/>
              <w:rPr>
                <w:b/>
              </w:rPr>
            </w:pPr>
            <w:r>
              <w:rPr>
                <w:b/>
              </w:rPr>
              <w:t>Omitted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665"/>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8</w:t>
            </w:r>
          </w:p>
        </w:tc>
        <w:tc>
          <w:tcPr>
            <w:tcW w:w="1790" w:type="dxa"/>
            <w:tcBorders/>
            <w:vAlign w:val="center"/>
          </w:tcPr>
          <w:p>
            <w:pPr>
              <w:pStyle w:val="TableContents"/>
              <w:bidi w:val="0"/>
              <w:spacing w:before="0" w:after="283"/>
              <w:jc w:val="both"/>
              <w:rPr>
                <w:b/>
              </w:rPr>
            </w:pPr>
            <w:r>
              <w:rPr>
                <w:b/>
              </w:rPr>
              <w:t>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Bonta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nbonta@bitfarms.com</w:t>
      </w:r>
    </w:p>
    <w:p>
      <w:pPr>
        <w:pStyle w:val="TextBody"/>
        <w:bidi w:val="0"/>
        <w:spacing w:before="0" w:after="0"/>
        <w:ind w:left="0" w:right="0" w:hanging="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66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9</w:t>
            </w:r>
          </w:p>
        </w:tc>
        <w:tc>
          <w:tcPr>
            <w:tcW w:w="1550" w:type="dxa"/>
            <w:tcBorders/>
            <w:vAlign w:val="center"/>
          </w:tcPr>
          <w:p>
            <w:pPr>
              <w:pStyle w:val="TableContents"/>
              <w:bidi w:val="0"/>
              <w:spacing w:before="0" w:after="283"/>
              <w:jc w:val="both"/>
              <w:rPr>
                <w:b/>
              </w:rPr>
            </w:pPr>
            <w:r>
              <w:rPr>
                <w:b/>
              </w:rPr>
              <w:t>Date of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shd w:fill="FFFFFF" w:val="clear"/>
        <w:bidi w:val="0"/>
        <w:spacing w:before="0" w:after="0"/>
        <w:ind w:left="0" w:right="0" w:hanging="11"/>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257425"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Provides June 2024 Production</w:t>
        <w:br/>
        <w:t>and Operations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Earned 189 BTC in June 2024 -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Increased installed hashrate to 11.4 EH/s with 10.4 EH/s operational -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Improved energy efficiency to 25 w/TH, up 36% Y/Y and 7.4% M/M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Strategic U.S. expansion with 120 MW site, well suited for HPC/AI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- 2025 power capacity target more than doubles to 648 MW from current 310 MW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track to deliver 21 EH/s and 21 w/TH in 2024; Initiated 2025 guidance of 35+ EH/s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prospectus supplement dated March 8, 2024, to its short form base shelf prospectus dated November 10, 2023.</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(July 1, 2024)</w:t>
      </w:r>
      <w:r>
        <w:rPr>
          <w:rFonts w:ascii="Times New Roman;Times;Serif" w:hAnsi="Times New Roman;Times;Serif"/>
          <w:b w:val="false"/>
          <w:i w:val="false"/>
          <w:caps w:val="false"/>
          <w:smallCaps w:val="false"/>
          <w:sz w:val="20"/>
        </w:rPr>
        <w:t xml:space="preserve"> - Bitfarms Ltd. (NASDAQ/ TSX: BITF), a global vertically integrated Bitcoin mining company, provides its monthly production report and update on its fleet upgrade and expansion. All financial references are in U.S. dollars.</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1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make progress on our fleet upgrades and new facility constructions, having installed over 39,000 new miners and deracked over 39,000 old miners so far this year. We exited the month with 11.4 EH/s installed, 10.4 EH/s operational and 25 w/TH efficiency,” said Ben Gagnon, Chief Mining Officer. “Upgrades at all of our Quebec facilities are now complete and have significantly expanded our hashrate and improved our energy efficiency and gross mining margins across our portfolio.”</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Paraguay, our Paso Pe facility was energized with 4 of 5 warehouses and 6 of 8 hydro containers fully operational, contributing 2.5 EH/s with the remaining 0.6 EH/s to be energized in July. Severe weather in June, impacting both logistics and operations, contributed to moderate delays and temporary underperformance of miners.”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Executing on our strategy to cost-effectively expand our U.S. operating footprint, Bitfarms entered into a new agreement to develop a 120 MW site in Sharon, Pennsylvania. Situated strategically within the Pennsylvania-New Jersey-Maryland Interconnection (PJM), the largest wholesale electricity market in the U.S., and in a deregulated state, this site offers access to competitively priced electricity supply with opportunities to participate in demand response and curtailment programs, positioning Bitfarms to improve its corporate electricity price. The site is well suited for high intensity computing beyond Bitcoin mining, including HPC (high performance computing) and AI (artificial intelligence) services.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Phillippe Fortier, SVP of Corporate Development, stated, “We are confident that Sharon’s operations in the PJM grid will provide long-term access to low-cost U.S. energy and flexible power trading options in addition to revenue diversification opportunities. Importantly, PJM’s rapid replacement of coal powered plants is among the largest contributors to the reduction of greenhouse gas emissions in the U.S., rendering the opportunity both environmentally and economically sustainable. Given these significant advantages, we are actively engaged in assessing several opportunities to expand our presence within the attractive PJM region.”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Leveraging our operational excellence and data center design expertise, we’re poised to optimize this site and drive accretive growth,” said Jeff Lucas, Chief Financial Officer. “This brings our 2025 power capacity target to 648 MW, representing 109% growth from current capacity. With the Sharon site’s ability to support 8 EH/s, alongside our recent acquisition of an additional 100 MW in Paraguay, we are initiating 2025 guidance of over 35 EH/s. As additional opportunities in our pipeline come to fruition, we will update both our contracted power capacity and our 2025 EH/s target. We remain committed to pursuing similar strategic ventures aimed at delivering significant value to our shareholders.”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the Paso Pe 70 MW substation was successfully energized, making it the Company’s largest active facility by both hashrate and energy capacity. Shipping delays on miners into Paraguay have resulted in a temporary delay in installing 600 PH/s. These miners are now scheduled to be received, installed and energized in July.</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mining operations generated 189 BTC compared to 156 BTC in May as a result of increasing corporate hashrate during the month. Additionally, curtailment in Argentina and downtime associated with upgrading miners in Quebec reduced total production which was partially offset by a 0.8% decrease in network difficulty compared to May.</w:t>
      </w:r>
    </w:p>
    <w:p>
      <w:pPr>
        <w:pStyle w:val="TextBody"/>
        <w:bidi w:val="0"/>
        <w:spacing w:before="0" w:after="0"/>
        <w:ind w:left="0" w:right="0" w:hanging="0"/>
        <w:jc w:val="both"/>
        <w:rPr>
          <w:caps w:val="false"/>
          <w:smallCaps w:val="false"/>
        </w:rPr>
      </w:pPr>
      <w:r>
        <w:rPr>
          <w:caps w:val="false"/>
          <w:smallCaps w:val="false"/>
        </w:rPr>
        <w:t> </w:t>
      </w:r>
    </w:p>
    <w:tbl>
      <w:tblPr>
        <w:tblW w:w="6827" w:type="dxa"/>
        <w:jc w:val="left"/>
        <w:tblInd w:w="0" w:type="dxa"/>
        <w:tblLayout w:type="fixed"/>
        <w:tblCellMar>
          <w:top w:w="0" w:type="dxa"/>
          <w:left w:w="0" w:type="dxa"/>
          <w:bottom w:w="28" w:type="dxa"/>
          <w:right w:w="0" w:type="dxa"/>
        </w:tblCellMar>
      </w:tblPr>
      <w:tblGrid>
        <w:gridCol w:w="3320"/>
        <w:gridCol w:w="60"/>
        <w:gridCol w:w="124"/>
        <w:gridCol w:w="930"/>
        <w:gridCol w:w="60"/>
        <w:gridCol w:w="60"/>
        <w:gridCol w:w="139"/>
        <w:gridCol w:w="885"/>
        <w:gridCol w:w="60"/>
        <w:gridCol w:w="60"/>
        <w:gridCol w:w="143"/>
        <w:gridCol w:w="911"/>
        <w:gridCol w:w="75"/>
      </w:tblGrid>
      <w:tr>
        <w:trPr/>
        <w:tc>
          <w:tcPr>
            <w:tcW w:w="3320" w:type="dxa"/>
            <w:tcBorders>
              <w:bottom w:val="single" w:sz="12" w:space="0" w:color="000000"/>
            </w:tcBorders>
            <w:vAlign w:val="center"/>
          </w:tcPr>
          <w:p>
            <w:pPr>
              <w:pStyle w:val="TableContents"/>
              <w:bidi w:val="0"/>
              <w:spacing w:before="0" w:after="283"/>
              <w:jc w:val="both"/>
              <w:rPr>
                <w:b/>
              </w:rPr>
            </w:pPr>
            <w:r>
              <w:rPr>
                <w:b/>
              </w:rPr>
              <w:t>Key Performance Indicators</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June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12" w:space="0" w:color="000000"/>
            </w:tcBorders>
            <w:vAlign w:val="center"/>
          </w:tcPr>
          <w:p>
            <w:pPr>
              <w:pStyle w:val="TableContents"/>
              <w:bidi w:val="0"/>
              <w:spacing w:before="0" w:after="283"/>
              <w:jc w:val="center"/>
              <w:rPr>
                <w:b/>
              </w:rPr>
            </w:pPr>
            <w:r>
              <w:rPr>
                <w:b/>
              </w:rPr>
              <w:t>May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June 2023</w:t>
            </w:r>
          </w:p>
        </w:tc>
        <w:tc>
          <w:tcPr>
            <w:tcW w:w="75" w:type="dxa"/>
            <w:tcBorders/>
            <w:tcMar>
              <w:bottom w:w="0" w:type="dxa"/>
            </w:tcMar>
            <w:vAlign w:val="center"/>
          </w:tcPr>
          <w:p>
            <w:pPr>
              <w:pStyle w:val="TableContents"/>
              <w:bidi w:val="0"/>
              <w:spacing w:before="0" w:after="283"/>
              <w:ind w:left="0" w:right="0" w:hanging="0"/>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Total BTC earned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189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r>
              <w:rPr/>
              <w:t>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385</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Month End Operating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pPr>
            <w:r>
              <w:rPr/>
              <w:t>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5.3</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BTC/Avg. EH/s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r>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77</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Average Operating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pPr>
            <w:r>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5.0</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Operating Capacity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r>
              <w:rPr/>
              <w:t>240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207</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Hydropower (MW)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256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pPr>
            <w:r>
              <w:rPr/>
              <w:t>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178</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CCEEFF" w:val="clear"/>
            <w:tcMar>
              <w:bottom w:w="0" w:type="dxa"/>
            </w:tcMar>
            <w:vAlign w:val="center"/>
          </w:tcPr>
          <w:p>
            <w:pPr>
              <w:pStyle w:val="TableContents"/>
              <w:bidi w:val="0"/>
              <w:spacing w:before="0" w:after="283"/>
              <w:jc w:val="both"/>
              <w:rPr/>
            </w:pPr>
            <w:r>
              <w:rPr/>
              <w:t>Watts/Terahash Efficiency (w/TH)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pPr>
            <w:r>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39</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320" w:type="dxa"/>
            <w:tcBorders/>
            <w:shd w:fill="FFFFFF" w:val="clear"/>
            <w:tcMar>
              <w:bottom w:w="0" w:type="dxa"/>
            </w:tcMar>
            <w:vAlign w:val="center"/>
          </w:tcPr>
          <w:p>
            <w:pPr>
              <w:pStyle w:val="TableContents"/>
              <w:bidi w:val="0"/>
              <w:spacing w:before="0" w:after="283"/>
              <w:jc w:val="both"/>
              <w:rPr/>
            </w:pPr>
            <w:r>
              <w:rPr/>
              <w:t>BTC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pPr>
            <w:r>
              <w:rPr/>
              <w:t>134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pPr>
            <w:r>
              <w:rPr/>
              <w:t>136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346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June 2024 Select Operating Highlights</w:t>
      </w:r>
    </w:p>
    <w:p>
      <w:pPr>
        <w:pStyle w:val="TextBody"/>
        <w:bidi w:val="0"/>
        <w:spacing w:before="0" w:after="0"/>
        <w:ind w:left="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10.4 EH/s online at June 30, 2024, up 96% Y/Y and 39% M/M.</w:t>
            </w:r>
          </w:p>
        </w:tc>
      </w:tr>
    </w:tbl>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7.6 EH/s average online, up 19% M/M.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24.9 BTC/average EH/s, up 2% from the previous month with the installation of Bitmain T21 miners.</w:t>
            </w:r>
          </w:p>
        </w:tc>
      </w:tr>
    </w:tbl>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189 BTC earned, 21% higher M/M and 51% lower Y/Y.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6.3 BTC earned daily on average, equal to ~$384,000 per day based on a BTC price of $61,000 at June 30, 2024.</w:t>
            </w:r>
          </w:p>
        </w:tc>
      </w:tr>
    </w:tbl>
    <w:p>
      <w:pPr>
        <w:pStyle w:val="TextBody"/>
        <w:bidi w:val="0"/>
        <w:spacing w:before="0" w:after="0"/>
        <w:ind w:left="0" w:right="0" w:hanging="0"/>
        <w:jc w:val="left"/>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7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Québec,</w:t>
            </w:r>
          </w:p>
        </w:tc>
      </w:tr>
    </w:tbl>
    <w:p>
      <w:pPr>
        <w:pStyle w:val="TextBody"/>
        <w:bidi w:val="0"/>
        <w:spacing w:before="0" w:after="0"/>
        <w:ind w:left="0"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4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6215" w:type="dxa"/>
            <w:tcBorders/>
            <w:vAlign w:val="center"/>
          </w:tcPr>
          <w:p>
            <w:pPr>
              <w:pStyle w:val="TableContents"/>
              <w:bidi w:val="0"/>
              <w:spacing w:before="0" w:after="283"/>
              <w:jc w:val="both"/>
              <w:rPr/>
            </w:pPr>
            <w:r>
              <w:rPr/>
              <w:t>At Leger, installed 4,400 for a total of 5,300 Bitmain T21 miners.</w:t>
            </w:r>
          </w:p>
        </w:tc>
      </w:tr>
    </w:tbl>
    <w:p>
      <w:pPr>
        <w:pStyle w:val="TextBody"/>
        <w:bidi w:val="0"/>
        <w:spacing w:before="0" w:after="283"/>
        <w:jc w:val="left"/>
        <w:rPr/>
      </w:pPr>
      <w:r>
        <w:rPr/>
        <w:t> </w:t>
      </w:r>
    </w:p>
    <w:tbl>
      <w:tblPr>
        <w:tblW w:w="6858" w:type="dxa"/>
        <w:jc w:val="left"/>
        <w:tblInd w:w="0" w:type="dxa"/>
        <w:tblLayout w:type="fixed"/>
        <w:tblCellMar>
          <w:top w:w="0" w:type="dxa"/>
          <w:left w:w="0" w:type="dxa"/>
          <w:bottom w:w="0" w:type="dxa"/>
          <w:right w:w="0" w:type="dxa"/>
        </w:tblCellMar>
      </w:tblPr>
      <w:tblGrid>
        <w:gridCol w:w="38"/>
        <w:gridCol w:w="14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6680" w:type="dxa"/>
            <w:tcBorders/>
            <w:vAlign w:val="center"/>
          </w:tcPr>
          <w:p>
            <w:pPr>
              <w:pStyle w:val="TableContents"/>
              <w:bidi w:val="0"/>
              <w:spacing w:before="0" w:after="283"/>
              <w:jc w:val="both"/>
              <w:rPr/>
            </w:pPr>
            <w:r>
              <w:rPr/>
              <w:t>At Baie-Comeau, completed installation of 1,944 Bitmain T21 miners.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At Saint-Hyacinthe, installed 3,744 Bitmain S21 miners, making it the Company’s most efficient site at 17.5 w/TH.</w:t>
            </w:r>
          </w:p>
        </w:tc>
      </w:tr>
    </w:tbl>
    <w:p>
      <w:pPr>
        <w:pStyle w:val="TextBody"/>
        <w:bidi w:val="0"/>
        <w:spacing w:before="0" w:after="0"/>
        <w:ind w:left="0" w:right="0" w:hanging="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Paraguay,</w:t>
            </w:r>
          </w:p>
        </w:tc>
      </w:tr>
    </w:tbl>
    <w:p>
      <w:pPr>
        <w:pStyle w:val="TextBody"/>
        <w:bidi w:val="0"/>
        <w:spacing w:before="0" w:after="0"/>
        <w:ind w:left="0" w:right="0" w:hanging="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4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145" w:type="dxa"/>
            <w:tcBorders/>
            <w:vAlign w:val="center"/>
          </w:tcPr>
          <w:p>
            <w:pPr>
              <w:pStyle w:val="TableContents"/>
              <w:bidi w:val="0"/>
              <w:spacing w:before="0" w:after="283"/>
              <w:jc w:val="both"/>
              <w:rPr/>
            </w:pPr>
            <w:r>
              <w:rPr/>
              <w:t>At Paso Pe:</w:t>
            </w:r>
          </w:p>
        </w:tc>
      </w:tr>
    </w:tbl>
    <w:p>
      <w:pPr>
        <w:pStyle w:val="TextBody"/>
        <w:bidi w:val="0"/>
        <w:spacing w:before="0" w:after="0"/>
        <w:ind w:left="0" w:right="0" w:hanging="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2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1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Finished testing and energized the 70 MW substation.</w:t>
            </w:r>
          </w:p>
        </w:tc>
      </w:tr>
    </w:tbl>
    <w:p>
      <w:pPr>
        <w:pStyle w:val="TextBody"/>
        <w:bidi w:val="0"/>
        <w:spacing w:before="0" w:after="0"/>
        <w:ind w:left="0" w:right="0" w:hanging="36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2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4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Energized 4 of 5 warehouses and 6 of 8 hydro containers.</w:t>
            </w:r>
          </w:p>
        </w:tc>
      </w:tr>
    </w:tbl>
    <w:p>
      <w:pPr>
        <w:pStyle w:val="TextBody"/>
        <w:bidi w:val="0"/>
        <w:spacing w:before="0" w:after="0"/>
        <w:ind w:left="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80"/>
        <w:gridCol w:w="9849"/>
      </w:tblGrid>
      <w:tr>
        <w:trPr/>
        <w:tc>
          <w:tcPr>
            <w:tcW w:w="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o</w:t>
            </w:r>
          </w:p>
        </w:tc>
        <w:tc>
          <w:tcPr>
            <w:tcW w:w="9849" w:type="dxa"/>
            <w:tcBorders/>
            <w:vAlign w:val="center"/>
          </w:tcPr>
          <w:p>
            <w:pPr>
              <w:pStyle w:val="TableContents"/>
              <w:bidi w:val="0"/>
              <w:spacing w:before="0" w:after="283"/>
              <w:jc w:val="both"/>
              <w:rPr/>
            </w:pPr>
            <w:r>
              <w:rPr/>
              <w:t>At Yguazu, framing began on the new warehouses.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Bitfarms’ BTC Monthly Production</w:t>
      </w:r>
    </w:p>
    <w:p>
      <w:pPr>
        <w:pStyle w:val="TextBody"/>
        <w:bidi w:val="0"/>
        <w:spacing w:before="0" w:after="0"/>
        <w:ind w:left="0" w:right="0" w:hanging="0"/>
        <w:jc w:val="both"/>
        <w:rPr>
          <w:caps w:val="false"/>
          <w:smallCaps w:val="false"/>
        </w:rPr>
      </w:pPr>
      <w:r>
        <w:rPr>
          <w:caps w:val="false"/>
          <w:smallCaps w:val="false"/>
        </w:rPr>
        <w:t> </w:t>
      </w:r>
    </w:p>
    <w:tbl>
      <w:tblPr>
        <w:tblW w:w="5293" w:type="dxa"/>
        <w:jc w:val="left"/>
        <w:tblInd w:w="0" w:type="dxa"/>
        <w:tblLayout w:type="fixed"/>
        <w:tblCellMar>
          <w:top w:w="0" w:type="dxa"/>
          <w:left w:w="0" w:type="dxa"/>
          <w:bottom w:w="28" w:type="dxa"/>
          <w:right w:w="0" w:type="dxa"/>
        </w:tblCellMar>
      </w:tblPr>
      <w:tblGrid>
        <w:gridCol w:w="1250"/>
        <w:gridCol w:w="60"/>
        <w:gridCol w:w="181"/>
        <w:gridCol w:w="1713"/>
        <w:gridCol w:w="60"/>
        <w:gridCol w:w="60"/>
        <w:gridCol w:w="181"/>
        <w:gridCol w:w="1713"/>
        <w:gridCol w:w="75"/>
      </w:tblGrid>
      <w:tr>
        <w:trPr/>
        <w:tc>
          <w:tcPr>
            <w:tcW w:w="1250" w:type="dxa"/>
            <w:tcBorders>
              <w:bottom w:val="single" w:sz="12" w:space="0" w:color="000000"/>
            </w:tcBorders>
            <w:vAlign w:val="center"/>
          </w:tcPr>
          <w:p>
            <w:pPr>
              <w:pStyle w:val="TableContents"/>
              <w:bidi w:val="0"/>
              <w:spacing w:before="0" w:after="283"/>
              <w:jc w:val="left"/>
              <w:rPr>
                <w:b/>
              </w:rPr>
            </w:pPr>
            <w:r>
              <w:rPr>
                <w:b/>
              </w:rPr>
              <w:t>Month</w:t>
            </w:r>
          </w:p>
        </w:tc>
        <w:tc>
          <w:tcPr>
            <w:tcW w:w="60" w:type="dxa"/>
            <w:tcBorders/>
            <w:tcMar>
              <w:bottom w:w="0" w:type="dxa"/>
            </w:tcMar>
            <w:vAlign w:val="center"/>
          </w:tcPr>
          <w:p>
            <w:pPr>
              <w:pStyle w:val="TableContents"/>
              <w:bidi w:val="0"/>
              <w:spacing w:before="0" w:after="283"/>
              <w:jc w:val="center"/>
              <w:rPr/>
            </w:pPr>
            <w:r>
              <w:rPr/>
              <w:t> </w:t>
            </w:r>
          </w:p>
        </w:tc>
        <w:tc>
          <w:tcPr>
            <w:tcW w:w="1894" w:type="dxa"/>
            <w:gridSpan w:val="2"/>
            <w:tcBorders>
              <w:bottom w:val="single" w:sz="12" w:space="0" w:color="000000"/>
            </w:tcBorders>
            <w:vAlign w:val="center"/>
          </w:tcPr>
          <w:p>
            <w:pPr>
              <w:pStyle w:val="TableContents"/>
              <w:bidi w:val="0"/>
              <w:spacing w:before="0" w:after="283"/>
              <w:jc w:val="center"/>
              <w:rPr>
                <w:b/>
              </w:rPr>
            </w:pPr>
            <w:r>
              <w:rPr>
                <w:b/>
              </w:rPr>
              <w:t>BTC Earned 2024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94" w:type="dxa"/>
            <w:gridSpan w:val="2"/>
            <w:tcBorders>
              <w:bottom w:val="single" w:sz="12" w:space="0" w:color="000000"/>
            </w:tcBorders>
            <w:vAlign w:val="center"/>
          </w:tcPr>
          <w:p>
            <w:pPr>
              <w:pStyle w:val="TableContents"/>
              <w:bidi w:val="0"/>
              <w:spacing w:before="0" w:after="283"/>
              <w:jc w:val="center"/>
              <w:rPr>
                <w:b/>
              </w:rPr>
            </w:pPr>
            <w:r>
              <w:rPr>
                <w:b/>
              </w:rPr>
              <w:t>BTC Earned 2023</w:t>
            </w:r>
          </w:p>
        </w:tc>
        <w:tc>
          <w:tcPr>
            <w:tcW w:w="75" w:type="dxa"/>
            <w:tcBorders/>
            <w:tcMar>
              <w:bottom w:w="0" w:type="dxa"/>
            </w:tcMar>
            <w:vAlign w:val="center"/>
          </w:tcPr>
          <w:p>
            <w:pPr>
              <w:pStyle w:val="TableContents"/>
              <w:bidi w:val="0"/>
              <w:spacing w:before="0" w:after="283"/>
              <w:ind w:left="0" w:right="0" w:hanging="0"/>
              <w:jc w:val="center"/>
              <w:rPr/>
            </w:pPr>
            <w:r>
              <w:rPr/>
              <w:t> </w:t>
            </w:r>
          </w:p>
        </w:tc>
      </w:tr>
      <w:tr>
        <w:trPr/>
        <w:tc>
          <w:tcPr>
            <w:tcW w:w="1250" w:type="dxa"/>
            <w:tcBorders/>
            <w:shd w:fill="CCEEFF" w:val="clear"/>
            <w:tcMar>
              <w:bottom w:w="0" w:type="dxa"/>
            </w:tcMar>
            <w:vAlign w:val="center"/>
          </w:tcPr>
          <w:p>
            <w:pPr>
              <w:pStyle w:val="TableContents"/>
              <w:bidi w:val="0"/>
              <w:spacing w:before="0" w:after="283"/>
              <w:jc w:val="both"/>
              <w:rPr/>
            </w:pPr>
            <w:r>
              <w:rPr/>
              <w:t>January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713" w:type="dxa"/>
            <w:tcBorders/>
            <w:shd w:fill="CCEEFF" w:val="clear"/>
            <w:tcMar>
              <w:bottom w:w="0" w:type="dxa"/>
            </w:tcMar>
            <w:vAlign w:val="center"/>
          </w:tcPr>
          <w:p>
            <w:pPr>
              <w:pStyle w:val="TableContents"/>
              <w:bidi w:val="0"/>
              <w:spacing w:before="0" w:after="283"/>
              <w:jc w:val="right"/>
              <w:rPr/>
            </w:pPr>
            <w:r>
              <w:rPr/>
              <w:t>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713" w:type="dxa"/>
            <w:tcBorders/>
            <w:shd w:fill="CCEEFF" w:val="clear"/>
            <w:tcMar>
              <w:bottom w:w="0" w:type="dxa"/>
            </w:tcMar>
            <w:vAlign w:val="center"/>
          </w:tcPr>
          <w:p>
            <w:pPr>
              <w:pStyle w:val="TableContents"/>
              <w:bidi w:val="0"/>
              <w:spacing w:before="0" w:after="283"/>
              <w:jc w:val="right"/>
              <w:rPr/>
            </w:pPr>
            <w:r>
              <w:rPr/>
              <w:t>486</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250" w:type="dxa"/>
            <w:tcBorders/>
            <w:shd w:fill="FFFFFF" w:val="clear"/>
            <w:tcMar>
              <w:bottom w:w="0" w:type="dxa"/>
            </w:tcMar>
            <w:vAlign w:val="center"/>
          </w:tcPr>
          <w:p>
            <w:pPr>
              <w:pStyle w:val="TableContents"/>
              <w:bidi w:val="0"/>
              <w:spacing w:before="0" w:after="283"/>
              <w:jc w:val="both"/>
              <w:rPr/>
            </w:pPr>
            <w:r>
              <w:rPr/>
              <w:t>February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713" w:type="dxa"/>
            <w:tcBorders/>
            <w:shd w:fill="FFFFFF" w:val="clear"/>
            <w:tcMar>
              <w:bottom w:w="0" w:type="dxa"/>
            </w:tcMar>
            <w:vAlign w:val="center"/>
          </w:tcPr>
          <w:p>
            <w:pPr>
              <w:pStyle w:val="TableContents"/>
              <w:bidi w:val="0"/>
              <w:spacing w:before="0" w:after="283"/>
              <w:jc w:val="right"/>
              <w:rPr/>
            </w:pPr>
            <w:r>
              <w:rPr/>
              <w:t>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713" w:type="dxa"/>
            <w:tcBorders/>
            <w:shd w:fill="FFFFFF" w:val="clear"/>
            <w:tcMar>
              <w:bottom w:w="0" w:type="dxa"/>
            </w:tcMar>
            <w:vAlign w:val="center"/>
          </w:tcPr>
          <w:p>
            <w:pPr>
              <w:pStyle w:val="TableContents"/>
              <w:bidi w:val="0"/>
              <w:spacing w:before="0" w:after="283"/>
              <w:jc w:val="right"/>
              <w:rPr/>
            </w:pPr>
            <w:r>
              <w:rPr/>
              <w:t>387</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250" w:type="dxa"/>
            <w:tcBorders/>
            <w:shd w:fill="CCEEFF" w:val="clear"/>
            <w:tcMar>
              <w:bottom w:w="0" w:type="dxa"/>
            </w:tcMar>
            <w:vAlign w:val="center"/>
          </w:tcPr>
          <w:p>
            <w:pPr>
              <w:pStyle w:val="TableContents"/>
              <w:bidi w:val="0"/>
              <w:spacing w:before="0" w:after="283"/>
              <w:jc w:val="both"/>
              <w:rPr/>
            </w:pPr>
            <w:r>
              <w:rPr/>
              <w:t>March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713" w:type="dxa"/>
            <w:tcBorders/>
            <w:shd w:fill="CCEEFF" w:val="clear"/>
            <w:tcMar>
              <w:bottom w:w="0" w:type="dxa"/>
            </w:tcMar>
            <w:vAlign w:val="center"/>
          </w:tcPr>
          <w:p>
            <w:pPr>
              <w:pStyle w:val="TableContents"/>
              <w:bidi w:val="0"/>
              <w:spacing w:before="0" w:after="283"/>
              <w:jc w:val="right"/>
              <w:rPr/>
            </w:pPr>
            <w:r>
              <w:rPr/>
              <w:t>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713" w:type="dxa"/>
            <w:tcBorders/>
            <w:shd w:fill="CCEEFF" w:val="clear"/>
            <w:tcMar>
              <w:bottom w:w="0" w:type="dxa"/>
            </w:tcMar>
            <w:vAlign w:val="center"/>
          </w:tcPr>
          <w:p>
            <w:pPr>
              <w:pStyle w:val="TableContents"/>
              <w:bidi w:val="0"/>
              <w:spacing w:before="0" w:after="283"/>
              <w:jc w:val="right"/>
              <w:rPr/>
            </w:pPr>
            <w:r>
              <w:rPr/>
              <w:t>424</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250" w:type="dxa"/>
            <w:tcBorders/>
            <w:shd w:fill="FFFFFF" w:val="clear"/>
            <w:tcMar>
              <w:bottom w:w="0" w:type="dxa"/>
            </w:tcMar>
            <w:vAlign w:val="center"/>
          </w:tcPr>
          <w:p>
            <w:pPr>
              <w:pStyle w:val="TableContents"/>
              <w:bidi w:val="0"/>
              <w:spacing w:before="0" w:after="283"/>
              <w:jc w:val="both"/>
              <w:rPr/>
            </w:pPr>
            <w:r>
              <w:rPr/>
              <w:t>April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713" w:type="dxa"/>
            <w:tcBorders/>
            <w:shd w:fill="FFFFFF" w:val="clear"/>
            <w:tcMar>
              <w:bottom w:w="0" w:type="dxa"/>
            </w:tcMar>
            <w:vAlign w:val="center"/>
          </w:tcPr>
          <w:p>
            <w:pPr>
              <w:pStyle w:val="TableContents"/>
              <w:bidi w:val="0"/>
              <w:spacing w:before="0" w:after="283"/>
              <w:jc w:val="right"/>
              <w:rPr/>
            </w:pPr>
            <w:r>
              <w:rPr/>
              <w:t>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713" w:type="dxa"/>
            <w:tcBorders/>
            <w:shd w:fill="FFFFFF" w:val="clear"/>
            <w:tcMar>
              <w:bottom w:w="0" w:type="dxa"/>
            </w:tcMar>
            <w:vAlign w:val="center"/>
          </w:tcPr>
          <w:p>
            <w:pPr>
              <w:pStyle w:val="TableContents"/>
              <w:bidi w:val="0"/>
              <w:spacing w:before="0" w:after="283"/>
              <w:jc w:val="right"/>
              <w:rPr/>
            </w:pPr>
            <w:r>
              <w:rPr/>
              <w:t>379</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250" w:type="dxa"/>
            <w:tcBorders/>
            <w:shd w:fill="CCEEFF" w:val="clear"/>
            <w:tcMar>
              <w:bottom w:w="0" w:type="dxa"/>
            </w:tcMar>
            <w:vAlign w:val="center"/>
          </w:tcPr>
          <w:p>
            <w:pPr>
              <w:pStyle w:val="TableContents"/>
              <w:bidi w:val="0"/>
              <w:spacing w:before="0" w:after="283"/>
              <w:jc w:val="both"/>
              <w:rPr/>
            </w:pPr>
            <w:r>
              <w:rPr/>
              <w:t>May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713" w:type="dxa"/>
            <w:tcBorders/>
            <w:shd w:fill="CCEEFF" w:val="clear"/>
            <w:tcMar>
              <w:bottom w:w="0" w:type="dxa"/>
            </w:tcMar>
            <w:vAlign w:val="center"/>
          </w:tcPr>
          <w:p>
            <w:pPr>
              <w:pStyle w:val="TableContents"/>
              <w:bidi w:val="0"/>
              <w:spacing w:before="0" w:after="283"/>
              <w:jc w:val="right"/>
              <w:rPr/>
            </w:pPr>
            <w:r>
              <w:rPr/>
              <w:t>156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713" w:type="dxa"/>
            <w:tcBorders/>
            <w:shd w:fill="CCEEFF" w:val="clear"/>
            <w:tcMar>
              <w:bottom w:w="0" w:type="dxa"/>
            </w:tcMar>
            <w:vAlign w:val="center"/>
          </w:tcPr>
          <w:p>
            <w:pPr>
              <w:pStyle w:val="TableContents"/>
              <w:bidi w:val="0"/>
              <w:spacing w:before="0" w:after="283"/>
              <w:jc w:val="right"/>
              <w:rPr/>
            </w:pPr>
            <w:r>
              <w:rPr/>
              <w:t>459</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250" w:type="dxa"/>
            <w:tcBorders/>
            <w:shd w:fill="FFFFFF" w:val="clear"/>
            <w:tcMar>
              <w:bottom w:w="0" w:type="dxa"/>
            </w:tcMar>
            <w:vAlign w:val="center"/>
          </w:tcPr>
          <w:p>
            <w:pPr>
              <w:pStyle w:val="TableContents"/>
              <w:bidi w:val="0"/>
              <w:spacing w:before="0" w:after="283"/>
              <w:jc w:val="both"/>
              <w:rPr/>
            </w:pPr>
            <w:r>
              <w:rPr/>
              <w:t>June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FFFFFF" w:val="clear"/>
            <w:vAlign w:val="center"/>
          </w:tcPr>
          <w:p>
            <w:pPr>
              <w:pStyle w:val="TableContents"/>
              <w:bidi w:val="0"/>
              <w:spacing w:before="0" w:after="283"/>
              <w:jc w:val="left"/>
              <w:rPr/>
            </w:pPr>
            <w:r>
              <w:rPr/>
              <w:t> </w:t>
            </w:r>
          </w:p>
        </w:tc>
        <w:tc>
          <w:tcPr>
            <w:tcW w:w="1713" w:type="dxa"/>
            <w:tcBorders>
              <w:bottom w:val="single" w:sz="12" w:space="0" w:color="000000"/>
            </w:tcBorders>
            <w:shd w:fill="FFFFFF" w:val="clear"/>
            <w:vAlign w:val="center"/>
          </w:tcPr>
          <w:p>
            <w:pPr>
              <w:pStyle w:val="TableContents"/>
              <w:bidi w:val="0"/>
              <w:spacing w:before="0" w:after="283"/>
              <w:jc w:val="right"/>
              <w:rPr/>
            </w:pPr>
            <w:r>
              <w:rPr/>
              <w:t>189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FFFFFF" w:val="clear"/>
            <w:vAlign w:val="center"/>
          </w:tcPr>
          <w:p>
            <w:pPr>
              <w:pStyle w:val="TableContents"/>
              <w:bidi w:val="0"/>
              <w:spacing w:before="0" w:after="283"/>
              <w:jc w:val="left"/>
              <w:rPr/>
            </w:pPr>
            <w:r>
              <w:rPr/>
              <w:t> </w:t>
            </w:r>
          </w:p>
        </w:tc>
        <w:tc>
          <w:tcPr>
            <w:tcW w:w="1713" w:type="dxa"/>
            <w:tcBorders>
              <w:bottom w:val="single" w:sz="12" w:space="0" w:color="000000"/>
            </w:tcBorders>
            <w:shd w:fill="FFFFFF" w:val="clear"/>
            <w:vAlign w:val="center"/>
          </w:tcPr>
          <w:p>
            <w:pPr>
              <w:pStyle w:val="TableContents"/>
              <w:bidi w:val="0"/>
              <w:spacing w:before="0" w:after="283"/>
              <w:jc w:val="right"/>
              <w:rPr/>
            </w:pPr>
            <w:r>
              <w:rPr/>
              <w:t>385</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250" w:type="dxa"/>
            <w:tcBorders/>
            <w:shd w:fill="CCEEFF" w:val="clear"/>
            <w:tcMar>
              <w:bottom w:w="0" w:type="dxa"/>
            </w:tcMar>
            <w:vAlign w:val="center"/>
          </w:tcPr>
          <w:p>
            <w:pPr>
              <w:pStyle w:val="TableContents"/>
              <w:bidi w:val="0"/>
              <w:spacing w:before="0" w:after="283"/>
              <w:jc w:val="both"/>
              <w:rPr>
                <w:b/>
              </w:rPr>
            </w:pPr>
            <w:r>
              <w:rPr>
                <w:b/>
              </w:rPr>
              <w:t>YTD Totals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10" w:space="0" w:color="000000"/>
            </w:tcBorders>
            <w:shd w:fill="CCEEFF" w:val="clear"/>
            <w:vAlign w:val="center"/>
          </w:tcPr>
          <w:p>
            <w:pPr>
              <w:pStyle w:val="TableContents"/>
              <w:bidi w:val="0"/>
              <w:spacing w:before="0" w:after="283"/>
              <w:jc w:val="left"/>
              <w:rPr/>
            </w:pPr>
            <w:r>
              <w:rPr/>
              <w:t> </w:t>
            </w:r>
          </w:p>
        </w:tc>
        <w:tc>
          <w:tcPr>
            <w:tcW w:w="1713" w:type="dxa"/>
            <w:tcBorders>
              <w:bottom w:val="double" w:sz="10" w:space="0" w:color="000000"/>
            </w:tcBorders>
            <w:shd w:fill="CCEEFF" w:val="clear"/>
            <w:vAlign w:val="center"/>
          </w:tcPr>
          <w:p>
            <w:pPr>
              <w:pStyle w:val="TableContents"/>
              <w:bidi w:val="0"/>
              <w:spacing w:before="0" w:after="283"/>
              <w:jc w:val="right"/>
              <w:rPr>
                <w:b/>
              </w:rPr>
            </w:pPr>
            <w:r>
              <w:rPr>
                <w:b/>
              </w:rPr>
              <w:t>1,557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10" w:space="0" w:color="000000"/>
            </w:tcBorders>
            <w:shd w:fill="CCEEFF" w:val="clear"/>
            <w:vAlign w:val="center"/>
          </w:tcPr>
          <w:p>
            <w:pPr>
              <w:pStyle w:val="TableContents"/>
              <w:bidi w:val="0"/>
              <w:spacing w:before="0" w:after="283"/>
              <w:jc w:val="left"/>
              <w:rPr/>
            </w:pPr>
            <w:r>
              <w:rPr/>
              <w:t> </w:t>
            </w:r>
          </w:p>
        </w:tc>
        <w:tc>
          <w:tcPr>
            <w:tcW w:w="1713" w:type="dxa"/>
            <w:tcBorders>
              <w:bottom w:val="double" w:sz="10" w:space="0" w:color="000000"/>
            </w:tcBorders>
            <w:shd w:fill="CCEEFF" w:val="clear"/>
            <w:vAlign w:val="center"/>
          </w:tcPr>
          <w:p>
            <w:pPr>
              <w:pStyle w:val="TableContents"/>
              <w:bidi w:val="0"/>
              <w:spacing w:before="0" w:after="283"/>
              <w:jc w:val="right"/>
              <w:rPr>
                <w:b/>
              </w:rPr>
            </w:pPr>
            <w:r>
              <w:rPr>
                <w:b/>
              </w:rPr>
              <w:t>2,520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June 2024 Financial Update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Sold 134 of the 189 BTC earned as part of the Company’s regular treasury management process for total proceeds of $8.8 million.</w:t>
            </w:r>
          </w:p>
        </w:tc>
      </w:tr>
    </w:tbl>
    <w:p>
      <w:pPr>
        <w:pStyle w:val="TextBody"/>
        <w:bidi w:val="0"/>
        <w:spacing w:before="0" w:after="0"/>
        <w:ind w:left="0" w:right="0" w:hanging="0"/>
        <w:jc w:val="left"/>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liquidity of $194 million, including $139 million in cash at June 30,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905 BTC in treasury, up from 850 BTC last month and representing $55.2 million based on a BTC price of $61,000 at June 30, 2024.</w:t>
            </w:r>
          </w:p>
        </w:tc>
      </w:tr>
    </w:tbl>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Synthetic HODL™ of 208 long-dated BTC call options at June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Upcoming Conferences and Events</w:t>
      </w:r>
    </w:p>
    <w:p>
      <w:pPr>
        <w:pStyle w:val="TextBody"/>
        <w:bidi w:val="0"/>
        <w:spacing w:before="0" w:after="0"/>
        <w:ind w:left="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9-13: Alberta Trade Mission and Stampede, Calgary, Alberta</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25-27: Bitcoin Conference, Nashville, TN</w:t>
            </w:r>
          </w:p>
        </w:tc>
      </w:tr>
    </w:tbl>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9-11: H.C. Wainwright 26th Annual Global Investment Conference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Bitcoin mining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12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https://twitter.com/Bitfarms_io</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https://www.instagram.com/bitfarms/</w:t>
      </w:r>
    </w:p>
    <w:p>
      <w:pPr>
        <w:pStyle w:val="TextBody"/>
        <w:bidi w:val="0"/>
        <w:spacing w:before="0" w:after="0"/>
        <w:ind w:left="0"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bidi w:val="0"/>
        <w:spacing w:before="0" w:after="0"/>
        <w:ind w:left="0" w:right="0" w:hanging="1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Y/Y or M/M= year over year or month over month</w:t>
            </w:r>
          </w:p>
        </w:tc>
      </w:tr>
    </w:tbl>
    <w:p>
      <w:pPr>
        <w:pStyle w:val="TextBody"/>
        <w:bidi w:val="0"/>
        <w:spacing w:before="0" w:after="283"/>
        <w:jc w:val="left"/>
        <w:rPr/>
      </w:pPr>
      <w:r>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BTC or BTC/day = Bitcoin or Bitcoin per day</w:t>
            </w:r>
          </w:p>
        </w:tc>
      </w:tr>
    </w:tbl>
    <w:p>
      <w:pPr>
        <w:pStyle w:val="TextBody"/>
        <w:bidi w:val="0"/>
        <w:spacing w:before="0" w:after="0"/>
        <w:ind w:left="0" w:right="0" w:hanging="0"/>
        <w:jc w:val="left"/>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HPC = High-performance computing</w:t>
            </w:r>
          </w:p>
        </w:tc>
      </w:tr>
    </w:tbl>
    <w:p>
      <w:pPr>
        <w:pStyle w:val="TextBody"/>
        <w:bidi w:val="0"/>
        <w:spacing w:before="0" w:after="0"/>
        <w:ind w:left="0" w:right="0" w:hanging="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AI = Artificial intelligence</w:t>
            </w:r>
          </w:p>
        </w:tc>
      </w:tr>
    </w:tbl>
    <w:p>
      <w:pPr>
        <w:pStyle w:val="TextBody"/>
        <w:bidi w:val="0"/>
        <w:spacing w:before="0" w:after="0"/>
        <w:ind w:left="0" w:right="0" w:hanging="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EH or EH/s = Exahash or exahash per second</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MW or MWh = Megawatts or megawatt hour</w:t>
            </w:r>
          </w:p>
        </w:tc>
      </w:tr>
    </w:tbl>
    <w:p>
      <w:pPr>
        <w:pStyle w:val="TextBody"/>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PH or PH/s = Petahash or petahash per second</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 or TH/s = Terahash or terahash per second</w:t>
            </w:r>
          </w:p>
        </w:tc>
      </w:tr>
    </w:tbl>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w/TH = Watts/Terahash efficiency (includes cost of powering supplementary equipment</w:t>
            </w:r>
          </w:p>
        </w:tc>
      </w:tr>
    </w:tbl>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Synthetic HODL™ = the use of instruments that create BTC equivalent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there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2023, filed on March 7,2024 and the MD&amp;A for the three-month period ended March 31, 2024.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Head of IR &amp; Corp. Comms.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tkrumme@bitfarms.com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Innisfree M&amp;A Incorporated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Gabrielle Wolf / Scott Winter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+1 212-750-5833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Laurel Hill Advisory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1-877-452-7184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416-304-0211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assistance@laurelhill.com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Katcher or Joseph Sala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+1 212-355-4449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 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lmleclerc@tactconseil.ca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2477/000121390023052498/ea180981-f10_bitfarmsltd.htm" TargetMode="External"/><Relationship Id="rId3" Type="http://schemas.openxmlformats.org/officeDocument/2006/relationships/hyperlink" Target="http://www.sec.gov/Archives/edgar/data/1812477/000121390024035021/ea0204332-s8_bitfarms.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2442</Words>
  <Characters>13583</Characters>
  <CharactersWithSpaces>16067</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