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14,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May 14, 2024</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May 14,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Doubles Yguazu Power Capacity to 200 MW with</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Additional 100 MW of Hydropower in Paraguay</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Long-term, low-cost power contracts at a competitive rate expected to provide significant path for growth –</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Toronto, Ontario and Brossard, Québec (May 14, 2024) - Bitfarms Ltd. (Nasdaq/TSX: BITF), a global Bitcoin vertically integrated company, secured an additional 100 MW at its Yguazu site through an amendment to the existing 100 MW Power Purchase Agreement (PPA) with the Paraguay state-owned utility, ANDE. This amendment doubles capacity at this site to 200 MW with scheduled deployment for 2025. This sustainable hydropower will be provided at a contractual low cost of approximately 3.9 cents per kWh, before VAT, with the added benefit of not being subject to annual inflationary adjustments.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Construction at Yguazu began in March with the signed purchase agreements for major long-lead equipment and significant contracts, including the engineering procurement and construction contract for the high-voltage interconnection to the ANDE substation and transmission line. Changes to construction plans and equipment orders to accommodate the incremental 100 MW are already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additional 100 MW provides a low-cost growth path for the first half of 2025 without impacting our 2024 21 EH/s target which remains on schedule,” said Ben Gagnon, Chief Mining Officer. “Growing Yguazu to 200 MW is expected to increase our 2025 megawatts under management by 23% from 428 MW to 528 MW. Importantly this expansion takes advantage of our existing construction plan, amortizing development costs over a broader infrastructure base and driving down overall costs per megawatt.”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Damian Polla, General Manager of LATAM, stated, “Building upon our construction progress at our existing sites and track record in the country, this addition allows us to take advantage of the cost efficiencies and rapid construction timelines we have experienced in Paraguay. In addition, these megawatts were secured directly though ANDE with no direct acquisition costs. Overall, Paraguay represents our greatest growth opportunity with 270 MW of infrastructure expansion from our new Paso Pe and Yguazu farms.”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8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9"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Bitfarms currently has 11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 per Terahash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-1489710</wp:posOffset>
            </wp:positionV>
            <wp:extent cx="7132320" cy="4251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583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MD&amp;A for the year-ended December 31, 2023, filed on March 7, 2024 and the MD&amp;A for three-month period ended March 31,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Tracy Krumme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2024-05-14T15:10:49Z</dcterms:created>
  <dcterms:modified xsi:type="dcterms:W3CDTF">2024-05-14T15:10:49Z</dcterms:modified>
</cp:coreProperties>
</file>