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7, 2026</w:t>
      </w:r>
    </w:p>
    <w:p>
      <w:pPr>
        <w:spacing w:after="0" w:line="31"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Keel Infrastructure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41-4266374</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 Broadway, Suite 1075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(929) 264-5151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Rachel Silverstein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 Broadway, Suite 1075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(929) 264-5151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Ryan J. Dzierniejko,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Skadden, Arps, Slate, Meagher &amp; Flom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Manhattan West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735-3000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Facsimile: (212) 735-2000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From time to time after this registration statement becomes effective.</w:t>
      </w:r>
    </w:p>
    <w:p>
      <w:pPr>
        <w:spacing w:after="0" w:line="31"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225" w:right="339" w:bottom="0" w:gutter="0" w:footer="0" w:header="0"/>
        </w:sectPr>
      </w:pP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2660" w:space="720"/>
            <w:col w:w="2660" w:space="720"/>
            <w:col w:w="2980" w:space="720"/>
            <w:col w:w="780"/>
          </w:cols>
          <w:pgMar w:left="320" w:top="225" w:right="339" w:bottom="0" w:gutter="0" w:footer="0" w:header="0"/>
          <w:type w:val="continuous"/>
        </w:sectPr>
      </w:pPr>
    </w:p>
    <w:bookmarkStart w:id="1" w:name="page2"/>
    <w:bookmarkEnd w:id="1"/>
    <w:p>
      <w:pPr>
        <w:ind w:left="6760"/>
        <w:spacing w:after="0" w:line="207" w:lineRule="exact"/>
        <w:tabs>
          <w:tab w:leader="none" w:pos="104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156845</wp:posOffset>
            </wp:positionV>
            <wp:extent cx="1731645" cy="763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16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offer, issue and sell, together or separately, from time to time in one or more offerings: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which may be issued in one or more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receipts, representing fractional shares of our preferred stock, which are called depositary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our common stock or shares of our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shares of our common stock or shares of our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 to purchase shares of our common stock or shares of our preferred stock;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units, each representing ownership of a purchase contract and preferred securities or debt obligations of third-parties, including U.S. treasury securities, or any combination of the foregoing, securing the holder’s obligation to purchase our common stock or other securities under the purchase contracts.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selling securityholders to be identified in supplements to this prospectus may offer and sell these securities from time to time.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provide the specific prices and terms of these securities in one or more supplements to this prospectus at the time of offering. You should read this prospectus and the accompanying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114300</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a number of risks. See “Risk Factors” on page 2 before you make your investment decision.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or a selling securityholder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Stock Market (the “Nasdaq”) and the Toronto Stock Exchange (the “TSX”) under the trading symbol “KEEL.” On April 6, 2026, the last reported sale price of our common stock as reported on Nasdaq and the TSX was $2.16 and C$3.00 per share, respectively. Each prospectus supplement will indicate whether the securities offered thereby will be listed on any securities exchange.</w:t>
      </w:r>
    </w:p>
    <w:p>
      <w:pPr>
        <w:spacing w:after="0" w:line="17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122555</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2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0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00" w:type="dxa"/>
            <w:vAlign w:val="bottom"/>
            <w:tcBorders>
              <w:bottom w:val="single" w:sz="8" w:color="CCEEFF"/>
            </w:tcBorders>
            <w:gridSpan w:val="9"/>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ind w:left="210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6"/>
        </w:trPr>
        <w:tc>
          <w:tcPr>
            <w:tcW w:w="864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00" w:type="dxa"/>
            <w:vAlign w:val="bottom"/>
          </w:tcPr>
          <w:p>
            <w:pPr>
              <w:ind w:left="208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ind w:left="2080"/>
              <w:spacing w:after="0" w:line="176" w:lineRule="exact"/>
              <w:rPr>
                <w:sz w:val="20"/>
                <w:szCs w:val="20"/>
                <w:color w:val="auto"/>
              </w:rPr>
            </w:pPr>
            <w:r>
              <w:rPr>
                <w:rFonts w:ascii="Times New Roman" w:cs="Times New Roman" w:eastAsia="Times New Roman" w:hAnsi="Times New Roman"/>
                <w:sz w:val="18"/>
                <w:szCs w:val="18"/>
                <w:color w:val="auto"/>
              </w:rPr>
              <w:t>iv</w:t>
            </w:r>
          </w:p>
        </w:tc>
      </w:tr>
      <w:tr>
        <w:trPr>
          <w:trHeight w:val="176"/>
        </w:trPr>
        <w:tc>
          <w:tcPr>
            <w:tcW w:w="864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380" w:type="dxa"/>
            <w:vAlign w:val="bottom"/>
            <w:tcBorders>
              <w:bottom w:val="single" w:sz="8" w:color="CCEEFF"/>
            </w:tcBorders>
            <w:gridSpan w:val="14"/>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175"/>
        </w:trPr>
        <w:tc>
          <w:tcPr>
            <w:tcW w:w="864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6120" w:type="dxa"/>
            <w:vAlign w:val="bottom"/>
            <w:tcBorders>
              <w:bottom w:val="single" w:sz="8" w:color="CCEEFF"/>
            </w:tcBorders>
            <w:gridSpan w:val="7"/>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176"/>
        </w:trPr>
        <w:tc>
          <w:tcPr>
            <w:tcW w:w="864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6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175"/>
        </w:trPr>
        <w:tc>
          <w:tcPr>
            <w:tcW w:w="332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5320" w:type="dxa"/>
            <w:vAlign w:val="bottom"/>
            <w:tcBorders>
              <w:top w:val="single" w:sz="8" w:color="CCEEFF"/>
            </w:tcBorders>
            <w:gridSpan w:val="5"/>
          </w:tcPr>
          <w:p>
            <w:pPr>
              <w:spacing w:after="0"/>
              <w:rPr>
                <w:sz w:val="15"/>
                <w:szCs w:val="15"/>
                <w:color w:val="auto"/>
              </w:rPr>
            </w:pPr>
          </w:p>
        </w:tc>
        <w:tc>
          <w:tcPr>
            <w:tcW w:w="260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5160" w:type="dxa"/>
            <w:vAlign w:val="bottom"/>
            <w:tcBorders>
              <w:bottom w:val="single" w:sz="8" w:color="CCEEFF"/>
            </w:tcBorders>
            <w:gridSpan w:val="4"/>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864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PURCHASE CONTRACTS AND PURCHASE UNITS</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6120" w:type="dxa"/>
            <w:vAlign w:val="bottom"/>
            <w:tcBorders>
              <w:bottom w:val="single" w:sz="8" w:color="CCEEFF"/>
            </w:tcBorders>
            <w:gridSpan w:val="7"/>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6"/>
        </w:trPr>
        <w:tc>
          <w:tcPr>
            <w:tcW w:w="864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64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78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3"/>
          </w:tcPr>
          <w:p>
            <w:pPr>
              <w:spacing w:after="0"/>
              <w:rPr>
                <w:sz w:val="15"/>
                <w:szCs w:val="15"/>
                <w:color w:val="auto"/>
              </w:rPr>
            </w:pPr>
          </w:p>
        </w:tc>
        <w:tc>
          <w:tcPr>
            <w:tcW w:w="7180" w:type="dxa"/>
            <w:vAlign w:val="bottom"/>
            <w:tcBorders>
              <w:top w:val="single" w:sz="8" w:color="CCEEFF"/>
            </w:tcBorders>
            <w:gridSpan w:val="12"/>
          </w:tcPr>
          <w:p>
            <w:pPr>
              <w:spacing w:after="0"/>
              <w:rPr>
                <w:sz w:val="15"/>
                <w:szCs w:val="15"/>
                <w:color w:val="auto"/>
              </w:rPr>
            </w:pPr>
          </w:p>
        </w:tc>
        <w:tc>
          <w:tcPr>
            <w:tcW w:w="260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(the “SEC”) as a “well-known seasoned issuer” as defined in Rule 405 under the Securities Act of 1933, as amended (the “Securities Act”), using a “shelf” registration process. Under this process, we or a selling securityholder may offer and sell from time to time any combination of the securities described in this prospectus. This prospectus only provides you with a general description of the securities that we or a selling securityholder may offer. Each time we or a selling securityholder sell securities, we or a selling securityholder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Neither we nor any selling securityholder has authorized anyone to provide you with any information other than that contained in or incorporated by reference into this prospectus, any accompanying prospectus supplement and any free writing prospectus prepared by or on behalf of us or any selling securityholder. Neither we nor any selling securityholder takes any responsibility for, and can provide no assurance as to the reliability of, any other information that others may give you. Neither we nor any selling securityholder is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Bitfarms Ltd. (“Bitfarms”) was founded in 2017 and was publicly traded on the Nasdaq and TSX under the ticker symbol “BITF”. On April 1, 2026, Bitfarms completed a U.S. redomiciliation, pursuant to which shareholders of Bitfarms exchanged their shares of Bitfarms for shares of a newly formed public company incorporated in the State of Delaware, Keel Infrastructure Corp.</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used in this prospectus, the terms “Keel Infrastructure Corp.,” “Keel,” the “Company,” “we,” “our” and “us” refer to Keel Infrastructure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consolidated subsidiaries, unless otherwise specified or the context otherwise requires.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under the Securities Exchange Act of 1934, as amended (the “Exchange Act”). The SEC maintains a web site that contains reports, proxy statements and other information regarding issuers that file electronically with the SEC. These materials may be obtained electronically by accessing the SEC’s website at http://www.sec.gov. We make available, free of charge on our website, our Annual Reports on Form 10-K, Quarterly Reports on Form 10-Q, Current Reports on Form 8-K, proxy statements and amendments to these reports filed or furnished pursuant to Section 13(a), 14 or 15(d) of the Exchange Act, as soon as reasonably practicable after we electronically file these documents with, or furnish them to, the SEC. These documents are posted on our website at www.keelinfra.com.</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18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Bitfarms’ Annual Report on </w:t>
      </w:r>
      <w:hyperlink r:id="rId2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by Bitfarms with the SEC on March 31,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Keel’s Current Reports on Form 8-K, filed with the SEC on </w:t>
      </w:r>
      <w:hyperlink r:id="rId29">
        <w:r>
          <w:rPr>
            <w:rFonts w:ascii="Times New Roman" w:cs="Times New Roman" w:eastAsia="Times New Roman" w:hAnsi="Times New Roman"/>
            <w:sz w:val="18"/>
            <w:szCs w:val="18"/>
            <w:u w:val="single" w:color="auto"/>
            <w:color w:val="0000EE"/>
          </w:rPr>
          <w:t>April 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0">
        <w:r>
          <w:rPr>
            <w:rFonts w:ascii="Times New Roman" w:cs="Times New Roman" w:eastAsia="Times New Roman" w:hAnsi="Times New Roman"/>
            <w:sz w:val="18"/>
            <w:szCs w:val="18"/>
            <w:u w:val="single" w:color="auto"/>
            <w:color w:val="0000EE"/>
          </w:rPr>
          <w:t>April 3, 2026</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Keel’s Current Report on </w:t>
      </w:r>
      <w:hyperlink r:id="rId29">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with the SEC on April 1, 2026, and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176"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written or oral request,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120 Broadway, Suite 1075, New York, NY 10004</w:t>
      </w:r>
    </w:p>
    <w:p>
      <w:pPr>
        <w:spacing w:after="0" w:line="9" w:lineRule="exact"/>
        <w:rPr>
          <w:rFonts w:ascii="Times New Roman" w:cs="Times New Roman" w:eastAsia="Times New Roman" w:hAnsi="Times New Roman"/>
          <w:sz w:val="18"/>
          <w:szCs w:val="18"/>
          <w:color w:val="auto"/>
        </w:rPr>
      </w:pPr>
    </w:p>
    <w:p>
      <w:pPr>
        <w:ind w:left="5540" w:right="5060" w:hanging="478"/>
        <w:spacing w:after="0" w:line="761" w:lineRule="auto"/>
        <w:tabs>
          <w:tab w:leader="none" w:pos="54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264-5151 iii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and any documents incorporated by reference contain statements that are “forward-looking” within the meaning of the Private Securities Litigation Reform Act of 1995.</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can often be identified by the use of forward-looking language such as “may,” “should,” “believes,” “expects,” “anticipates,” “plans,” “estimates,” “intends,” “projects,” “goals,” “objectives,” or other similar expressions. Our actual results, performance or achievements could be materially different from the results expressed in, or implied by, forward-looking statements.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By their very nature, forward-looking statements involve known and unknown risks, uncertainties and other factors that may cause actual results or events to differ materially from those anticipated in such forward-looking statements,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and such forward-looking statements included in this prospectus should not be unduly relied upon. When considering forward-looking statements, you should keep in mind the risks, uncertainties and other cautionary statements made in this prospectus, any accompanying prospectus supplement and the documents incorporated by reference.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we believe that the plans, intentions, expectations, assumptions and strategies reflected in our forward-looking statements are reasonable, these statements relate to future events or our future financial performance, and involve known and unknown risks, uncertainties and other factors which are, in some cases, beyond our control. If one or more of these risks or uncertainties occur, or if our underlying assumptions prove to be incorrect, actual results may vary significantly from those implied or projected by the forward-looking statements. In addition, we operate in a highly competitive and rapidly changing environment. New risks and uncertainties emerge from time to time, and it is not possible for us to predict all risks and uncertainties that could have an impact on the forward-looking statements. No forward-looking statement is a guarantee of future results. These statements are inherently uncertain and investors are cautioned not to unduly rely upon these statements.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can be no assurance that other factors not currently anticipated by us will not materially and adversely affect our business, financial condition and results of operations. You are cautioned not to place undue reliance on any forward-looking statements made by us or on our behalf. Please take into account that forward-looking statements speak only as of the date of this prospectus or, in the case of any accompanying prospectus supplement or documents incorporated by reference, the date of any such document. Except as required by applicable law, we do not undertake any obligation to publicly correct or update any forward-looking statement.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Keel is a North American digital and energy infrastructure company that develops, owns, and plans to operate data centers and energy infrastructure for HPC and AI workloads. We currently maintain our legacy North American bitcoin mining operations to help fund our operations and development efforts.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mission is to deliver the infrastructure and energy required to support high-performance computing and artificial intelligence workloads. We have a portfolio of assets that include owned and operated power generation facilities with collocated bitcoin mining data centers, established grid interconnections within the wholesale electricity market administered by PJM Interconnection, L.L.C. in Pennsylvania, and 100% renewable hydroelectric capacity in Canada and Washington State. Our infrastructure assets represent a 2.2 GW power capacity pipeline, comprising 648 MW of secured capacity and 1,513 MW of planned capacity in development, located across our U.S. sites and our Québec sites. Currently, our infrastructure assets are deployed to support our bitcoin mining activities. We are developing our infrastructure assets to support high-performance computing data center operations and expect to continue such development in the coming years.</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120 Broadway, Suite 1075, New York, NY 10004 and our telephone number is (929) 264-5151. We maintain a website at www.keelinfra.com. The information on our website is not incorporated by reference in this prospectus or any accompanying prospectus supplement, and you should not consider it a part of this prospectus or any accompanying prospectus supplement.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You should carefully consider the risks incorporated by reference to our Annual Report on Form 10-K, any subsequent Quarterly Reports on Form 10-Q or Current Reports on Form 8-K, and all other information contained or incorporated by reference into this prospectus and any applicable prospectus supplement as updated by our subsequent filings under the Exchange Act, and the risk factors and other information contained in any applicable prospectus supplement before acquiring any such securities. The risks and uncertainties described in our SEC filings are not the only ones facing us. Additional risks and uncertainties that we are unaware of, or that we currently believe are not material, may also become important factors that adversely affect our business. If any such risks and uncertainties actually occur, our business, financial condition, results of operations and prospects could be materially and adversely affected, the market price of our securities could decline and you could lose all or part of your investment. See “Where You Can Find More Information” and “Cautionary Note Regarding Forward-Looking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any accompanying prospectus supplement, we expect to use the net proceeds from the sale of securities for general corporate purposes, including the financing of our operations.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set forth in an accompanying prospectus supplement, we will not receive any proceeds in the event that securities are sold by a selling securityholder.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contains summary descriptions of our common stock, preferred stock, depositary shares, warrants, subscription rights, purchase contracts and purchase units that may be offered and sold from time to time. These summary descriptions are not meant to be complete descriptions of each security. The particular terms of any security to be issued pursuant hereto will be set forth in a related prospectus supplement and/or free writing prospectus. This prospectus and the accompanying prospectus supplement and/or free writing prospectus will contain the material terms and conditions for each security.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KEEL CAPITAL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summary description of the Keel capital stock is based on the provisions of the Delaware General Corporation Law (“DGCL”), our amended and restated certificate of incorporation (the “Keel Certificate”), and our bylaws (the “Keel Bylaws”). This description does not purport to be complete in all respects and is qualified entirely by reference to the full text of the DGCL, as it may be amended from time to time, the provisions of the Keel Certificate and the Keel Bylaws, as each may be amended from time to time, which are incorporated by reference as exhibits to the registration statement of which this prospectus is a part. See “Where You Can Find More Information.” As used in this “Description of Keel Capital Stock,” the terms “Keel,” the “Company”, “we,” “our” and “us” refer to Keel Infrastructure Corp., a Delaware corporation, and do not, unless otherwise specified, include our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Keel’s authorized capital stock consists of 1,500,000,000 shares of common stock, par value US$0.001 per share (the “common stock”), and 120,000,000 shares of class A preferred stock, par value US$0.001 per share (the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Holders of common stock do not have cumulative voting rights in the election of directors. Accordingly, in an uncontested election, holders of a majority of the voting shares are able to elect all of the directors.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holders of Keel preferred stock, holders of common stock are entitled to receive dividends, if any, as may be declared from time to time by the board of directors of Keel (“Keel Board”) out of legally available funds. Under the DGCL, the Keel Board may declare and pay a dividend to holders common stock out of surplus or, if there is no surplus (as defined and computed in accordance with the DGCL), out of net profits for the fiscal year in which the dividend is declared or the immediately preceding fiscal year, or both. Dividends may be paid in cash, in common stock or in other property. Declaration and payment of any dividend is subject to the discretion of the Keel Board. Each quarter the Keel Board will review Keel’s dividend in light of Keel’s other financial commitments before declaring the dividend. Any decision to pay dividends on the common stock in the future will be made by the Keel Board on the basis of Keel’s earnings, financial requirements, provisions of the DGCL affecting the payment of distributions to stockholders and other factors existing at such future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of Keel’s liquidation, dissolution or winding up, holders of common stock will be entitled to share ratably in the net assets legally available for distribution to stockholders after the payment of all of Keel’s debts and other liabilities and the satisfaction of any liquidation preference granted to the holders of any then outstanding shares of preferred stock. If a dissolution is authorized, a certificate of dissolution must be filed with the Secretary of State of the State of Delaware.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Rights and Preferences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subscription or other rights, and there are no redemption or sinking fund provisions applicable to common stock. The rights, preferences and privileges of the holders of common stock are subject to and may be adversely affected by the rights of the holders of shares of any series of Keel preferred stock that we may designate in the future.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Fully Paid and Non-assessable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outstanding shares of common stock are fully paid and non-assessable.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Keel Certificate authorizes the Keel Board to issue Keel preferred stock in one or more series and to determine the preferences, limitations and relative rights of any shares of Keel preferred stock that it shall choose to issue, without vote or action by the stockholders, subject to certain limitations on voting and other rights set forth in the Keel Certificate.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Stockholder Meetings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Keel Certificate and Keel Bylaws provide that annual stockholder meetings are held at a date, place (if any) and time, as exclusively selected by the Keel Board. To the extent permitted under applicable law, we may but are not obligated to conduct meetings by remote communications, including by webcast.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Provisions of the Keel Certificate, the Keel Bylaws and Delaware Law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provisions of the DGCL, the Keel Certificate and Keel Bylaws could make the following transactions difficult: acquisition of Keel by means of a tender offer; acquisition of Keel by means of a proxy contest or otherwise; and removal of incumbent officers and directors of Keel. It is possible that these provisions could make it more difficult to accomplish or could deter transactions that stockholders may otherwise consider to be in their best interest or in the best interests of Keel, including transactions that might result in a premium over the market price for our common stock.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Keel to first negotiate with the Keel Board. We believe that the benefits of protection to Keel’s potential ability to negotiate with the proponent of an unfriendly or unsolicited proposal to acquire or restructure Keel outweigh the disadvantages of discouraging these proposals because negotiation of these proposals could result in an improvement of their terms.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b w:val="1"/>
          <w:bCs w:val="1"/>
          <w:color w:val="auto"/>
        </w:rPr>
        <w:t>Delaware Anti-Takeover Statutes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Keel is subject to Section 203 of the DGCL, which prohibits persons deemed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Keel Board, such as discouraging takeover attempts that might result in a premium over the market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Keel preferred stock makes it possible for the Keel Board to issue preferred stock with voting or other rights or preferences that could impede the success of any attempt to change control of Keel. These and other provisions may have the effect of deterring hostile takeovers or delaying changes in control or management of Keel.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Keel Bylaws provide that a special meeting of stockholders may be called only by the Keel Board or by two or more stockholders holding at least 15% of the capital stock of the Company issued and outstanding and entitled to vote on the matter for which the special meeting is called.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Keel Bylaws establish advance notice procedures with respect to stockholder proposals and the nomination of candidates for election as directors, other than nominations made by or at the direction of the Keel Board or a committee of the Keel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Unanimous Written Consent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Keel Certificate and Keel Bylaws provide for the right of stockholders to act by unanimous written consent without a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Composition of the Board of Directors; Election and Removal of Directors; Filling Vacancies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Keel Board consists of not less than one nor more than 10 directors. In any elections of directors, a director nominee for the Keel Board is elected by a plurality of the votes cast with respect to such director by the shares represented and entitled to vote at a meeting of the stockholders for the election of directors at which a quorum is present, voting together as a single class. The directors of Keel are elected until the expiration of the term for which they are elected and until their respective successors are duly elected and qualified.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directors of Keel may be removed only by the affirmative vote of at least a majority of the holders of the issued and outstanding capital stock of the Company entitled to vote in the election of directors. Furthermore, any vacancy on the Keel Board, however occurring, including a vacancy resulting from an increase in the size of the board, may be filled only by a majority vote of the directors then in office, even if less than a quorum, by the sole remaining director, or by a majority of the votes cast by the stockholders. This system of electing and removing directors and filling vacancies may tend to discourage a third party from making a tender offer or otherwise attempting to obtain control of Keel, because it generally makes it more difficult for stockholders to replace a majority of the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Keel Certificate and Keel Bylaws provide that, except for claims for which the U.S. federal courts have jurisdiction, unless Keel consents in writing to the selection of an alternative forum, the Court of Chancery of the State of Delaware is the exclusive forum for: any derivative action or proceeding brought on our behalf; any action asserting a breach of fiduciary duty; any action asserting a claim against us arising pursuant to the DGCL, the Keel Certificate or the Keel Bylaws; or any action asserting a claim against Keel that is governed by the internal affairs doctrine. Although the Keel Certificate contains the choice of forum provision described above, it is possible that a court could find that such a provision is inapplicable for a particular claim or action or that such provision is unenforceable.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Keel Certificate and Keel Bylaws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amendment of any of the provisions in the Keel Certificate requires approval by a stockholder vote by the holders of at least a majority of the voting power of the then outstanding voting stock voting as a single class. The Keel Bylaws may be amended by the Keel Board or by the holders of at least a majority of the voting power of the then outstanding voting stock voting as a single class.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provisions of the DGCL, the Keel Certificate and Keel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management of Keel.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Liability and Indemnification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Keel Certificate contains provisions that limit the liability of the directors and officers of Keel for monetary damages to the fullest extent permitted by Delaware law. Consequently, Keel directors and officers are not personally liable to Keel or its stockholders for monetary damages for any breach of fiduciary duties as directors, except liability for:</w:t>
      </w:r>
    </w:p>
    <w:p>
      <w:pPr>
        <w:spacing w:after="0" w:line="17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Keel or its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of the Keel Certificate and Keel Bylaws provide that we are required to indemnify the directors and officers of Keel, in each case to the fullest extent permitted by the DGCL. The Keel Bylaws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DGCL. We have entered into agreements with the Keel directors, executive officers and other employees as determined by the Keel Board. With specified exceptions, these agreements provide for indemnification for related expenses including, among other things, attorneys’ fees, judgments, fines and settlement amounts incurred by any of these individuals in any action or proceeding to the fullest extent permitted by applicable law. We believe that these bylaw provisions and indemnification agreements are necessary to attract and retain qualified persons as directors and officers. Keel also maintains directors’ and officers’ liability insurance.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Keel Certificate and Keel Bylaws may discourage stockholders from bringing a lawsuit against Keel directors and officers for breach of their fiduciary duty. They may also reduce the likelihood of derivative litigation against Keel directors and officers, even though an action, if successful, might benefit Keel and its stockholders. Furthermore, a stockholder’s investment may be adversely affected to the extent that we pay the costs of settlement and damage.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Uncertificated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common stock do not have the right to require Keel to issue certificates for their shares. Keel only issues uncertificated shares of common stock, provided that the Keel Board may provide by resolution that some or all of the shares of any class or series of stock of Keel shall be represented by certificates.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Sinking Fund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shares of Keel common stock have no sinking fund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shares of Keel common stock are listed on the Nasdaq and the TSX under the symbol “KEEL.”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the shares of Keel common stock is Continental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pay a cash distribution or dividend on a series of preferred stock represented by depositary shares, the Bank Depositary will distribute such dividends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represented by depositary shares are entitled to vote, the Bank Depositary will mail the notice to the record holders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Depositary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such amendment has been approved by the holders of at least a majority of the depositary shares then outstanding. The depositary agreement may be terminated by the Bank Depositary or us only if (1) all outstanding depositary shares have been redeemed or (2) there has been a final distribution in respect of the preferred stock in connection with any liquidation, dissolution or winding up of our company and such distribution has been distributed to the holders of depositary receipts.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Except as may be provided otherwise in an accompanying prospectus supplement, upon surrender of depositary receipts at the principal office of the Bank Depositary, subject to the terms of the depositary agreement, the owner of the depositary shares may demand delivery of the number of whole shares of preferred stock and all money and other property, if any, represented by those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withdrawn preferred stock may not thereafter deposit those shares under the depositary agreement or receive depositary receipts evidencing depositary shares therefor.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shares of preferred stock. We may issue warrants independently or together with other securities, and they may be attached to or separate from the other securities. Each series of warrants is expected to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prospectus supplement relating to a particular issue of warrants will describe the terms of those warrants, including, when applicable:</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purchase price and/or exercise price of the warrants may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offered;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and the amount of securities you will receive upon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exercise of the warrants and the circumstances, if any, that will cause the warrants to be automatically exercised;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if any, we have to redeem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warrants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warrant agent;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After warrants expire they will become void. The prospectus supplement may provide for the adjustment of the exercise price of the warrants.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shares of our common stock or shares of our preferred stock. We may issue subscription rights independently or together with any other offered security, which may or may not be transferable by the stockholder.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may offer will contain the specific terms of the subscription rights. These terms may include the following:</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each share of common stock or preferred stock which may be purchased per each subscription right;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share of common stock or preferred stock upon the exercise of the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subscription rights or the exercise price of the subscription rights;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subscription rights.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We urge you to read the applicable subscription rights certificate, the applicable subscription rights agreement and any accompanying prospectus supplement in their entirety.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PURCHASE CONTRACTS AND PURCHASE UNITS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obligating us to sell to the holders, a specified number of shares of our common stock or shares of our preferred stock at a future date or dates, which we refer to in this prospectus as purchase contracts. The price of the securities and the number of securities may be fixed at the time the purchase contracts are issued or may be determined by reference to a specific formula set forth in the purchase contracts, and may be subject to adjustment under anti-dilution formulas. The purchase contracts may be issued separately or as part of units consisting of a stock purchase contract and our preferred securities or debt obligations of third parties, including U.S. treasury securities,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in whole or in part.</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purchase contract or purchase unit we offer will not necessarily be complete and will be qualified in its entirety by reference to the applicable purchase contract or purchase unit, which will be filed with the SEC if we offer purchase contracts or purchase units. For more information on how you can obtain copies of any purchase contract or purchase unit we may offer, see “Where You Can Find More Information.” We urge you to read the applicable purchase contract or applicable purchase unit and any accompanying prospectus supplement in their entirety.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Selling securityholders are persons or entities that, directly or indirectly, have acquired or will from time to time acquire from us, our securities in various private transactions. Such selling securityholders may be parties to a registration rights agreement with us, or we otherwise may have agreed or will agree to register their securities for resale. The initial purchasers of our securities, as well as their transferees, pledgees, donees or successors, all of whom we refer to as “selling securityholders,” may from time to time offer and sell the securities pursuant to this prospectus and any applicable prospectus supplement.</w:t>
      </w:r>
    </w:p>
    <w:p>
      <w:pPr>
        <w:spacing w:after="0" w:line="183"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will set forth the name of each selling securityholder and the number of and type of securities beneficially owned by such selling securityholder that are covered by such prospectus supplement. The applicable prospectus supplement also will disclose whether any of the selling securityholders have held any position or office with, have been employed by or otherwise have had a material relationship with us during the three years prior to the date of the prospectus supplement.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or the selling securityholders may sell the securities being offered hereby in one or more of the following ways from time to time:</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agents, dealers or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debts and other obligations;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pursuant to applicable law.</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we or the selling securityholders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the selling securityholders or others to settle such sales and may use securities received from us to close out any related short positions. We or the selling securityholders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and/or the selling securityholders will identify the specific plan of distribution, including any underwriters, dealers, agents or direct purchasers and their compensation in a prospectus supplement.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Annual Report on Internal Control over Financial Reporting) of Bitfarms incorporated in this Registration Statement by reference to the Annual Report on Form 10-K of Bitfarms for the year ended December 31, 2025 have been so incorporated in reliance on the report of PricewaterhouseCoopers LLP, an independent registered public accounting firm, given on the authority of said firm as experts in accounting and auditing.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ind w:left="3140"/>
        <w:spacing w:after="0"/>
        <w:rPr>
          <w:sz w:val="20"/>
          <w:szCs w:val="20"/>
          <w:color w:val="auto"/>
        </w:rPr>
      </w:pPr>
      <w:r>
        <w:rPr>
          <w:rFonts w:ascii="Times New Roman" w:cs="Times New Roman" w:eastAsia="Times New Roman" w:hAnsi="Times New Roman"/>
          <w:sz w:val="18"/>
          <w:szCs w:val="18"/>
          <w:b w:val="1"/>
          <w:bCs w:val="1"/>
          <w:color w:val="auto"/>
        </w:rPr>
        <w:t>PART II 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expenses to be borne by the registrant in connection with the offerings described in this registration statement.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Printing Fees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Agents and Trustees’ Fees and Expenses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Rating Agency Fees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Listing Fees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because the filing fee is being deferred pursuant to Rules 456(b) and 457(r) under the Securities Act.</w:t>
      </w:r>
    </w:p>
    <w:p>
      <w:pPr>
        <w:spacing w:after="0" w:line="225" w:lineRule="exact"/>
        <w:rPr>
          <w:sz w:val="20"/>
          <w:szCs w:val="20"/>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will depend on the number and nature of the offerings, and cannot be estimated at this time. An estimate of the aggregate expenses in connection with the issuance and distribution of securities being offered will be included in any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registrant is a Delaware corporation. Reference is made to Section 102(b)(7) of the General Corporation Law of the State of Delaware (the “DGCL”), which enables a corporation in its certificate of incorporation to eliminate or limit the personal liability of a director or officer for monetary damages to stockholders for violations of the director’s or officer’s fiduciary duty, except:</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or officer’s duty of loyalty to the corporation or its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174 of the DGCL (providing for liability of directors for unlawful payment of dividends or unlawful stock purchases or redemptions);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a director or officer derived an improper personal benefit;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action of an officer by or in the right of the corporation.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limits the personal liability of a director or officer to the registrant and its stockholders for monetary damages for a breach of fiduciary duty as a director or officer to the fullest extent permitted by the DGCL.</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Reference is also made to Section 145 of the DGCL, which provides that a corporation may indemnify any persons, including directors and officers, who are, or are threatened to be made, parties to any threatened, pending or completed legal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director, officer, employee or agent acted in good faith and in a manner the person reasonably believed to be in or not opposed to the best interests of the corporation and, with respect to any criminal action or proceeding, had no reasonable cause to believe that the person’s conduct was unlawful. A Delaware corporation may indemnify directors and officers in an action by or in the right of the corporation under the same conditions, except that no indemnification is permitted without judicial approval if the director or officer is adjudged to be liable to the corporation unless a court believes that in light of all the circumstances indemnification should apply. Where a director or officer is successful on the merits or otherwise in the defense of any action referred to above, the corporation must indemnify him or her against the expenses that such director or officer actually and reasonably incurred. The indemnification permitted under the DGCL is not exclusive, and a corporation is empowered to purchase and maintain insurance against liabilities whether or not indemnification would be permitted by statute.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and Bylaws provide for indemnification of its directors and officers to the fullest extent currently permitted by the DGCL. The registrant also has indemnification agreements with its directors and officers. In addition, the registrant maintains liability insurance for its directors and officers.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an offering of the securities registered hereunder, the registrant may enter into an underwriting agreement which may provide that the underwriters are obligated, under certain circumstances, to indemnify directors, officers and controlling persons of the registrant against certain liabilities, including liabilities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16. List of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Exhibits to this registration statement are listed in the Exhibit Index on page II-2.</w:t>
      </w:r>
    </w:p>
    <w:p>
      <w:pPr>
        <w:sectPr>
          <w:pgSz w:w="11900" w:h="16838" w:orient="portrait"/>
          <w:cols w:equalWidth="0" w:num="1">
            <w:col w:w="11240"/>
          </w:cols>
          <w:pgMar w:left="320" w:top="333" w:right="339" w:bottom="1440" w:gutter="0" w:footer="0" w:header="0"/>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05" w:lineRule="auto"/>
        <w:rPr>
          <w:sz w:val="20"/>
          <w:szCs w:val="20"/>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29"/>
          <w:szCs w:val="29"/>
          <w:color w:val="auto"/>
          <w:vertAlign w:val="superscript"/>
        </w:rPr>
        <w:t>*</w:t>
      </w:r>
    </w:p>
    <w:p>
      <w:pPr>
        <w:spacing w:after="0" w:line="184" w:lineRule="auto"/>
        <w:rPr>
          <w:sz w:val="20"/>
          <w:szCs w:val="20"/>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29"/>
          <w:szCs w:val="29"/>
          <w:color w:val="auto"/>
          <w:vertAlign w:val="superscript"/>
        </w:rPr>
        <w:t>*</w:t>
      </w:r>
    </w:p>
    <w:p>
      <w:pPr>
        <w:spacing w:after="0" w:line="185" w:lineRule="auto"/>
        <w:rPr>
          <w:sz w:val="20"/>
          <w:szCs w:val="20"/>
          <w:color w:val="auto"/>
        </w:rPr>
      </w:pPr>
      <w:r>
        <w:rPr>
          <w:rFonts w:ascii="Times New Roman" w:cs="Times New Roman" w:eastAsia="Times New Roman" w:hAnsi="Times New Roman"/>
          <w:sz w:val="18"/>
          <w:szCs w:val="18"/>
          <w:color w:val="auto"/>
        </w:rPr>
        <w:t>4.5</w:t>
      </w:r>
      <w:r>
        <w:rPr>
          <w:rFonts w:ascii="Times New Roman" w:cs="Times New Roman" w:eastAsia="Times New Roman" w:hAnsi="Times New Roman"/>
          <w:sz w:val="29"/>
          <w:szCs w:val="29"/>
          <w:color w:val="auto"/>
          <w:vertAlign w:val="superscript"/>
        </w:rPr>
        <w:t>*</w:t>
      </w:r>
    </w:p>
    <w:p>
      <w:pPr>
        <w:spacing w:after="0" w:line="185" w:lineRule="auto"/>
        <w:rPr>
          <w:sz w:val="20"/>
          <w:szCs w:val="20"/>
          <w:color w:val="auto"/>
        </w:rPr>
      </w:pPr>
      <w:r>
        <w:rPr>
          <w:rFonts w:ascii="Times New Roman" w:cs="Times New Roman" w:eastAsia="Times New Roman" w:hAnsi="Times New Roman"/>
          <w:sz w:val="18"/>
          <w:szCs w:val="18"/>
          <w:color w:val="auto"/>
        </w:rPr>
        <w:t>4.6</w:t>
      </w:r>
      <w:r>
        <w:rPr>
          <w:rFonts w:ascii="Times New Roman" w:cs="Times New Roman" w:eastAsia="Times New Roman" w:hAnsi="Times New Roman"/>
          <w:sz w:val="29"/>
          <w:szCs w:val="29"/>
          <w:color w:val="auto"/>
          <w:vertAlign w:val="superscript"/>
        </w:rPr>
        <w:t>*</w:t>
      </w:r>
    </w:p>
    <w:p>
      <w:pPr>
        <w:spacing w:after="0" w:line="184" w:lineRule="auto"/>
        <w:rPr>
          <w:sz w:val="20"/>
          <w:szCs w:val="20"/>
          <w:color w:val="auto"/>
        </w:rPr>
      </w:pPr>
      <w:r>
        <w:rPr>
          <w:rFonts w:ascii="Times New Roman" w:cs="Times New Roman" w:eastAsia="Times New Roman" w:hAnsi="Times New Roman"/>
          <w:sz w:val="18"/>
          <w:szCs w:val="18"/>
          <w:color w:val="auto"/>
        </w:rPr>
        <w:t>4.7</w:t>
      </w:r>
      <w:r>
        <w:rPr>
          <w:rFonts w:ascii="Times New Roman" w:cs="Times New Roman" w:eastAsia="Times New Roman" w:hAnsi="Times New Roman"/>
          <w:sz w:val="29"/>
          <w:szCs w:val="29"/>
          <w:color w:val="auto"/>
          <w:vertAlign w:val="superscript"/>
        </w:rPr>
        <w:t>*</w:t>
      </w:r>
    </w:p>
    <w:p>
      <w:pPr>
        <w:spacing w:after="0" w:line="185" w:lineRule="auto"/>
        <w:rPr>
          <w:sz w:val="20"/>
          <w:szCs w:val="20"/>
          <w:color w:val="auto"/>
        </w:rPr>
      </w:pPr>
      <w:r>
        <w:rPr>
          <w:rFonts w:ascii="Times New Roman" w:cs="Times New Roman" w:eastAsia="Times New Roman" w:hAnsi="Times New Roman"/>
          <w:sz w:val="18"/>
          <w:szCs w:val="18"/>
          <w:color w:val="auto"/>
        </w:rPr>
        <w:t>4.8</w:t>
      </w:r>
      <w:r>
        <w:rPr>
          <w:rFonts w:ascii="Times New Roman" w:cs="Times New Roman" w:eastAsia="Times New Roman" w:hAnsi="Times New Roman"/>
          <w:sz w:val="29"/>
          <w:szCs w:val="29"/>
          <w:color w:val="auto"/>
          <w:vertAlign w:val="superscript"/>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19685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Underwriting Agreement.</w:t>
      </w:r>
    </w:p>
    <w:p>
      <w:pPr>
        <w:spacing w:after="0" w:line="27"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EE"/>
        </w:rPr>
      </w:pPr>
      <w:hyperlink r:id="rId48">
        <w:r>
          <w:rPr>
            <w:rFonts w:ascii="Times New Roman" w:cs="Times New Roman" w:eastAsia="Times New Roman" w:hAnsi="Times New Roman"/>
            <w:sz w:val="18"/>
            <w:szCs w:val="18"/>
            <w:u w:val="single" w:color="auto"/>
            <w:color w:val="0000EE"/>
          </w:rPr>
          <w:t>Arrangement Agreement (incorporated by reference to Exhibit 2.3 to the registrant’s Annual Report on Form 10-K filed by Bitfarms Ltd. on</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March 31,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wp:posOffset>
            </wp:positionV>
            <wp:extent cx="713232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50" w:lineRule="auto"/>
        <w:rPr>
          <w:rFonts w:ascii="Times New Roman" w:cs="Times New Roman" w:eastAsia="Times New Roman" w:hAnsi="Times New Roman"/>
          <w:sz w:val="18"/>
          <w:szCs w:val="18"/>
          <w:u w:val="single" w:color="auto"/>
          <w:color w:val="0000EE"/>
        </w:rPr>
      </w:pPr>
      <w:hyperlink r:id="rId50">
        <w:r>
          <w:rPr>
            <w:rFonts w:ascii="Times New Roman" w:cs="Times New Roman" w:eastAsia="Times New Roman" w:hAnsi="Times New Roman"/>
            <w:sz w:val="18"/>
            <w:szCs w:val="18"/>
            <w:u w:val="single" w:color="auto"/>
            <w:color w:val="0000EE"/>
          </w:rPr>
          <w:t>Amended and Restated Certificate of Incorporation of Keel Infrastructure Corp. (incorporated by reference to Exhibit 3.1 to the registrant’s</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Form 8-K filed on April 1, 2026)</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51">
        <w:r>
          <w:rPr>
            <w:rFonts w:ascii="Times New Roman" w:cs="Times New Roman" w:eastAsia="Times New Roman" w:hAnsi="Times New Roman"/>
            <w:sz w:val="18"/>
            <w:szCs w:val="18"/>
            <w:u w:val="single" w:color="auto"/>
            <w:color w:val="0000EE"/>
          </w:rPr>
          <w:t>Bylaws of Keel Infrastructure Corp. (incorporated by reference to Exhibit 3.2 to the registrant’s Form 8-K filed on April 1,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Form of Certificate of Designations with respect to any preferred stock issued hereunder.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Depositary Agreement (including form of Depositary Receipt).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Warrant Agreement (including form of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Subscription Rights Agreement (including form of Subscription Rights Certificate).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Purchase Contract Agreement (including form of Purchase Contract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Purchase Unit Agreement (including form of Purchase Unit Certificate).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Opinion of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Consent of PricewaterhouseCoopers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EE"/>
        </w:rPr>
        <w:t>Consent of Skadden, Arps, Slate, Meagher &amp; Flom LLP (included in Exhibit 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Powers of Attorney (included on signature pages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142875</wp:posOffset>
            </wp:positionV>
            <wp:extent cx="17830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260"/>
            <w:col w:w="10100"/>
          </w:cols>
          <w:pgMar w:left="320" w:top="333" w:right="339" w:bottom="1440" w:gutter="0" w:footer="0" w:header="0"/>
          <w:type w:val="continuous"/>
        </w:sectPr>
      </w:pPr>
    </w:p>
    <w:p>
      <w:pPr>
        <w:spacing w:after="0" w:line="47" w:lineRule="exact"/>
        <w:rPr>
          <w:sz w:val="20"/>
          <w:szCs w:val="20"/>
          <w:color w:val="auto"/>
        </w:rPr>
      </w:pPr>
    </w:p>
    <w:p>
      <w:pPr>
        <w:ind w:left="340" w:hanging="332"/>
        <w:spacing w:after="0" w:line="195"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filed by amendment to the Registration Statement or incorporated by reference from documents filed or to be filed with the SEC under the Securities Exchange Act of 1934, as amended.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(i), (ii) and (iii)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this registration statement;</w:t>
      </w:r>
    </w:p>
    <w:p>
      <w:pPr>
        <w:spacing w:after="0" w:line="180" w:lineRule="exact"/>
        <w:rPr>
          <w:sz w:val="20"/>
          <w:szCs w:val="20"/>
          <w:color w:val="auto"/>
        </w:rPr>
      </w:pPr>
    </w:p>
    <w:p>
      <w:pPr>
        <w:jc w:val="both"/>
        <w:ind w:left="130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1" w:name="page22"/>
    <w:bookmarkEnd w:id="21"/>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this registration statement as of the date the filed prospectus was deemed part of and included in this registration statement;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9" w:lineRule="auto"/>
        <w:tabs>
          <w:tab w:leader="none" w:pos="19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178" w:lineRule="exact"/>
        <w:rPr>
          <w:rFonts w:ascii="Times New Roman" w:cs="Times New Roman" w:eastAsia="Times New Roman" w:hAnsi="Times New Roman"/>
          <w:sz w:val="17"/>
          <w:szCs w:val="17"/>
          <w:color w:val="auto"/>
        </w:rPr>
      </w:pPr>
    </w:p>
    <w:p>
      <w:pPr>
        <w:jc w:val="both"/>
        <w:ind w:left="1300" w:hanging="644"/>
        <w:spacing w:after="0" w:line="258"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New York, State of New York, on April 7, 2026.</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requirements of the Securities Act of 1933, as amended, this registration statement has been signed by the following persons in the capacities and on the dates stated. Each person whose signature appears below constitutes and appoints Benjamin Gagnon, Jonathan Mir and Rachel Silverstein and each of them severally,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S-3 has been signed by the following persons in the capacities indicated on April 7,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20" w:type="dxa"/>
            <w:vAlign w:val="bottom"/>
          </w:tcPr>
          <w:p>
            <w:pPr>
              <w:spacing w:after="0"/>
              <w:rPr>
                <w:sz w:val="21"/>
                <w:szCs w:val="21"/>
                <w:color w:val="auto"/>
              </w:rPr>
            </w:pPr>
          </w:p>
        </w:tc>
        <w:tc>
          <w:tcPr>
            <w:tcW w:w="618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Benjamin Gagnon</w:t>
            </w:r>
          </w:p>
        </w:tc>
        <w:tc>
          <w:tcPr>
            <w:tcW w:w="220" w:type="dxa"/>
            <w:vAlign w:val="bottom"/>
          </w:tcPr>
          <w:p>
            <w:pPr>
              <w:spacing w:after="0"/>
              <w:rPr>
                <w:sz w:val="24"/>
                <w:szCs w:val="2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7, 2026</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Benjamin Gagnon</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Jonathan Mir</w:t>
            </w:r>
          </w:p>
        </w:tc>
        <w:tc>
          <w:tcPr>
            <w:tcW w:w="220" w:type="dxa"/>
            <w:vAlign w:val="bottom"/>
          </w:tcPr>
          <w:p>
            <w:pPr>
              <w:spacing w:after="0"/>
              <w:rPr>
                <w:sz w:val="24"/>
                <w:szCs w:val="2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(Chief Financial Officer and Principal Financial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7, 2026</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Jonathan Mir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Marc-Andre Ammann</w:t>
            </w:r>
          </w:p>
        </w:tc>
        <w:tc>
          <w:tcPr>
            <w:tcW w:w="220" w:type="dxa"/>
            <w:vAlign w:val="bottom"/>
          </w:tcPr>
          <w:p>
            <w:pPr>
              <w:spacing w:after="0"/>
              <w:rPr>
                <w:sz w:val="24"/>
                <w:szCs w:val="2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Finance &amp; Accounting (Principal Accounting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7, 2026</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Marc-Andre Ammann</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48"/>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Edith Hofmeister</w:t>
            </w:r>
          </w:p>
        </w:tc>
        <w:tc>
          <w:tcPr>
            <w:tcW w:w="220" w:type="dxa"/>
            <w:vAlign w:val="bottom"/>
          </w:tcPr>
          <w:p>
            <w:pPr>
              <w:spacing w:after="0"/>
              <w:rPr>
                <w:sz w:val="24"/>
                <w:szCs w:val="2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 and Chair of the Board of Directors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7, 2026</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Edith Hofmeister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Howlett</w:t>
            </w:r>
          </w:p>
        </w:tc>
        <w:tc>
          <w:tcPr>
            <w:tcW w:w="220" w:type="dxa"/>
            <w:vAlign w:val="bottom"/>
          </w:tcPr>
          <w:p>
            <w:pPr>
              <w:spacing w:after="0"/>
              <w:rPr>
                <w:sz w:val="24"/>
                <w:szCs w:val="2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7, 2026</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Howlett</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Fanny Philip</w:t>
            </w:r>
          </w:p>
        </w:tc>
        <w:tc>
          <w:tcPr>
            <w:tcW w:w="220" w:type="dxa"/>
            <w:vAlign w:val="bottom"/>
          </w:tcPr>
          <w:p>
            <w:pPr>
              <w:spacing w:after="0"/>
              <w:rPr>
                <w:sz w:val="24"/>
                <w:szCs w:val="2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7, 2026</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Fanny Philip</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Amy Freedman</w:t>
            </w:r>
          </w:p>
        </w:tc>
        <w:tc>
          <w:tcPr>
            <w:tcW w:w="220" w:type="dxa"/>
            <w:vAlign w:val="bottom"/>
          </w:tcPr>
          <w:p>
            <w:pPr>
              <w:spacing w:after="0"/>
              <w:rPr>
                <w:sz w:val="24"/>
                <w:szCs w:val="2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7, 2026</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Amy Freedman</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J. Chang</w:t>
            </w:r>
          </w:p>
        </w:tc>
        <w:tc>
          <w:tcPr>
            <w:tcW w:w="220" w:type="dxa"/>
            <w:vAlign w:val="bottom"/>
          </w:tcPr>
          <w:p>
            <w:pPr>
              <w:spacing w:after="0"/>
              <w:rPr>
                <w:sz w:val="24"/>
                <w:szCs w:val="2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7, 2026</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J. Chang</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Wayne Duso</w:t>
            </w:r>
          </w:p>
        </w:tc>
        <w:tc>
          <w:tcPr>
            <w:tcW w:w="220" w:type="dxa"/>
            <w:vAlign w:val="bottom"/>
          </w:tcPr>
          <w:p>
            <w:pPr>
              <w:spacing w:after="0"/>
              <w:rPr>
                <w:sz w:val="24"/>
                <w:szCs w:val="2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7, 2026</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Wayne Duso</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37"/>
        </w:trPr>
        <w:tc>
          <w:tcPr>
            <w:tcW w:w="2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2"/>
          </w:tcPr>
          <w:p>
            <w:pPr>
              <w:ind w:left="2320"/>
              <w:spacing w:after="0"/>
              <w:rPr>
                <w:sz w:val="20"/>
                <w:szCs w:val="20"/>
                <w:color w:val="auto"/>
              </w:rPr>
            </w:pPr>
            <w:r>
              <w:rPr>
                <w:rFonts w:ascii="Times New Roman" w:cs="Times New Roman" w:eastAsia="Times New Roman" w:hAnsi="Times New Roman"/>
                <w:sz w:val="18"/>
                <w:szCs w:val="18"/>
                <w:color w:val="auto"/>
              </w:rPr>
              <w:t>II-4</w:t>
            </w: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3" w:name="page24"/>
    <w:bookmarkEnd w:id="23"/>
    <w:p>
      <w:pPr>
        <w:spacing w:after="0" w:line="1" w:lineRule="exact"/>
        <w:rPr>
          <w:sz w:val="20"/>
          <w:szCs w:val="20"/>
          <w:color w:val="auto"/>
        </w:rPr>
      </w:pPr>
    </w:p>
    <w:tbl>
      <w:tblPr>
        <w:tblLayout w:type="fixed"/>
        <w:tblInd w:w="338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252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Exhibit 5. 1</w:t>
            </w:r>
          </w:p>
        </w:tc>
      </w:tr>
      <w:tr>
        <w:trPr>
          <w:trHeight w:val="495"/>
        </w:trPr>
        <w:tc>
          <w:tcPr>
            <w:tcW w:w="5340" w:type="dxa"/>
            <w:vAlign w:val="bottom"/>
          </w:tcPr>
          <w:p>
            <w:pPr>
              <w:jc w:val="center"/>
              <w:ind w:right="765"/>
              <w:spacing w:after="0"/>
              <w:rPr>
                <w:sz w:val="20"/>
                <w:szCs w:val="20"/>
                <w:color w:val="auto"/>
              </w:rPr>
            </w:pPr>
            <w:r>
              <w:rPr>
                <w:rFonts w:ascii="Times New Roman" w:cs="Times New Roman" w:eastAsia="Times New Roman" w:hAnsi="Times New Roman"/>
                <w:sz w:val="25"/>
                <w:szCs w:val="25"/>
                <w:color w:val="auto"/>
              </w:rPr>
              <w:t>S</w:t>
            </w:r>
            <w:r>
              <w:rPr>
                <w:rFonts w:ascii="Times New Roman" w:cs="Times New Roman" w:eastAsia="Times New Roman" w:hAnsi="Times New Roman"/>
                <w:sz w:val="17"/>
                <w:szCs w:val="17"/>
                <w:color w:val="auto"/>
              </w:rPr>
              <w:t>kadden</w:t>
            </w:r>
            <w:r>
              <w:rPr>
                <w:rFonts w:ascii="Times New Roman" w:cs="Times New Roman" w:eastAsia="Times New Roman" w:hAnsi="Times New Roman"/>
                <w:sz w:val="25"/>
                <w:szCs w:val="25"/>
                <w:color w:val="auto"/>
              </w:rPr>
              <w:t>, A</w:t>
            </w:r>
            <w:r>
              <w:rPr>
                <w:rFonts w:ascii="Times New Roman" w:cs="Times New Roman" w:eastAsia="Times New Roman" w:hAnsi="Times New Roman"/>
                <w:sz w:val="17"/>
                <w:szCs w:val="17"/>
                <w:color w:val="auto"/>
              </w:rPr>
              <w:t>rps</w:t>
            </w:r>
            <w:r>
              <w:rPr>
                <w:rFonts w:ascii="Times New Roman" w:cs="Times New Roman" w:eastAsia="Times New Roman" w:hAnsi="Times New Roman"/>
                <w:sz w:val="25"/>
                <w:szCs w:val="25"/>
                <w:color w:val="auto"/>
              </w:rPr>
              <w:t>, S</w:t>
            </w:r>
            <w:r>
              <w:rPr>
                <w:rFonts w:ascii="Times New Roman" w:cs="Times New Roman" w:eastAsia="Times New Roman" w:hAnsi="Times New Roman"/>
                <w:sz w:val="17"/>
                <w:szCs w:val="17"/>
                <w:color w:val="auto"/>
              </w:rPr>
              <w:t>late</w:t>
            </w:r>
            <w:r>
              <w:rPr>
                <w:rFonts w:ascii="Times New Roman" w:cs="Times New Roman" w:eastAsia="Times New Roman" w:hAnsi="Times New Roman"/>
                <w:sz w:val="25"/>
                <w:szCs w:val="25"/>
                <w:color w:val="auto"/>
              </w:rPr>
              <w:t>, M</w:t>
            </w:r>
            <w:r>
              <w:rPr>
                <w:rFonts w:ascii="Times New Roman" w:cs="Times New Roman" w:eastAsia="Times New Roman" w:hAnsi="Times New Roman"/>
                <w:sz w:val="17"/>
                <w:szCs w:val="17"/>
                <w:color w:val="auto"/>
              </w:rPr>
              <w:t>eagher</w:t>
            </w:r>
            <w:r>
              <w:rPr>
                <w:rFonts w:ascii="Times New Roman" w:cs="Times New Roman" w:eastAsia="Times New Roman" w:hAnsi="Times New Roman"/>
                <w:sz w:val="25"/>
                <w:szCs w:val="25"/>
                <w:color w:val="auto"/>
              </w:rPr>
              <w:t xml:space="preserve"> &amp; F</w:t>
            </w:r>
            <w:r>
              <w:rPr>
                <w:rFonts w:ascii="Times New Roman" w:cs="Times New Roman" w:eastAsia="Times New Roman" w:hAnsi="Times New Roman"/>
                <w:sz w:val="17"/>
                <w:szCs w:val="17"/>
                <w:color w:val="auto"/>
              </w:rPr>
              <w:t>lom llp</w:t>
            </w:r>
          </w:p>
        </w:tc>
        <w:tc>
          <w:tcPr>
            <w:tcW w:w="2520" w:type="dxa"/>
            <w:vAlign w:val="bottom"/>
          </w:tcPr>
          <w:p>
            <w:pPr>
              <w:spacing w:after="0"/>
              <w:rPr>
                <w:sz w:val="24"/>
                <w:szCs w:val="24"/>
                <w:color w:val="auto"/>
              </w:rPr>
            </w:pPr>
          </w:p>
        </w:tc>
      </w:tr>
      <w:tr>
        <w:trPr>
          <w:trHeight w:val="216"/>
        </w:trPr>
        <w:tc>
          <w:tcPr>
            <w:tcW w:w="5340" w:type="dxa"/>
            <w:vAlign w:val="bottom"/>
          </w:tcPr>
          <w:p>
            <w:pPr>
              <w:jc w:val="center"/>
              <w:ind w:right="745"/>
              <w:spacing w:after="0"/>
              <w:rPr>
                <w:sz w:val="20"/>
                <w:szCs w:val="20"/>
                <w:color w:val="auto"/>
              </w:rPr>
            </w:pPr>
            <w:r>
              <w:rPr>
                <w:rFonts w:ascii="Times New Roman" w:cs="Times New Roman" w:eastAsia="Times New Roman" w:hAnsi="Times New Roman"/>
                <w:sz w:val="18"/>
                <w:szCs w:val="18"/>
                <w:color w:val="auto"/>
                <w:w w:val="97"/>
              </w:rPr>
              <w:t>ONE MANHATTAN WEST</w:t>
            </w:r>
          </w:p>
        </w:tc>
        <w:tc>
          <w:tcPr>
            <w:tcW w:w="25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FIRM/AFFILIATE</w:t>
            </w:r>
          </w:p>
        </w:tc>
      </w:tr>
      <w:tr>
        <w:trPr>
          <w:trHeight w:val="216"/>
        </w:trPr>
        <w:tc>
          <w:tcPr>
            <w:tcW w:w="5340" w:type="dxa"/>
            <w:vAlign w:val="bottom"/>
          </w:tcPr>
          <w:p>
            <w:pPr>
              <w:jc w:val="center"/>
              <w:ind w:right="745"/>
              <w:spacing w:after="0"/>
              <w:rPr>
                <w:sz w:val="20"/>
                <w:szCs w:val="20"/>
                <w:color w:val="auto"/>
              </w:rPr>
            </w:pPr>
            <w:r>
              <w:rPr>
                <w:rFonts w:ascii="Times New Roman" w:cs="Times New Roman" w:eastAsia="Times New Roman" w:hAnsi="Times New Roman"/>
                <w:sz w:val="18"/>
                <w:szCs w:val="18"/>
                <w:color w:val="auto"/>
              </w:rPr>
              <w:t>NEW YORK, NY 10001</w:t>
            </w:r>
          </w:p>
        </w:tc>
        <w:tc>
          <w:tcPr>
            <w:tcW w:w="2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OFFICES</w:t>
            </w:r>
          </w:p>
        </w:tc>
      </w:tr>
      <w:tr>
        <w:trPr>
          <w:trHeight w:val="216"/>
        </w:trPr>
        <w:tc>
          <w:tcPr>
            <w:tcW w:w="5340" w:type="dxa"/>
            <w:vAlign w:val="bottom"/>
          </w:tcPr>
          <w:p>
            <w:pPr>
              <w:jc w:val="center"/>
              <w:ind w:right="725"/>
              <w:spacing w:after="0"/>
              <w:rPr>
                <w:sz w:val="20"/>
                <w:szCs w:val="20"/>
                <w:color w:val="auto"/>
              </w:rPr>
            </w:pPr>
            <w:r>
              <w:rPr>
                <w:rFonts w:ascii="Times New Roman" w:cs="Times New Roman" w:eastAsia="Times New Roman" w:hAnsi="Times New Roman"/>
                <w:sz w:val="18"/>
                <w:szCs w:val="18"/>
                <w:color w:val="auto"/>
                <w:w w:val="99"/>
              </w:rPr>
              <w:t>________</w:t>
            </w:r>
          </w:p>
        </w:tc>
        <w:tc>
          <w:tcPr>
            <w:tcW w:w="25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BOSTON</w:t>
            </w:r>
          </w:p>
        </w:tc>
      </w:tr>
      <w:tr>
        <w:trPr>
          <w:trHeight w:val="216"/>
        </w:trPr>
        <w:tc>
          <w:tcPr>
            <w:tcW w:w="5340" w:type="dxa"/>
            <w:vAlign w:val="bottom"/>
          </w:tcPr>
          <w:p>
            <w:pPr>
              <w:jc w:val="center"/>
              <w:ind w:right="745"/>
              <w:spacing w:after="0"/>
              <w:rPr>
                <w:sz w:val="20"/>
                <w:szCs w:val="20"/>
                <w:color w:val="auto"/>
              </w:rPr>
            </w:pPr>
            <w:r>
              <w:rPr>
                <w:rFonts w:ascii="Times New Roman" w:cs="Times New Roman" w:eastAsia="Times New Roman" w:hAnsi="Times New Roman"/>
                <w:sz w:val="18"/>
                <w:szCs w:val="18"/>
                <w:color w:val="auto"/>
                <w:w w:val="99"/>
              </w:rPr>
              <w:t>TEL: (212) 735-3000</w:t>
            </w:r>
          </w:p>
        </w:tc>
        <w:tc>
          <w:tcPr>
            <w:tcW w:w="25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CHICAGO</w:t>
            </w:r>
          </w:p>
        </w:tc>
      </w:tr>
      <w:tr>
        <w:trPr>
          <w:trHeight w:val="216"/>
        </w:trPr>
        <w:tc>
          <w:tcPr>
            <w:tcW w:w="5340" w:type="dxa"/>
            <w:vAlign w:val="bottom"/>
          </w:tcPr>
          <w:p>
            <w:pPr>
              <w:jc w:val="center"/>
              <w:ind w:right="745"/>
              <w:spacing w:after="0"/>
              <w:rPr>
                <w:sz w:val="20"/>
                <w:szCs w:val="20"/>
                <w:color w:val="auto"/>
              </w:rPr>
            </w:pPr>
            <w:r>
              <w:rPr>
                <w:rFonts w:ascii="Times New Roman" w:cs="Times New Roman" w:eastAsia="Times New Roman" w:hAnsi="Times New Roman"/>
                <w:sz w:val="18"/>
                <w:szCs w:val="18"/>
                <w:color w:val="auto"/>
                <w:w w:val="99"/>
              </w:rPr>
              <w:t>FAX: (212) 735-2000</w:t>
            </w:r>
          </w:p>
        </w:tc>
        <w:tc>
          <w:tcPr>
            <w:tcW w:w="25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HOUSTON</w:t>
            </w:r>
          </w:p>
        </w:tc>
      </w:tr>
      <w:tr>
        <w:trPr>
          <w:trHeight w:val="216"/>
        </w:trPr>
        <w:tc>
          <w:tcPr>
            <w:tcW w:w="5340" w:type="dxa"/>
            <w:vAlign w:val="bottom"/>
          </w:tcPr>
          <w:p>
            <w:pPr>
              <w:jc w:val="center"/>
              <w:ind w:right="745"/>
              <w:spacing w:after="0"/>
              <w:rPr>
                <w:sz w:val="20"/>
                <w:szCs w:val="20"/>
                <w:color w:val="auto"/>
              </w:rPr>
            </w:pPr>
            <w:r>
              <w:rPr>
                <w:rFonts w:ascii="Times New Roman" w:cs="Times New Roman" w:eastAsia="Times New Roman" w:hAnsi="Times New Roman"/>
                <w:sz w:val="18"/>
                <w:szCs w:val="18"/>
                <w:color w:val="auto"/>
                <w:w w:val="99"/>
              </w:rPr>
              <w:t>www.skadden.com</w:t>
            </w:r>
          </w:p>
        </w:tc>
        <w:tc>
          <w:tcPr>
            <w:tcW w:w="2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LOS ANGELES</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6"/>
              </w:rPr>
              <w:t>PALO ALTO</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WASHINGTON, D.C.</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WILMINGTON</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ABU DHABI</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BEIJING</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BRUSSELS</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FRANKFURT</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LONDON</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MUNICH</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3"/>
              </w:rPr>
              <w:t>PARIS</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SÃO PAULO</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SEOUL</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5340" w:type="dxa"/>
            <w:vAlign w:val="bottom"/>
          </w:tcPr>
          <w:p>
            <w:pPr>
              <w:spacing w:after="0"/>
              <w:rPr>
                <w:sz w:val="18"/>
                <w:szCs w:val="18"/>
                <w:color w:val="auto"/>
              </w:rPr>
            </w:pPr>
          </w:p>
        </w:tc>
        <w:tc>
          <w:tcPr>
            <w:tcW w:w="2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TOKYO</w:t>
            </w:r>
          </w:p>
        </w:tc>
      </w:tr>
      <w:tr>
        <w:trPr>
          <w:trHeight w:val="234"/>
        </w:trPr>
        <w:tc>
          <w:tcPr>
            <w:tcW w:w="5340" w:type="dxa"/>
            <w:vAlign w:val="bottom"/>
          </w:tcPr>
          <w:p>
            <w:pPr>
              <w:spacing w:after="0"/>
              <w:rPr>
                <w:sz w:val="20"/>
                <w:szCs w:val="20"/>
                <w:color w:val="auto"/>
              </w:rPr>
            </w:pPr>
          </w:p>
        </w:tc>
        <w:tc>
          <w:tcPr>
            <w:tcW w:w="2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7"/>
              </w:rPr>
              <w:t>TORONTO</w:t>
            </w:r>
          </w:p>
        </w:tc>
      </w:tr>
      <w:tr>
        <w:trPr>
          <w:trHeight w:val="648"/>
        </w:trPr>
        <w:tc>
          <w:tcPr>
            <w:tcW w:w="5340" w:type="dxa"/>
            <w:vAlign w:val="bottom"/>
          </w:tcPr>
          <w:p>
            <w:pPr>
              <w:spacing w:after="0"/>
              <w:rPr>
                <w:sz w:val="24"/>
                <w:szCs w:val="24"/>
                <w:color w:val="auto"/>
              </w:rPr>
            </w:pPr>
          </w:p>
        </w:tc>
        <w:tc>
          <w:tcPr>
            <w:tcW w:w="252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April 7, 2026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 Broadway, Suite 1075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Re:</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Keel Infrastructure Corp.</w:t>
            </w:r>
          </w:p>
        </w:tc>
      </w:tr>
      <w:tr>
        <w:trPr>
          <w:trHeight w:val="241"/>
        </w:trPr>
        <w:tc>
          <w:tcPr>
            <w:tcW w:w="196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 Statement on Form S-3</w:t>
            </w:r>
          </w:p>
        </w:tc>
      </w:tr>
      <w:tr>
        <w:trPr>
          <w:trHeight w:val="432"/>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Ladies and Gentlemen:</w:t>
            </w:r>
          </w:p>
        </w:tc>
        <w:tc>
          <w:tcPr>
            <w:tcW w:w="2600" w:type="dxa"/>
            <w:vAlign w:val="bottom"/>
          </w:tcPr>
          <w:p>
            <w:pPr>
              <w:spacing w:after="0"/>
              <w:rPr>
                <w:sz w:val="24"/>
                <w:szCs w:val="24"/>
                <w:color w:val="auto"/>
              </w:rPr>
            </w:pPr>
          </w:p>
        </w:tc>
      </w:tr>
    </w:tbl>
    <w:p>
      <w:pPr>
        <w:spacing w:after="0" w:line="19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We have acted as special United States counsel to Keel Infrastructure Corp., a Delaware corporation (the “Company”), in connection with the registration statement on Form S-3 (the “Registration Statement”) to be filed on the date hereof by the Company with the Securities and Exchange Commission (the “Commission”) under the Securities Act of 1933 (the “Securities Act”). The Registration Statement relates to the issuance and sale by the Company from time to time, pursuant to Rule 415 of the General Rules and Regulations of the Commission promulgated under the Securities Act (the “Rules and Regulations”), of (i) shares of common stock, par value $0.001 per share, of the Company (“Common Stock”), (ii) shares of preferred stock, par value $0.001 per share, of the Company (“Preferred Stock”), which may be issued in one or more series, (iii) depositary receipts (the “Receipts”) representing fractional shares of Preferred Stock, which are called depositary shares (the “Depositary Shares”) and which may be issued pursuant to one or more depositary agreements (each, a “Depositary Agreement”) proposed to be entered into between the Company and one or more bank or trust companies to be named in the applicable Depositary Agreement (each, a “Bank Depositary”), (iv) warrants to purchase shares of Common Stock or shares of Preferred Stock (“Warrants”), which may be issued pursuant to one or more warrant agreements (each, a “Warrant Agreement”) proposed to be entered into by the Company and one or more warrant agents to be named therein, (v) subscription rights to purchase shares of Common Stock or shares of Preferred Stock (“Subscription Rights”), which may be issued under one or more subscription rights certificates (each, a “Subscription Rights Certificate”) and/or pursuant to one or more subscription rights agreements (each, a “Subscription Rights Agreement”) proposed to be entered into by the Company and one or more subscription agents to be named therein, (vi) purchase contracts (“Purchase Contracts”) obligating the holders thereof to purchase from the Company, and the Company to sell to such holders, shares of Common Stock or shares of Preferred Stock at a future date or dates, which may be issued pursuant to one or more purchase contract agreements (each, a “Purchase Contract Agreement”) proposed to be entered into by the Company and one or more purchase contract agents to be named therein, (vii) purchase units of the Company (“Purchase Units”), each consisting of ownership of a purchase contract and preferred securities or debt obligations of third-parties, including U.S. treasury securities, or any combination of the foregoing, which may be issued pursuant to one or more agreements (each, a “Purchase Unit Agreement”) proposed to be entered into by the Company and one or more purchase unit agents to be named therein, and (viii) such indeterminate number of shares of Common Stock, Preferred Stock or Depositary Shares and indeterminate amount of Debt Securities as may be issued upon conversion, exchange or exercise, as applicable, of any Preferred Stock, Depositary Shares, Debt Securities, Warrants or Subscription Rights or settlement of any Purchase Contracts or Purchase Units, including such shares of Common Stock or Preferred Stock as may be issued pursuant to anti-dilution adjustments determined at the time of offering (collectively, “Indeterminate Securities”). The Common Stock, Preferred Stock, Depositary Shares, Warrants, Subscription Rights, Purchase Contracts, Purchase Units and Indeterminate Securities, offered pursuant to the Registration Statement are collectively referred to herein as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601(b)(5) of Regulation S-K under the Securities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rendering the opinions stated herein, we have examined and relied upon the following:</w:t>
      </w:r>
    </w:p>
    <w:p>
      <w:pPr>
        <w:spacing w:after="0" w:line="225" w:lineRule="exact"/>
        <w:rPr>
          <w:sz w:val="20"/>
          <w:szCs w:val="20"/>
          <w:color w:val="auto"/>
        </w:rPr>
      </w:pPr>
    </w:p>
    <w:p>
      <w:pPr>
        <w:ind w:left="1540" w:hanging="236"/>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Amended and Restated Certificate of Incorporation certified by the Secretary of State of the State of Delaware as of April 1, 2027 (the “Certificate of Incorporation”);</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bylaws, as amended and in effect as of the date hereof.</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(i) the laws of the State of New York, and (ii) the General Corporation Law of the State of Delaware (the “DGCL”) (all of the foregoing being referred to as “Opined-on Law”). The Securities may be issued from time to time on a delayed or continuous basis, and this opinion is limited to the laws, including the rules and regulations, as in effect on the date hereof, which laws are subject to change with possible retroactive effect.</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As used herein, “Transaction Documents” means the Depositary Agreements, the Warrant Agreements, the Subscription Rights Agreements, the Purchase Contract Agreements, the Purchase Unit Agreements and any applicable underwriting or purchase agreement.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opinions stated in paragraphs 1 through 7 below presume that all of the following (collectively, the “general conditions”)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Documents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w:t>
      </w:r>
    </w:p>
    <w:p>
      <w:pPr>
        <w:spacing w:after="0" w:line="5" w:lineRule="exact"/>
        <w:rPr>
          <w:sz w:val="20"/>
          <w:szCs w:val="20"/>
          <w:color w:val="auto"/>
        </w:rPr>
      </w:pPr>
    </w:p>
    <w:p>
      <w:pPr>
        <w:jc w:val="both"/>
        <w:ind w:firstLine="8"/>
        <w:spacing w:after="0" w:line="252" w:lineRule="auto"/>
        <w:tabs>
          <w:tab w:leader="none" w:pos="3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including any duly authorized committee thereof, shall have taken all necessary corporate action to approve the issuance and sale of such Securities and related matters and appropriate officers of the Company have taken all related action as directed by or under the direction of the Board of Directors of the Company; and (v) the terms of the applicable Transaction Documents and the issuance and sale of such Securities have been duly established in conformity with the certificate of incorporation of the Company so as not to violate any applicable law, the certificate of incorporation of the Company or the bylaws of the Company, or result in a default under or breach of any agreement or instrument binding upon the Company or its properties, and so as to comply with any requirement or restriction imposed by any court or governmental body having jurisdiction over the Company or its properties.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w:t>
      </w:r>
    </w:p>
    <w:p>
      <w:pPr>
        <w:spacing w:after="0" w:line="225" w:lineRule="exact"/>
        <w:rPr>
          <w:sz w:val="20"/>
          <w:szCs w:val="20"/>
          <w:color w:val="auto"/>
        </w:rPr>
      </w:pPr>
    </w:p>
    <w:p>
      <w:pPr>
        <w:jc w:val="both"/>
        <w:ind w:firstLine="1304"/>
        <w:spacing w:after="0" w:line="254" w:lineRule="auto"/>
        <w:tabs>
          <w:tab w:leader="none" w:pos="14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shares of Common Stock offered by the Company, including any Indeterminate Securities constituting Common Stock (the “Offered Common Stock”), when (a) the general conditions shall have been satisfied, (b) if the Offered Common Stock is to be certificated, certificates in the form required under the DGCL representing the shares of Offered Common Stock are duly executed and countersigned or, if the Offered Common Stock is to be issued in uncertificated form, a resolution of the Board of Directors has duly authorized the issuance of the Offered Common Stock in uncertificated form and (c) the shares of Offered Common Stock are registered in the Company’s share registry and delivered upon payment of the agreed-upon consideration therefor, the shares of Offered Common Stock, when issued and sold or otherwise distributed in accordance with the provisions of the applicable Transaction Document, will be duly authorized by all requisite corporate action on the part of the Company under the DGCL and validly issued, fully paid and nonassessable, provided that the consideration therefor is not less than $0.001 per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jc w:val="both"/>
        <w:ind w:firstLine="1304"/>
        <w:spacing w:after="0" w:line="253" w:lineRule="auto"/>
        <w:tabs>
          <w:tab w:leader="none" w:pos="14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shares of any series of Preferred Stock offered by the Company, including any Indeterminate Securities constituting Preferred Stock of such series (the “Offered Preferred Stock”), when (a) the general conditions shall have been satisfied, (b) the Board of Directors of the Company, or a duly authorized committee thereof, has duly adopted a Certificate of Designations for the Offered Preferred Stock in accordance with the DGCL (the “Certificate”), (c) the filing of the Certificate with the Secretary of State of the State of Delaware has duly occurred, (d) if the Offered Preferred Stock is to be certificated, certificates in the form required under the DGCL representing the shares of Offered Preferred Stock are duly executed and countersigned or, if the Offered Preferred Stock is to be issued in uncertificated form, a resolution of the Board of Directors has duly authorized the issuance of the Offered Preferred Stock in uncertificated form and (e) the shares of Offered Preferred Stock are registered in the Company’s share registry and delivered upon payment of the agreed-upon consideration therefor, the shares of Offered Preferred Stock, when issued and sold or otherwise distributed in accordance with the provisions of the applicable Transaction Document, will be duly authorized by all requisite corporate action on the part of the Company under the DGCL and validly issued, fully paid and nonassessable, provided that the consideration therefor is not less than $0.001 per share of Preferred Stock.</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4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Depositary Shares offered by the Company, including any Indeterminate Securities constituting Depositary Shares (the “Offered Depositary Shares”), when (a) the general conditions shall have been satisfied, (b) the Preferred Stock relating to such Offered Depositary Shares has been duly authorized for issuance by the Company; (c) the Offered Depositary Shares have been duly executed, delivered, countersigned, issued and sold in accordance with the provisions of the applicable Depositary Agreement, and the Offered Depositary Shares have been delivered to the Bank Depositary for deposit in accordance with the applicable Depositary Agreement; and (d) the Receipts evidencing the Depositary Shares have been duly issued against deposit of the related shares of Preferred Stock with the Bank Depositary in accordance with the applicable Depositary Agreement, the Offered Depositary Shares evidenced by such Receipts will entitle the registered holder thereof to the rights specified in such Receipt and in the Deposit Agreement.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Warrants offered by the Company (the “Offered Warrants”), when (a) the general conditions shall have been satisfied, (b) the Common Stock or Preferred Stock for which the Offered Warrants are exercisable have been duly authorized for issuance by the Company and (c) certificates evidencing the Offered Warrants have been duly executed, delivered and countersigned in accordance with the provisions of the applicable Warrant Agreement, the Offered Warrants, when issued and sold or otherwise distributed in accordance with the provisions of the applicable Transaction Document upon payment of the agreed-upon consideration therefor, will constitute valid and binding obligations of the Company, enforceable against the Company in accordance with their respective terms under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7" w:lineRule="exact"/>
        <w:rPr>
          <w:sz w:val="20"/>
          <w:szCs w:val="20"/>
          <w:color w:val="auto"/>
        </w:rPr>
      </w:pPr>
    </w:p>
    <w:p>
      <w:pPr>
        <w:jc w:val="both"/>
        <w:ind w:firstLine="1304"/>
        <w:spacing w:after="0" w:line="256" w:lineRule="auto"/>
        <w:tabs>
          <w:tab w:leader="none" w:pos="147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Subscription Rights offered by the Company (the “Offered Subscription Rights”), when (a) the general conditions shall have been satisfied, (b) the Common Stock and/or Preferred Stock relating to such Offered Subscription Rights have been duly authorized for issuance by the Company and (c) the Subscription Rights Certificates have been duly executed, delivered and countersigned in accordance with the provisions of the applicable Subscription Rights Agreement, the Offered Subscription Rights, when issued and sold or otherwise distributed in accordance with the provisions of the applicable Transaction Document upon payment of the agreed-upon consideration therefor, will constitute valid and binding obligations of the Company, enforceable against the Company in accordance with their respective terms under the laws of the State of New York.</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Purchase Contracts offered by the Company (the “Offered Purchase Contracts”), when (a) the general conditions shall have been satisfied, (b) the Common Stock and/or Preferred Stock relating to such Offered Purchase Contracts have been duly authorized for issuance by the Company and (c) the Offered Purchase Contracts have been duly executed, delivered and countersigned in accordance with the provisions of the applicable Purchase Contract Agreement, the Offered Purchase Contracts, when issued and sold or otherwise distributed in accordance with the provisions of the applicable Transaction Document upon payment of the agreed-upon consideration therefor, will constitute valid and binding obligations of the Company, enforceable against the Company in accordance with their respective terms under the laws of the State of New York.</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Purchase Units offered by the Company (the “Offered Purchase Units”), when (a) the general conditions shall have been satisfied, (b) the purchase contract and preferred securities or debt obligations included in such Offered Purchase Units have been duly authorized for issuance by the Company and (c) certificates evidencing the Offered Purchase Units have been duly executed, delivered and countersigned in accordance with the provisions of the applicable Purchase Unit Agreement, the Offered Purchase Units, when issued and sold or otherwise distributed in accordance with the provisions of the applicable Transaction Document upon payment of the agreed-upon consideration therefor, will constitute valid and binding obligations of the Company, enforceable against the Company in accordance with their respective terms under the laws of the State of New York.</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opinions stated herein are subject to the following assumptions and qualifications:</w:t>
      </w:r>
    </w:p>
    <w:p>
      <w:pPr>
        <w:spacing w:after="0" w:line="225" w:lineRule="exact"/>
        <w:rPr>
          <w:sz w:val="20"/>
          <w:szCs w:val="20"/>
          <w:color w:val="auto"/>
        </w:rPr>
      </w:pPr>
    </w:p>
    <w:p>
      <w:pPr>
        <w:jc w:val="both"/>
        <w:ind w:firstLine="1304"/>
        <w:spacing w:after="0" w:line="261" w:lineRule="auto"/>
        <w:tabs>
          <w:tab w:leader="none" w:pos="15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governmental orders and by general principles of equity (regardless of whether enforcement is sought in equity or at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any law, rule, regulation or order that is applicable to any party to any of the Transaction Documents or the transactions contemplated thereby solely because such law, rule, regulation or order is part of a regulatory regime applicable to any such party or any of its affiliates as a result of the specific assets or business operations of such party or such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7" w:lineRule="exact"/>
        <w:rPr>
          <w:sz w:val="20"/>
          <w:szCs w:val="20"/>
          <w:color w:val="auto"/>
        </w:rPr>
      </w:pPr>
    </w:p>
    <w:p>
      <w:pPr>
        <w:ind w:firstLine="1304"/>
        <w:spacing w:after="0" w:line="282" w:lineRule="auto"/>
        <w:tabs>
          <w:tab w:leader="none" w:pos="15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waiver or alter, or has the effect of, waiving or altering any statute of limitations;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any provision of any Transaction Document to the extent that such section purports to bind any Opinion Party to the exclusive jurisdiction of any particular federal court or courts;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stated herein are limited to the agreements and documents specifically identified in the opinions contained herein (the “Specified Documents”) without regard to any agreement or other document referenced in any Specified Document (including agreements or other documents incorporated by reference or attached or annexed thereto) and without regard to any other agreement or document relating to any Specified Document that is not a Transaction Document;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Preferred Stock that will be deposited with the Bank Depositary in connection with the issuance of the Offered Depositary Shares will have been duly authorized, validly issued and will be fully paid and nonassessable and that any preemptive rights with respect to such Preferred Stock will have been validly waived or exercised, (ii) such Preferred Stock will be free and clear of any pledge, lien, security interest, charge, claim, equity or encumbrance of any kind or any restriction on transfer or voting, and (iii) certificates for the Preferred Stock will have been duly executed and delivered and will have been properly deposited with the Bank Depositary pursuant to the terms of the Depositary Agreement;</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 that the laws of the State of New York law will be chosen to govern any Transaction Documents entered into subsequent to the date hereof and that such choice is and will be a valid and legal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7" w:lineRule="exact"/>
        <w:rPr>
          <w:sz w:val="20"/>
          <w:szCs w:val="20"/>
          <w:color w:val="auto"/>
        </w:rPr>
      </w:pPr>
    </w:p>
    <w:p>
      <w:pPr>
        <w:jc w:val="both"/>
        <w:ind w:right="20" w:firstLine="1304"/>
        <w:spacing w:after="0" w:line="266" w:lineRule="auto"/>
        <w:tabs>
          <w:tab w:leader="none" w:pos="152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any provision contained in any Transaction Document providing for indemnity by any party thereto against any loss in obtaining the currency due to such party under any Transaction Document from a court judgment in another currency;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w:t>
      </w:r>
    </w:p>
    <w:p>
      <w:pPr>
        <w:ind w:left="220" w:hanging="212"/>
        <w:spacing w:after="0"/>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exceptions and limitations in New York General Obligations Law Sections 5-1401 and 5-1402 and (ii) principles of comity and constitutionality.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addition, in rendering the foregoing opinions we have also assumed that:</w:t>
      </w:r>
    </w:p>
    <w:p>
      <w:pPr>
        <w:spacing w:after="0" w:line="225" w:lineRule="exact"/>
        <w:rPr>
          <w:sz w:val="20"/>
          <w:szCs w:val="20"/>
          <w:color w:val="auto"/>
        </w:rPr>
      </w:pPr>
    </w:p>
    <w:p>
      <w:pPr>
        <w:jc w:val="both"/>
        <w:ind w:firstLine="1304"/>
        <w:spacing w:after="0" w:line="258" w:lineRule="auto"/>
        <w:tabs>
          <w:tab w:leader="none" w:pos="15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the Transaction Documents nor the performance by the Company of its obligations thereunder, including the issuance and sale of the applicable Securities: (i) constitutes or will constitute a violation of, or a default under, any lease, indenture, agreement or other instrument to which the Company or its property is subject, (ii) contravenes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this clause (iii) with respect to the Opined-on Law);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the Transaction Documents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“Legal Matters” in the prospectus forming part of the Registration Statement. We also hereby consent to the filing of this opinion letter with the Commission as an exhibit 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1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S-3 of Keel Infrastructure Corp. of our report dated March 31, 2026 relating to the financial statements and the effectiveness of internal control over financial reporting of Bitfarms Ltd., which appears in Bitfarms Ltd.’s Annual Report on Form 10-K for the year ended December 31, 2025.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/s/PricewaterhouseCoopers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7, 2026</w:t>
      </w:r>
    </w:p>
    <w:p>
      <w:pPr>
        <w:sectPr>
          <w:pgSz w:w="11900" w:h="16838" w:orient="portrait"/>
          <w:cols w:equalWidth="0" w:num="1">
            <w:col w:w="11240"/>
          </w:cols>
          <w:pgMar w:left="320" w:top="108"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KEEL INFRASTRUCTURE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Fee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tcPr>
          <w:p>
            <w:pPr>
              <w:spacing w:after="0"/>
              <w:rPr>
                <w:sz w:val="12"/>
                <w:szCs w:val="12"/>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20" w:type="dxa"/>
            <w:vAlign w:val="bottom"/>
            <w:vMerge w:val="restart"/>
          </w:tcPr>
          <w:p>
            <w:pPr>
              <w:spacing w:after="0"/>
              <w:rPr>
                <w:sz w:val="12"/>
                <w:szCs w:val="12"/>
                <w:color w:val="auto"/>
              </w:rPr>
            </w:pP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15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96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00" w:type="dxa"/>
            <w:vAlign w:val="bottom"/>
            <w:gridSpan w:val="7"/>
          </w:tcPr>
          <w:p>
            <w:pPr>
              <w:ind w:left="60"/>
              <w:spacing w:after="0"/>
              <w:rPr>
                <w:sz w:val="20"/>
                <w:szCs w:val="20"/>
                <w:color w:val="auto"/>
              </w:rPr>
            </w:pPr>
            <w:r>
              <w:rPr>
                <w:rFonts w:ascii="Times New Roman" w:cs="Times New Roman" w:eastAsia="Times New Roman" w:hAnsi="Times New Roman"/>
                <w:sz w:val="18"/>
                <w:szCs w:val="18"/>
                <w:i w:val="1"/>
                <w:iCs w:val="1"/>
                <w:color w:val="auto"/>
                <w:w w:val="99"/>
              </w:rPr>
              <w:t>Newly Registered Securities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w:t>
            </w:r>
          </w:p>
        </w:tc>
        <w:tc>
          <w:tcPr>
            <w:tcW w:w="8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Pr>
          <w:p>
            <w:pPr>
              <w:spacing w:after="0"/>
              <w:rPr>
                <w:sz w:val="19"/>
                <w:szCs w:val="19"/>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457(r)</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48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value $0.001 per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par</w:t>
            </w:r>
          </w:p>
        </w:tc>
        <w:tc>
          <w:tcPr>
            <w:tcW w:w="8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457(r)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value $0.001 per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w:t>
            </w:r>
          </w:p>
        </w:tc>
        <w:tc>
          <w:tcPr>
            <w:tcW w:w="8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5"/>
              </w:rPr>
              <w:t>(3)</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457(r)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8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5"/>
              </w:rPr>
              <w:t>(4)</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457(r)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Rights</w:t>
            </w:r>
          </w:p>
        </w:tc>
        <w:tc>
          <w:tcPr>
            <w:tcW w:w="8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5"/>
              </w:rPr>
              <w:t>(5)</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457(r)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Purchase Contracts</w:t>
            </w:r>
          </w:p>
        </w:tc>
        <w:tc>
          <w:tcPr>
            <w:tcW w:w="8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5"/>
              </w:rPr>
              <w:t>(6)</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457(r)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Purchase Units</w:t>
            </w:r>
          </w:p>
        </w:tc>
        <w:tc>
          <w:tcPr>
            <w:tcW w:w="8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5"/>
              </w:rPr>
              <w:t>(7)</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457(r)</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48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1" w:lineRule="exact"/>
        <w:rPr>
          <w:sz w:val="20"/>
          <w:szCs w:val="20"/>
          <w:color w:val="auto"/>
        </w:rPr>
      </w:pPr>
    </w:p>
    <w:tbl>
      <w:tblPr>
        <w:tblLayout w:type="fixed"/>
        <w:tblInd w:w="6320" w:type="dxa"/>
        <w:tblCellMar>
          <w:top w:w="0" w:type="dxa"/>
          <w:left w:w="0" w:type="dxa"/>
          <w:bottom w:w="0" w:type="dxa"/>
          <w:right w:w="0" w:type="dxa"/>
        </w:tblCellMar>
      </w:tblPr>
      <w:tr>
        <w:trPr>
          <w:trHeight w:val="211"/>
        </w:trPr>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Offering Amounts:</w:t>
            </w:r>
          </w:p>
        </w:tc>
        <w:tc>
          <w:tcPr>
            <w:tcW w:w="42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9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2500" w:type="dxa"/>
            <w:vAlign w:val="bottom"/>
            <w:gridSpan w:val="2"/>
          </w:tcPr>
          <w:p>
            <w:pPr>
              <w:jc w:val="right"/>
              <w:ind w:right="456"/>
              <w:spacing w:after="0"/>
              <w:rPr>
                <w:sz w:val="20"/>
                <w:szCs w:val="20"/>
                <w:color w:val="auto"/>
              </w:rPr>
            </w:pPr>
            <w:r>
              <w:rPr>
                <w:rFonts w:ascii="Times New Roman" w:cs="Times New Roman" w:eastAsia="Times New Roman" w:hAnsi="Times New Roman"/>
                <w:sz w:val="18"/>
                <w:szCs w:val="18"/>
                <w:color w:val="auto"/>
                <w:w w:val="97"/>
              </w:rPr>
              <w:t>Total Fees Previously Paid:</w:t>
            </w: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2500" w:type="dxa"/>
            <w:vAlign w:val="bottom"/>
            <w:gridSpan w:val="2"/>
          </w:tcPr>
          <w:p>
            <w:pPr>
              <w:jc w:val="right"/>
              <w:ind w:right="456"/>
              <w:spacing w:after="0"/>
              <w:rPr>
                <w:sz w:val="20"/>
                <w:szCs w:val="20"/>
                <w:color w:val="auto"/>
              </w:rPr>
            </w:pPr>
            <w:r>
              <w:rPr>
                <w:rFonts w:ascii="Times New Roman" w:cs="Times New Roman" w:eastAsia="Times New Roman" w:hAnsi="Times New Roman"/>
                <w:sz w:val="18"/>
                <w:szCs w:val="18"/>
                <w:color w:val="auto"/>
              </w:rPr>
              <w:t>Total Fee Offsets:</w:t>
            </w: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0"/>
        </w:trPr>
        <w:tc>
          <w:tcPr>
            <w:tcW w:w="2500" w:type="dxa"/>
            <w:vAlign w:val="bottom"/>
            <w:gridSpan w:val="2"/>
          </w:tcPr>
          <w:p>
            <w:pPr>
              <w:jc w:val="right"/>
              <w:ind w:right="456"/>
              <w:spacing w:after="0"/>
              <w:rPr>
                <w:sz w:val="20"/>
                <w:szCs w:val="20"/>
                <w:color w:val="auto"/>
              </w:rPr>
            </w:pPr>
            <w:r>
              <w:rPr>
                <w:rFonts w:ascii="Times New Roman" w:cs="Times New Roman" w:eastAsia="Times New Roman" w:hAnsi="Times New Roman"/>
                <w:sz w:val="18"/>
                <w:szCs w:val="18"/>
                <w:color w:val="auto"/>
              </w:rPr>
              <w:t>Net Fee Due:</w:t>
            </w: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6"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the securities of each identified class is being registered as may from time to time be offered at indeterminate prices and as may be issued upon redemption, exercise, conversion, exchange or settlement of any securities registered hereunder, including under any applicable antidilution provisions.</w:t>
      </w:r>
    </w:p>
    <w:p>
      <w:pPr>
        <w:spacing w:after="0" w:line="17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under the Securities Act of 1933, as amended, the registrant is deferring payment of the registration fee, which will be paid subsequently on a pay-as-you-go basis. The registrant will calculate the registration fee applicable to an offer of securities pursuant to this registration statement based on the fee payment rate in effect on the date of such fee payment.</w:t>
      </w:r>
    </w:p>
    <w:p>
      <w:pPr>
        <w:spacing w:after="0" w:line="67" w:lineRule="exact"/>
        <w:rPr>
          <w:rFonts w:ascii="Times New Roman" w:cs="Times New Roman" w:eastAsia="Times New Roman" w:hAnsi="Times New Roman"/>
          <w:sz w:val="18"/>
          <w:szCs w:val="18"/>
          <w:color w:val="auto"/>
        </w:rPr>
      </w:pPr>
    </w:p>
    <w:p>
      <w:pPr>
        <w:jc w:val="both"/>
        <w:ind w:left="360" w:hanging="292"/>
        <w:spacing w:after="0" w:line="266"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the securities of each identified class is being registered as may from time to time be offered at indeterminate prices and as may be issued upon redemption, exercise, conversion, exchange or settlement of any securities registered hereunder, including under any applicable antidilution provisions.</w:t>
      </w:r>
    </w:p>
    <w:p>
      <w:pPr>
        <w:spacing w:after="0" w:line="17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under the Securities Act of 1933, as amended, the registrant is deferring payment of the registration fee, which will be paid subsequently on a pay-as-you-go basis. The registrant will calculate the registration fee applicable to an offer of securities pursuant to this registration statement based on the fee payment rate in effect on the date of such fee payment.</w:t>
      </w:r>
    </w:p>
    <w:p>
      <w:pPr>
        <w:spacing w:after="0" w:line="67" w:lineRule="exact"/>
        <w:rPr>
          <w:rFonts w:ascii="Times New Roman" w:cs="Times New Roman" w:eastAsia="Times New Roman" w:hAnsi="Times New Roman"/>
          <w:sz w:val="18"/>
          <w:szCs w:val="18"/>
          <w:color w:val="auto"/>
        </w:rPr>
      </w:pPr>
    </w:p>
    <w:p>
      <w:pPr>
        <w:jc w:val="both"/>
        <w:ind w:left="360" w:hanging="292"/>
        <w:spacing w:after="0" w:line="266"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the securities of each identified class is being registered as may from time to time be offered at indeterminate prices and as may be issued upon redemption, exercise, conversion, exchange or settlement of any securities registered hereunder, including under any applicable antidilution provisions.</w:t>
      </w:r>
    </w:p>
    <w:p>
      <w:pPr>
        <w:spacing w:after="0" w:line="17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under the Securities Act of 1933, as amended, the registrant is deferring payment of the registration fee, which will be paid subsequently on a pay-as-you-go basis. The registrant will calculate the registration fee applicable to an offer of securities pursuant to this registration statement based on the fee payment rate in effect on the date of such fee payment.</w:t>
      </w:r>
    </w:p>
    <w:p>
      <w:pPr>
        <w:spacing w:after="0" w:line="67" w:lineRule="exact"/>
        <w:rPr>
          <w:rFonts w:ascii="Times New Roman" w:cs="Times New Roman" w:eastAsia="Times New Roman" w:hAnsi="Times New Roman"/>
          <w:sz w:val="18"/>
          <w:szCs w:val="18"/>
          <w:color w:val="auto"/>
        </w:rPr>
      </w:pPr>
    </w:p>
    <w:p>
      <w:pPr>
        <w:jc w:val="both"/>
        <w:ind w:left="360" w:hanging="292"/>
        <w:spacing w:after="0" w:line="266"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the securities of each identified class is being registered as may from time to time be offered at indeterminate prices and as may be issued upon redemption, exercise, conversion, exchange or settlement of any securities registered hereunder, including under any applicable antidilution provisions.</w:t>
      </w:r>
    </w:p>
    <w:p>
      <w:pPr>
        <w:spacing w:after="0" w:line="17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under the Securities Act of 1933, as amended, the registrant is deferring payment of the registration fee, which will be paid subsequently on a pay-as-you-go basis. The registrant will calculate the registration fee applicable to an offer of securities pursuant to this registration statement based on the fee payment rate in effect on the date of such fee payment.</w:t>
      </w:r>
    </w:p>
    <w:p>
      <w:pPr>
        <w:spacing w:after="0" w:line="67" w:lineRule="exact"/>
        <w:rPr>
          <w:rFonts w:ascii="Times New Roman" w:cs="Times New Roman" w:eastAsia="Times New Roman" w:hAnsi="Times New Roman"/>
          <w:sz w:val="18"/>
          <w:szCs w:val="18"/>
          <w:color w:val="auto"/>
        </w:rPr>
      </w:pPr>
    </w:p>
    <w:p>
      <w:pPr>
        <w:jc w:val="both"/>
        <w:ind w:left="360" w:hanging="292"/>
        <w:spacing w:after="0" w:line="266"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the securities of each identified class is being registered as may from time to time be offered at indeterminate prices and as may be issued upon redemption, exercise, conversion, exchange or settlement of any securities registered hereunder, including under any applicable antidilution provisions.</w:t>
      </w:r>
    </w:p>
    <w:p>
      <w:pPr>
        <w:spacing w:after="0" w:line="17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under the Securities Act of 1933, as amended, the registrant is deferring payment of the registration fee, which will be paid subsequently on a pay-as-you-go basis. The registrant will calculate the registration fee applicable to an offer of securities pursuant to this registration statement based on the fee payment rate in effect on the date of such fee payment.</w:t>
      </w:r>
    </w:p>
    <w:p>
      <w:pPr>
        <w:spacing w:after="0" w:line="67" w:lineRule="exact"/>
        <w:rPr>
          <w:rFonts w:ascii="Times New Roman" w:cs="Times New Roman" w:eastAsia="Times New Roman" w:hAnsi="Times New Roman"/>
          <w:sz w:val="18"/>
          <w:szCs w:val="18"/>
          <w:color w:val="auto"/>
        </w:rPr>
      </w:pPr>
    </w:p>
    <w:p>
      <w:pPr>
        <w:jc w:val="both"/>
        <w:ind w:left="360" w:hanging="292"/>
        <w:spacing w:after="0" w:line="266"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the securities of each identified class is being registered as may from time to time be offered at indeterminate prices and as may be issued upon redemption, exercise, conversion, exchange or settlement of any securities registered hereunder, including under any applicable antidilution provisions.</w:t>
      </w:r>
    </w:p>
    <w:p>
      <w:pPr>
        <w:spacing w:after="0" w:line="175"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under the Securities Act of 1933, as amended, the registrant is deferring payment of the registration fee,</w:t>
      </w:r>
    </w:p>
    <w:p>
      <w:pPr>
        <w:sectPr>
          <w:pgSz w:w="11900" w:h="16838" w:orient="portrait"/>
          <w:cols w:equalWidth="0" w:num="1">
            <w:col w:w="11240"/>
          </w:cols>
          <w:pgMar w:left="320" w:top="108" w:right="339" w:bottom="0" w:gutter="0" w:footer="0" w:header="0"/>
        </w:sectPr>
      </w:pPr>
    </w:p>
    <w:bookmarkStart w:id="32" w:name="page33"/>
    <w:bookmarkEnd w:id="32"/>
    <w:p>
      <w:pPr>
        <w:ind w:left="292" w:right="20"/>
        <w:spacing w:after="0" w:line="282" w:lineRule="auto"/>
        <w:rPr>
          <w:sz w:val="20"/>
          <w:szCs w:val="20"/>
          <w:color w:val="auto"/>
        </w:rPr>
      </w:pPr>
      <w:r>
        <w:rPr>
          <w:rFonts w:ascii="Times New Roman" w:cs="Times New Roman" w:eastAsia="Times New Roman" w:hAnsi="Times New Roman"/>
          <w:sz w:val="18"/>
          <w:szCs w:val="18"/>
          <w:color w:val="auto"/>
        </w:rPr>
        <w:t>which will be paid subsequently on a pay-as-you-go basis. The registrant will calculate the registration fee applicable to an offer of securities pursuant to this registration statement based on the fee payment rate in effect on the date of such fee payment.</w:t>
      </w:r>
    </w:p>
    <w:p>
      <w:pPr>
        <w:spacing w:after="0" w:line="54" w:lineRule="exact"/>
        <w:rPr>
          <w:sz w:val="20"/>
          <w:szCs w:val="20"/>
          <w:color w:val="auto"/>
        </w:rPr>
      </w:pPr>
    </w:p>
    <w:p>
      <w:pPr>
        <w:jc w:val="both"/>
        <w:ind w:left="292" w:hanging="292"/>
        <w:spacing w:after="0" w:line="266" w:lineRule="auto"/>
        <w:tabs>
          <w:tab w:leader="none" w:pos="2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the securities of each identified class is being registered as may from time to time be offered at indeterminate prices and as may be issued upon redemption, exercise, conversion, exchange or settlement of any securities registered hereunder, including under any applicable antidilution provisions.</w:t>
      </w:r>
    </w:p>
    <w:p>
      <w:pPr>
        <w:spacing w:after="0" w:line="175" w:lineRule="exact"/>
        <w:rPr>
          <w:rFonts w:ascii="Times New Roman" w:cs="Times New Roman" w:eastAsia="Times New Roman" w:hAnsi="Times New Roman"/>
          <w:sz w:val="18"/>
          <w:szCs w:val="18"/>
          <w:color w:val="auto"/>
        </w:rPr>
      </w:pPr>
    </w:p>
    <w:p>
      <w:pPr>
        <w:jc w:val="both"/>
        <w:ind w:left="29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under the Securities Act of 1933, as amended, the registrant is deferring payment of the registration fee, which will be paid subsequently on a pay-as-you-go basis. The registrant will calculate the registration fee applicable to an offer of securities pursuant to this registration statement based on the fee payment rate in effect on the date of such fee payment.</w:t>
      </w:r>
    </w:p>
    <w:sectPr>
      <w:pgSz w:w="11900" w:h="16838" w:orient="portrait"/>
      <w:cols w:equalWidth="0" w:num="1">
        <w:col w:w="11172"/>
      </w:cols>
      <w:pgMar w:left="388"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929"/>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lvl w:ilvl="1">
      <w:lvlJc w:val="left"/>
      <w:lvlText w:val="(%2)"/>
      <w:numFmt w:val="lowerRoman"/>
      <w:start w:val="1"/>
    </w:lvl>
  </w:abstractNum>
  <w:abstractNum w:abstractNumId="12">
    <w:nsid w:val="257130A3"/>
    <w:multiLevelType w:val="hybridMultilevel"/>
    <w:lvl w:ilvl="0">
      <w:lvlJc w:val="left"/>
      <w:lvlText w:val="(%1)"/>
      <w:numFmt w:val="decimal"/>
      <w:start w:val="2"/>
    </w:lvl>
  </w:abstractNum>
  <w:abstractNum w:abstractNumId="13">
    <w:nsid w:val="62BBD95A"/>
    <w:multiLevelType w:val="hybridMultilevel"/>
    <w:lvl w:ilvl="0">
      <w:lvlJc w:val="left"/>
      <w:lvlText w:val="(%1)"/>
      <w:numFmt w:val="decimal"/>
      <w:start w:val="4"/>
    </w:lvl>
    <w:lvl w:ilvl="1">
      <w:lvlJc w:val="left"/>
      <w:lvlText w:val="(%2)"/>
      <w:numFmt w:val="lowerRoman"/>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Roman"/>
      <w:start w:val="4"/>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2"/>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3"/>
    </w:lvl>
  </w:abstractNum>
  <w:abstractNum w:abstractNumId="21">
    <w:nsid w:val="75A2A8D4"/>
    <w:multiLevelType w:val="hybridMultilevel"/>
    <w:lvl w:ilvl="0">
      <w:lvlJc w:val="left"/>
      <w:lvlText w:val="%1"/>
      <w:numFmt w:val="lowerLetter"/>
      <w:start w:val="1"/>
    </w:lvl>
    <w:lvl w:ilvl="1">
      <w:lvlJc w:val="left"/>
      <w:lvlText w:val="(%2)"/>
      <w:numFmt w:val="lowerLetter"/>
      <w:start w:val="10"/>
    </w:lvl>
  </w:abstractNum>
  <w:abstractNum w:abstractNumId="22">
    <w:nsid w:val="8EDBDAB"/>
    <w:multiLevelType w:val="hybridMultilevel"/>
    <w:lvl w:ilvl="0">
      <w:lvlJc w:val="left"/>
      <w:lvlText w:val="(%1)"/>
      <w:numFmt w:val="lowerLetter"/>
      <w:start w:val="9"/>
    </w:lvl>
    <w:lvl w:ilvl="1">
      <w:lvlJc w:val="left"/>
      <w:lvlText w:val="%2"/>
      <w:numFmt w:val="lowerLetter"/>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9"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28" Type="http://schemas.openxmlformats.org/officeDocument/2006/relationships/hyperlink" Target="http://www.sec.gov/ix?doc=/Archives/edgar/data/1812477/000121390026037514/ea0282809-10k_bitfarms.htm" TargetMode="External"/><Relationship Id="rId29" Type="http://schemas.openxmlformats.org/officeDocument/2006/relationships/hyperlink" Target="http://www.sec.gov/ix?doc=/Archives/edgar/data/1812477/000121390026038080/ea0284500-8k_keelinfra.htm" TargetMode="External"/><Relationship Id="rId30" Type="http://schemas.openxmlformats.org/officeDocument/2006/relationships/hyperlink" Target="http://www.sec.gov/ix?doc=/Archives/edgar/data/1812477/000121390026039924/ea0284972-8k_keelinfra.htm" TargetMode="External"/><Relationship Id="rId48" Type="http://schemas.openxmlformats.org/officeDocument/2006/relationships/hyperlink" Target="http://www.sec.gov/Archives/edgar/data/1812477/000121390026013786/ea027616501ex99-1_bitfarms.htm" TargetMode="External"/><Relationship Id="rId50" Type="http://schemas.openxmlformats.org/officeDocument/2006/relationships/hyperlink" Target="http://www.sec.gov/Archives/edgar/data/1812477/000121390026038080/ea028450001ex3-1.htm" TargetMode="External"/><Relationship Id="rId51" Type="http://schemas.openxmlformats.org/officeDocument/2006/relationships/hyperlink" Target="http://www.sec.gov/Archives/edgar/data/1812477/000121390026038080/ea028450001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2026-04-07T15:24:17Z</dcterms:created>
  <dcterms:modified xsi:type="dcterms:W3CDTF">2026-04-07T15:24:17Z</dcterms:modified>
</cp:coreProperties>
</file>