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40-F</w:t>
      </w:r>
    </w:p>
    <w:p>
      <w:pPr>
        <w:spacing w:after="0" w:line="225" w:lineRule="exact"/>
        <w:rPr>
          <w:sz w:val="24"/>
          <w:szCs w:val="24"/>
          <w:color w:val="auto"/>
        </w:rPr>
      </w:pPr>
    </w:p>
    <w:p>
      <w:pPr>
        <w:jc w:val="center"/>
        <w:ind w:left="5540" w:right="2260" w:hanging="3268"/>
        <w:spacing w:after="0" w:line="486" w:lineRule="auto"/>
        <w:tabs>
          <w:tab w:leader="none" w:pos="2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 of the Securities Exchange Act of 1934 or</w:t>
      </w:r>
    </w:p>
    <w:p>
      <w:pPr>
        <w:spacing w:after="0" w:line="25" w:lineRule="exact"/>
        <w:rPr>
          <w:rFonts w:ascii="MS PGothic" w:cs="MS PGothic" w:eastAsia="MS PGothic" w:hAnsi="MS PGothic"/>
          <w:sz w:val="18"/>
          <w:szCs w:val="18"/>
          <w:color w:val="auto"/>
        </w:rPr>
      </w:pPr>
    </w:p>
    <w:p>
      <w:pPr>
        <w:ind w:left="2360" w:hanging="201"/>
        <w:spacing w:after="0"/>
        <w:tabs>
          <w:tab w:leader="none" w:pos="2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13(a)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tc>
        <w:tc>
          <w:tcPr>
            <w:tcW w:w="43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tc>
      </w:tr>
      <w:tr>
        <w:trPr>
          <w:trHeight w:val="430"/>
        </w:trPr>
        <w:tc>
          <w:tcPr>
            <w:tcW w:w="3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r>
      <w:tr>
        <w:trPr>
          <w:trHeight w:val="439"/>
        </w:trPr>
        <w:tc>
          <w:tcPr>
            <w:tcW w:w="33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56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7379</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4"/>
        </w:trPr>
        <w:tc>
          <w:tcPr>
            <w:tcW w:w="3360" w:type="dxa"/>
            <w:vAlign w:val="bottom"/>
            <w:tcBorders>
              <w:top w:val="single" w:sz="8" w:color="auto"/>
            </w:tcBorders>
            <w:gridSpan w:val="2"/>
            <w:shd w:val="clear" w:color="auto" w:fill="CCEEFF"/>
          </w:tcPr>
          <w:p>
            <w:pPr>
              <w:jc w:val="center"/>
              <w:ind w:left="2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(Province or other jurisdiction of</w:t>
            </w: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gridSpan w:val="3"/>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King Street East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M5C 1C4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 in the United States)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6"/>
        </w:trPr>
        <w:tc>
          <w:tcPr>
            <w:tcW w:w="36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Common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BITF</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annual reports, indicate by check mark the information filed with this Form:</w:t>
      </w:r>
    </w:p>
    <w:p>
      <w:pPr>
        <w:spacing w:after="0" w:line="196" w:lineRule="exact"/>
        <w:rPr>
          <w:sz w:val="24"/>
          <w:szCs w:val="24"/>
          <w:color w:val="auto"/>
        </w:rPr>
      </w:pPr>
    </w:p>
    <w:p>
      <w:pPr>
        <w:ind w:left="1800"/>
        <w:spacing w:after="0" w:line="207" w:lineRule="exact"/>
        <w:tabs>
          <w:tab w:leader="none" w:pos="70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information form</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Audited annual financial statements</w:t>
      </w:r>
    </w:p>
    <w:p>
      <w:pPr>
        <w:spacing w:after="0" w:line="25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There were 224,200,000 of the Registrant’s common shares outstanding as of December 31, 2022.</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9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4"/>
          <w:szCs w:val="24"/>
          <w:color w:val="auto"/>
        </w:rPr>
      </w:pPr>
    </w:p>
    <w:p>
      <w:pPr>
        <w:ind w:firstLine="8"/>
        <w:spacing w:after="0" w:line="282" w:lineRule="auto"/>
        <w:tabs>
          <w:tab w:leader="none" w:pos="1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838" w:orient="portrait"/>
          <w:cols w:equalWidth="0" w:num="1">
            <w:col w:w="11240"/>
          </w:cols>
          <w:pgMar w:left="320" w:top="50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55"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Ltd. (the “Registrant”) is a Canadian issuer whose common shares are listed on the Toronto Stock Exchange and is eligible to file this annual report (the “Annual Report”) pursuant to Section 12 of the Securities Exchange Act of 1934, as amended (the “Exchange Act”), on Form 40-F pursuant to the U.S.-Canadian Multijurisdictional Disclosure System. The Registrant is a “foreign private issuer” as defined in Rule 3b-4 under the Exchange Act. Equity securities of the Registrant are accordingly exempt from Sections 14(a), 14(b), 14(c), 14(f) and 16 of the Exchange Act pursuant to Rule 3a12-3. This Annual Report is incorporated by reference into the Registrant’s Registration Statement on Form F-10 (File No. 333-258788).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and the exhibits incorporated by reference herein contain forward-looking statements or information (collectively, “forward-looking statements”). All statements, other than statements of historical fact, incorporated by reference are forward-looking information. Any statements that express, or involve discussions as to, expectations, beliefs, plans, objectives, assumptions or future events or performance (often, but not always, through the use of words or phrases including, but not limited to, and including grammatical tense variations of such words as: “may”, “anticipates”, “is expected to”, “estimates”, “intends”, “plans”, “projection”, “could”, “vision”, “goals”, “objective” and “outlook”) are not historical facts and may be forward-looking and may involve estimates, assumptions and uncertainties which could cause actual results or outcomes to differ materially from those expressed in the forward-looking statements. In making these forward-looking statements, the Registrant has assumed that the current market will continue and grow and that the risks listed below will not adversely impact the Registrant.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numerous assumptions, inherent risks and uncertainties, both general and specific, which contribute to the possibility that the predicted outcomes may not occur or may be delayed. Forward-looking statements may relate to future financial conditions, results of operations, plans, objectives, performance or business developments. These statements speak only as of the date they are made and are based on information currently available and on the then current expectations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risks associated with economic conditions, dependence on management and conflicts of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service debt obligations and maintain flexibility in respect of debt covenants;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technology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in continued growth in blockchain and cryptocurrency usage;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Annual Report and the exhibits incorporated by reference herein;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Registrant’s control.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Other factors which may cause the actual results, performance or achievements of the Registrant to be materially different from any future results, performance or achievements expressed or implied by such forward-looking information include, among others, risks relating to: valuation and price volatility of cryptocurrencies; Bitcoin halving event; possibility of BTC mining algorithms transitioning to proof of stake validation; the Registrant’s limited operating history; future capital needs, uncertainty of additional financing and dilution; the Registrant’s indebtedness; share price fluctuations; employee retention and growth; cybersecurity threats and hacking; possibility of cessation of monetization of cryptocurrencies; limited history of de-centralized financial system; technological obsolescence and difficulty in obtaining hardware; cryptocurrency network difficulty and impact of increased global computing power; competition; uncertainty of acceptance and/or widespread use of cryptocurrency; economic dependence on regulated terms of service and electricity rates risks; increases in commodity prices or reductions in the availability of such commodities; future profits/losses and production revenues/expenses; server failures; erroneous transactions and human error; the continued development of existing and planned facilities; third party supplier risks; political and regulatory risk; environmental regulations; environmental liability; hazards associated with high-voltage electricity transmission and industrial operations; adoption of ESG practices and the impacts of climate change; permits and licenses; risks of non-availability of insurance; continuing COVID-19 pandemic risk; and potential of Registrant being classified as a passive foreign investment company. Particular factors which could impact future results of the business of the Registrant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the volatility of digital currency prices; the anticipated sustainability of hydroelectricity at economical prices for the purposes of cryptocurrency mining in the Province of Québec, Washington state and Paraguay; the ability to complete current and future financings; any regulations or laws that will prevent the Registrant from operating its business; historical prices of digital currencies and the ability to mine digital currencies that will be consistent with historical prices.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description of assumptions used to develop such forward-looking information and a description of additional risk factors that may cause actual results to differ materially from forward-looking information can be found in the Registrant’s disclosure documents, such as the Registrant’s Annual Information Form for the year ended December 31, 2022, dated March 20, 2023, on the SEDAR website at www.sedar.com, attached hereto as Exhibit 99.1. Although the Registrant has attempted to identify important factors that could cause actual results to differ materially from those contained in forward-looking information, there may be other factors that cause results not to be as anticipated, estimated or intended.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this Annual Report and the exhibits incorporated by reference herein are expressly qualified by this cautionary statement. The forward-looking statements contained in this Annual Report and the exhibits incorporated by reference herein represents the expectations of the Registrant as of the date of this Annual Report or the applicable exhibit incorporated by reference herein and, accordingly, is subject to change after such date. However, the Registrant expressly disclaims any intention or obligation to update or revise any forward-looking statements, whether as a result of new information, future events or otherwise, except as expressly required by applicable securities law.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DIFFERENCES IN UNITED STATES AND CANADIAN REPORTING PRACTICES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in accordance with International Financial Reporting Standards as issued by the International Accounting Standards Board (“IFRS”), and the audit is subject to Public Company Accounting Oversight Board auditing standards. IFRS differs in certain respects from United States generally accepted accounting principles (“U.S. GAAP”) and from practices prescribed by the Securities and Exchange Commission (the “SEC”). Therefore, the Registrant’s financial statements filed with this Annual Report may not be comparable to financial statements prepared in accordance with U.S.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dollar amounts in this Annual Report on Form 40-F are in United States dollars.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Annual Information Form for the year ended December 31, 2022 is attached as Exhibit 99.1 to this Annual Report on Form 40-F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ANNUAL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audited annual consolidated financial statements as at and for the years ended December 31, 2022 and 2021, is attached as Exhibit 99.2 to this Annual Report on Form 40-F and are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Management’s Discussion and Analysis for the year ended December 31, 2022 is attached as Exhibit 99.3 to this Annual Report on Form 40-F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the Registrant carried out an evaluation, under the supervision of the Registrant’s Chief Executive Officer and Chief Financial Officer, of the effectiveness of the Registrant’s disclosure controls and procedures (as defined in Rules 13a-15(e) and 15d-15(e) of the Exchange Act). Based upon that evaluation, the Registrant’s Chief Executive Officer and Chief Financial Officer have concluded that, as of the end of the period covered by this Annual Report, the Registrant’s disclosure controls and procedures are effective to ensure that information required to be disclosed by the Registrant in reports that it files or submits under the Exchange Act is (i) recorded, processed, summarized and reported within the time periods specified in SEC rules and forms, and (ii) accumulated and communicated to the Registrant’s management, including its principal executive officer and principal financial officer, to allow timely decisions regarding required disclosure.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Registrant’s principal executive officer and principal financial officer believe that the Registrant’s disclosure controls and procedures provide a reasonable level of assurance that they are effective, they do not expect that the Registrant’s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spacing w:after="0" w:line="17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Registrant, under the supervision of the Chief Executive Officer and Chief Financial Officer, is responsible for establishing and maintaining an adequate system of “internal control over financial reporting” as defined in Rules 13a-15(f) and 15d-15(f) under the Exchange Act. Internal control over financial reporting is designed to provide reasonable assurance regarding the reliability of financial reporting and the preparation of financial statements for external purposes in accordance with International Financial Reporting Standards as issued by the International Accounting Standards Board. Management, including the Chief Executive Officer and the Chief Financial Officer, have assessed the effectiveness of the Registrant’s internal control over financial reporting in accordance with Internal Control - Integrated Framework (2013) issued by the Committee of Sponsoring Organizations of the Treadway Commission (“COSO”). Based on this assessment, management, including the Chief Executive Officer and the Chief Financial Officer, have determined that the Registrant’s internal control over financial reporting was effective as of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 in the Registrant’s internal control over financial reporting that occurred during the fiscal year ending December 31, 2022, that has materially affected, or is reasonably likely to materially affect,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Jumpstart Our Business Startups Act, “emerging growth companies” are exempt from Section 404(b) of the Sarbanes-Oxley Act of 2002, which generally requires that a public company’s registered public accounting firm provide an attestation report relating to management’s assessment of internal control over financial reporting. As of December 31, 2022, the Registrant qualifies as an “emerging growth company” and, therefore, has not included in, or incorporated by reference into, this Annual Report such an attestation report as of the end of the period covered by this Annual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 PURSUANT TO REGULATION BTR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was not required by Rule 104 of Regulation BTR to send any notices to any of its directors or executive officers during the fiscal year ended December 31, 2022.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Audit Committee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a separately designated standing Audit Committee established for the purpose of overseeing the accounting and financial reporting processes of the Registrant and audits of the financial statements of the Registrant in accordance with Section 3(a)(58)(A) of the Exchange Act and Rule 5602(c) of the NASDAQ Stock Market Rules. As of the date of this Annual Report, the Registrant’s Audit Committee is comprised of Brian Howlett, Pierre Seccareccia and Andres Finkielsztain. Messrs. Howlett, Seccareccia and Finkielsztain are considered independent based on the criteria for independence prescribed by Rule 10A-3 of the Exchange Act and Rule 5605(a)(2) of the listing rules of the Nasdaq Stock Market LLC (the “Nasdaq Stock Market Rules”).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each member of the Audit Committee is financially literate, meaning each such member has the ability to read and understand a set of financial statements that present a breadth and level of complexity of the issues that can reasonably be expected to be raised by the Registrant’s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Financial Expert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Pierre Seccareccia qualifies as a financial expert (as defined in Item 407(d)(5)(ii) of Regulation S-K under the Exchange Act) and Rule 5605(c)(2)(A) of the Nasdaq Stock Market Rules; and (ii) is independent (as determined under Exchange Act Rule 10A-3 and Rule 5605(a)(2) of the Nasdaq Stock Market Rules).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has adopted a Code of Business, Conduct and Ethics that applies to directors, officers and employees of, and consultants to, the Registrant (the “Code”). The Code is posted on the Registrant’s website at https://bitfarms.com/investors/corporate-governance/governance-documents. The Code meets the requirements for a “code of ethics” within the meaning of that term in General Instruction 9(b) of Form 40-F.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waivers of the Code with respect to any of the employees, officers or directors covered by it will be promptly disclosed as required by applicable securities rules and regulations. Since adopted by the Registrant, and until December 31, 2022, the Registrant did not waive or implicitly waive any provision of the Code with respect to any of the Registrant’s principal executive officer, principal financial officer, principal accounting officer or controller, or persons performing similar functions.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fees billed to the Registrant by PricewaterhouseCoopers LLP for professional services rendered for the fiscal years ended December 31, 2022 and December 31, 2021. During each of those periods, PricewaterhouseCoopers LLP was the Registrant’s only external auditor.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 Paid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services that are normally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PricewaterhouseCoopers LLP in connection with statutory and regulatory filings.</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by PricewaterhouseCoopers LLP for assurance and related services, including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that are reasonably related to the performance of 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by PricewaterhouseCoopers LLP for professional tax services. These services also include assistance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and local tax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for products and services provided by PricewaterhouseCoopers LLP other than the services reported above.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PRE-APPROVAL OF SERVICES PROVIDED BY INDEPENDENT AUDITOR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pre-approves all audit and non-audit services to be provided to the Registrant by its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sets forth its pre-approval and/or confirmation of services authorized by the audit committee in the minutes of its meetings.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NASDAQ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foreign private issuer that follows home country practices in lieu of certain provisions of the Nasdaq Stock Market Rules must disclose the ways in which its corporate governance practices differ from those followed by U.S. domestic companies. As required by Nasdaq Rule 5615(a)(3), the Registrant discloses on its website, www.bitfarms.com, each requirement of the Nasdaq Stock Market Rules that it does not follow and describes the home country practice followed in lieu of such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 diversity matrix required by Nasdaq Marketplace Rule 5606 is available on the Registrant’s website, www.bitfarms.com, in the “Governance” section under the “Investors” tab.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 Undertaking. </w:t>
      </w:r>
      <w:r>
        <w:rPr>
          <w:rFonts w:ascii="Times New Roman" w:cs="Times New Roman" w:eastAsia="Times New Roman" w:hAnsi="Times New Roman"/>
          <w:sz w:val="18"/>
          <w:szCs w:val="18"/>
          <w:color w:val="auto"/>
        </w:rPr>
        <w:t>The Registrant undertakes to make available, in person or by telephone, representatives to respond to inquiries made by the SEC staff,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furnish promptly, when requested to do so by the SEC staff, information relating to the securities registered pursuant to Form 40-F or transactions in said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 Consent to Service of Process. </w:t>
      </w:r>
      <w:r>
        <w:rPr>
          <w:rFonts w:ascii="Times New Roman" w:cs="Times New Roman" w:eastAsia="Times New Roman" w:hAnsi="Times New Roman"/>
          <w:sz w:val="18"/>
          <w:szCs w:val="18"/>
          <w:color w:val="auto"/>
        </w:rPr>
        <w:t>The Registrant has previously filed a Form F-X in connection with its common shares. Any change to the name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of the Registrant’s agent for service shall be communicated promptly to the Commission by amendment to the Form F-X referencing the file number of the Registrant.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000" w:type="dxa"/>
            <w:vAlign w:val="bottom"/>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documents are being filed with the Commission as Exhibits to this Registration Statement:</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0" w:type="dxa"/>
            <w:vAlign w:val="bottom"/>
          </w:tcPr>
          <w:p>
            <w:pPr>
              <w:spacing w:after="0"/>
              <w:rPr>
                <w:sz w:val="24"/>
                <w:szCs w:val="24"/>
                <w:color w:val="auto"/>
              </w:rPr>
            </w:pPr>
          </w:p>
        </w:tc>
        <w:tc>
          <w:tcPr>
            <w:tcW w:w="7000" w:type="dxa"/>
            <w:vAlign w:val="bottom"/>
            <w:gridSpan w:val="8"/>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Annual Information Form for the year ended December 31, 2022</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Audited Consolidated Financial Statements as at and for the years ended December 31, 2022 and 2021</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for the year ended December 31, 2022</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15d-14(a) of the U.S. Securities Exchange Act of 1934, as amended</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U.S. Securities Exchange Act of 1934, as amended</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80" w:right="3460" w:hanging="5572"/>
        <w:spacing w:after="0" w:line="783" w:lineRule="auto"/>
        <w:tabs>
          <w:tab w:leader="none" w:pos="1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156845</wp:posOffset>
            </wp:positionV>
            <wp:extent cx="228854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85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u w:val="single" w:color="auto"/>
          <w:color w:val="auto"/>
        </w:rPr>
        <w:t>ANNUAL INFORMATION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585470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956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GLOSSARY OF DEFINED TERMS</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REGARDING FORWARD-LOOKING STATEMENTS</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STRUCTURE</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DEVELOPMENT OF THE BUSINESS</w:t>
            </w:r>
          </w:p>
        </w:tc>
        <w:tc>
          <w:tcPr>
            <w:tcW w:w="16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BUSINESS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SALES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STRUCTURE</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FOR SECURITIES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ESCROWED SECURITIES AND SECURITIES SUBJECT TO CONTRACTUAL RESTRICTION ON TRANSFER</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OFFICERS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MANAGEMENT AND OTHERS IN MATERIAL TRANSACTIONS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A – AUDIT COMMITTEE CHARTER</w:t>
            </w:r>
          </w:p>
        </w:tc>
        <w:tc>
          <w:tcPr>
            <w:tcW w:w="16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63</w:t>
            </w:r>
          </w:p>
        </w:tc>
      </w:tr>
      <w:tr>
        <w:trPr>
          <w:trHeight w:val="682"/>
        </w:trPr>
        <w:tc>
          <w:tcPr>
            <w:tcW w:w="9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Information Form, the following capitalized words and terms shall have the following meanings: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Server Farms</w:t>
      </w:r>
      <w:r>
        <w:rPr>
          <w:rFonts w:ascii="Times New Roman" w:cs="Times New Roman" w:eastAsia="Times New Roman" w:hAnsi="Times New Roman"/>
          <w:sz w:val="18"/>
          <w:szCs w:val="18"/>
          <w:color w:val="auto"/>
        </w:rPr>
        <w:t>” means the additional server farms that the Company had planned for and that started operating on or before December 31, 2022, namely the Sherbrooke Expansion, Argentina Expansion, Paraguay Expansion and Washington Expansion;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means this annual information form dated March 20,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ANDE</w:t>
      </w:r>
      <w:r>
        <w:rPr>
          <w:rFonts w:ascii="Times New Roman" w:cs="Times New Roman" w:eastAsia="Times New Roman" w:hAnsi="Times New Roman"/>
          <w:sz w:val="18"/>
          <w:szCs w:val="18"/>
          <w:color w:val="auto"/>
        </w:rPr>
        <w:t>” means the National Electricity Administration of Paraguay;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Argentina Expansion</w:t>
      </w:r>
      <w:r>
        <w:rPr>
          <w:rFonts w:ascii="Times New Roman" w:cs="Times New Roman" w:eastAsia="Times New Roman" w:hAnsi="Times New Roman"/>
          <w:sz w:val="18"/>
          <w:szCs w:val="18"/>
          <w:color w:val="auto"/>
        </w:rPr>
        <w:t>” means the existing and planned construction of a server farm facility in stages in Argentina;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ASIC</w:t>
      </w:r>
      <w:r>
        <w:rPr>
          <w:rFonts w:ascii="Times New Roman" w:cs="Times New Roman" w:eastAsia="Times New Roman" w:hAnsi="Times New Roman"/>
          <w:sz w:val="18"/>
          <w:szCs w:val="18"/>
          <w:color w:val="auto"/>
        </w:rPr>
        <w:t>” means application specific integrated circuit;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means the at-the-market offering agreement dated August 16, 2021, between the Company and H.C. Wainwright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August SFBS Prospectus</w:t>
      </w:r>
      <w:r>
        <w:rPr>
          <w:rFonts w:ascii="Times New Roman" w:cs="Times New Roman" w:eastAsia="Times New Roman" w:hAnsi="Times New Roman"/>
          <w:sz w:val="18"/>
          <w:szCs w:val="18"/>
          <w:color w:val="auto"/>
        </w:rPr>
        <w:t>” means the final base shelf short form prospectus filed by the Company on August 12,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Backbone</w:t>
      </w:r>
      <w:r>
        <w:rPr>
          <w:rFonts w:ascii="Times New Roman" w:cs="Times New Roman" w:eastAsia="Times New Roman" w:hAnsi="Times New Roman"/>
          <w:sz w:val="18"/>
          <w:szCs w:val="18"/>
          <w:color w:val="auto"/>
        </w:rPr>
        <w:t>” means Backbone Hosting Solutions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Backbone Argentina</w:t>
      </w:r>
      <w:r>
        <w:rPr>
          <w:rFonts w:ascii="Times New Roman" w:cs="Times New Roman" w:eastAsia="Times New Roman" w:hAnsi="Times New Roman"/>
          <w:sz w:val="18"/>
          <w:szCs w:val="18"/>
          <w:color w:val="auto"/>
        </w:rPr>
        <w:t>” means Backbone Hosting Solutions S.A.U. (Argentina);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Backbone Paraguay</w:t>
      </w:r>
      <w:r>
        <w:rPr>
          <w:rFonts w:ascii="Times New Roman" w:cs="Times New Roman" w:eastAsia="Times New Roman" w:hAnsi="Times New Roman"/>
          <w:sz w:val="18"/>
          <w:szCs w:val="18"/>
          <w:color w:val="auto"/>
        </w:rPr>
        <w:t>” means Backbone Hosting Solutions Paraguay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 Halving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i w:val="1"/>
          <w:iCs w:val="1"/>
          <w:color w:val="auto"/>
        </w:rPr>
        <w:t>RISK FACTORS – BTC Halving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means the operating business name and trademarked name of Backbone;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Canada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Bitfarms Ltd., a corporation incorporated pursuant to the laws of Canada and continued under the Ontario Business Corporation Act listed on the TSX and NASDAQ under the symbol BITF, including all subsidiaries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Canada 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Bitfarms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Bitfarms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Israel</w:t>
      </w:r>
      <w:r>
        <w:rPr>
          <w:rFonts w:ascii="Times New Roman" w:cs="Times New Roman" w:eastAsia="Times New Roman" w:hAnsi="Times New Roman"/>
          <w:sz w:val="18"/>
          <w:szCs w:val="18"/>
          <w:color w:val="auto"/>
        </w:rPr>
        <w:t>” means Bitfarms Ltd., a corporation incorporated pursuant to the laws of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means Backbone Mining Solutions, Inc.;</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Botnet</w:t>
      </w:r>
      <w:r>
        <w:rPr>
          <w:rFonts w:ascii="Times New Roman" w:cs="Times New Roman" w:eastAsia="Times New Roman" w:hAnsi="Times New Roman"/>
          <w:sz w:val="18"/>
          <w:szCs w:val="18"/>
          <w:color w:val="auto"/>
        </w:rPr>
        <w:t>” means a number of Internet-connected devices, each of which is running one or more bots (a computer program that does automated tasks). Botnets can be used to perform distributed denial-of-service attack, steal data, send spam, and allows the attacker to access the device and its connection;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means Bitcoin, a decentralized digital currency that can be sent from user to user on the BTC network without the need for intermediaries to clear transactions;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Bunker</w:t>
      </w:r>
      <w:r>
        <w:rPr>
          <w:rFonts w:ascii="Times New Roman" w:cs="Times New Roman" w:eastAsia="Times New Roman" w:hAnsi="Times New Roman"/>
          <w:sz w:val="18"/>
          <w:szCs w:val="18"/>
          <w:color w:val="auto"/>
        </w:rPr>
        <w:t xml:space="preserve">” means the property leased by the Company in Sherbrooke in 2021 with the expansion project completed in 2022, as described in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Recently Completed Development and Future Growth Plans – The Bunker</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means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means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means Compañía Luz y Fuerza S.A., an electricity distribution company located in the city of Villarrica, Paraguay;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means Coinbase Trust Company, LLC;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xml:space="preserve">” has the meaning as provided in </w:t>
      </w:r>
      <w:r>
        <w:rPr>
          <w:rFonts w:ascii="Times New Roman" w:cs="Times New Roman" w:eastAsia="Times New Roman" w:hAnsi="Times New Roman"/>
          <w:sz w:val="18"/>
          <w:szCs w:val="18"/>
          <w:i w:val="1"/>
          <w:iCs w:val="1"/>
          <w:color w:val="auto"/>
        </w:rPr>
        <w:t>DIRECTORS AND OFFICERS – Committees of the Board of Directors –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CORE IR Agreement</w:t>
      </w:r>
      <w:r>
        <w:rPr>
          <w:rFonts w:ascii="Times New Roman" w:cs="Times New Roman" w:eastAsia="Times New Roman" w:hAnsi="Times New Roman"/>
          <w:sz w:val="18"/>
          <w:szCs w:val="18"/>
          <w:color w:val="auto"/>
        </w:rPr>
        <w:t>” means the agreement between the Company and CORE IR for investor relations, public relations and shareholder communications services entered into on March 12, 2021, and terminated in September 2021;</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Cryptocurrency</w:t>
      </w:r>
      <w:r>
        <w:rPr>
          <w:rFonts w:ascii="Times New Roman" w:cs="Times New Roman" w:eastAsia="Times New Roman" w:hAnsi="Times New Roman"/>
          <w:sz w:val="18"/>
          <w:szCs w:val="18"/>
          <w:color w:val="auto"/>
        </w:rPr>
        <w:t>” means a form of encrypted and decentralized digital currency, transferred directly between peers across the Internet, with transactions being settled, confirmed and recorded in a distributed public ledger through Mining. Cryptocurrency is either newly “minted” through an initial coin/token offering or Mined, which results in a new coin generated as a reward to incentivize miners for verifying transactions on the blockchain;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Facilities</w:t>
      </w:r>
      <w:r>
        <w:rPr>
          <w:rFonts w:ascii="Times New Roman" w:cs="Times New Roman" w:eastAsia="Times New Roman" w:hAnsi="Times New Roman"/>
          <w:sz w:val="18"/>
          <w:szCs w:val="18"/>
          <w:color w:val="auto"/>
        </w:rPr>
        <w:t>” means the ten operational Mining facilities operated by the Company in the Province of Québec, Washington State, Paraguay and Argentina as of March 20, 2023, namely the facilities at Farnham, Saint-Hyacinthe, Cowansville, Magog, Sherbrooke (Bunker, Leger, and Garlock), Villarrica, Washington State and Rio Cuarto;</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2021 Debt Facility</w:t>
      </w:r>
      <w:r>
        <w:rPr>
          <w:rFonts w:ascii="Times New Roman" w:cs="Times New Roman" w:eastAsia="Times New Roman" w:hAnsi="Times New Roman"/>
          <w:sz w:val="18"/>
          <w:szCs w:val="18"/>
          <w:color w:val="auto"/>
        </w:rPr>
        <w:t>” means the US$100 million credit facility between the Company and Galaxy Digital entered into on December 30, 2021 and repaid and retired on December 2022;</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 la Pointe Property</w:t>
      </w:r>
      <w:r>
        <w:rPr>
          <w:rFonts w:ascii="Times New Roman" w:cs="Times New Roman" w:eastAsia="Times New Roman" w:hAnsi="Times New Roman"/>
          <w:sz w:val="18"/>
          <w:szCs w:val="18"/>
          <w:color w:val="auto"/>
        </w:rPr>
        <w:t>” means the Company’s former 78,000 square foot facility located in Sherbrooke, Quebec, which ceased production and was sold on December 2022;</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Asset Management Program</w:t>
      </w:r>
      <w:r>
        <w:rPr>
          <w:rFonts w:ascii="Times New Roman" w:cs="Times New Roman" w:eastAsia="Times New Roman" w:hAnsi="Times New Roman"/>
          <w:sz w:val="18"/>
          <w:szCs w:val="18"/>
          <w:color w:val="auto"/>
        </w:rPr>
        <w:t xml:space="preserve">” means the Company’s BTC holding strategy implemented in January 2021 as described in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Business and Strategy - Digital Asset Management Program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Dominion</w:t>
      </w:r>
      <w:r>
        <w:rPr>
          <w:rFonts w:ascii="Times New Roman" w:cs="Times New Roman" w:eastAsia="Times New Roman" w:hAnsi="Times New Roman"/>
          <w:sz w:val="18"/>
          <w:szCs w:val="18"/>
          <w:color w:val="auto"/>
        </w:rPr>
        <w:t>” means Dominion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Dominion Facility</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Three-year History - Fiscal 2020 –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and Social Responsibility Committee</w:t>
      </w:r>
      <w:r>
        <w:rPr>
          <w:rFonts w:ascii="Times New Roman" w:cs="Times New Roman" w:eastAsia="Times New Roman" w:hAnsi="Times New Roman"/>
          <w:sz w:val="18"/>
          <w:szCs w:val="18"/>
          <w:color w:val="auto"/>
        </w:rPr>
        <w:t xml:space="preserve">” has the meaning as provided in </w:t>
      </w:r>
      <w:r>
        <w:rPr>
          <w:rFonts w:ascii="Times New Roman" w:cs="Times New Roman" w:eastAsia="Times New Roman" w:hAnsi="Times New Roman"/>
          <w:sz w:val="18"/>
          <w:szCs w:val="18"/>
          <w:i w:val="1"/>
          <w:iCs w:val="1"/>
          <w:color w:val="auto"/>
        </w:rPr>
        <w:t>DIRECTORS AND OFFICERS – Committees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 Environmental and Social Responsibility Committee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2021 Offering</w:t>
      </w:r>
      <w:r>
        <w:rPr>
          <w:rFonts w:ascii="Times New Roman" w:cs="Times New Roman" w:eastAsia="Times New Roman" w:hAnsi="Times New Roman"/>
          <w:sz w:val="18"/>
          <w:szCs w:val="18"/>
          <w:color w:val="auto"/>
        </w:rPr>
        <w:t>” means the February 2021 private placement of 11,560,695 Common Shares and associated warrants;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2022 BlockFi Loan Facility</w:t>
      </w:r>
      <w:r>
        <w:rPr>
          <w:rFonts w:ascii="Times New Roman" w:cs="Times New Roman" w:eastAsia="Times New Roman" w:hAnsi="Times New Roman"/>
          <w:sz w:val="18"/>
          <w:szCs w:val="18"/>
          <w:color w:val="auto"/>
        </w:rPr>
        <w:t>” means the US$32 million credit facility between the Company and BlockFi Lending LLC., a private lender entered into on February 24, 2022 and repaid and retired on February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2020</w:t>
      </w:r>
      <w:r>
        <w:rPr>
          <w:rFonts w:ascii="Times New Roman" w:cs="Times New Roman" w:eastAsia="Times New Roman" w:hAnsi="Times New Roman"/>
          <w:sz w:val="18"/>
          <w:szCs w:val="18"/>
          <w:color w:val="auto"/>
        </w:rPr>
        <w:t>” means the fiscal year ended 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2021</w:t>
      </w:r>
      <w:r>
        <w:rPr>
          <w:rFonts w:ascii="Times New Roman" w:cs="Times New Roman" w:eastAsia="Times New Roman" w:hAnsi="Times New Roman"/>
          <w:sz w:val="18"/>
          <w:szCs w:val="18"/>
          <w:color w:val="auto"/>
        </w:rPr>
        <w:t>” means the fiscal year ended December 31,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2022</w:t>
      </w:r>
      <w:r>
        <w:rPr>
          <w:rFonts w:ascii="Times New Roman" w:cs="Times New Roman" w:eastAsia="Times New Roman" w:hAnsi="Times New Roman"/>
          <w:sz w:val="18"/>
          <w:szCs w:val="18"/>
          <w:color w:val="auto"/>
        </w:rPr>
        <w:t>” means the fiscal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2023</w:t>
      </w:r>
      <w:r>
        <w:rPr>
          <w:rFonts w:ascii="Times New Roman" w:cs="Times New Roman" w:eastAsia="Times New Roman" w:hAnsi="Times New Roman"/>
          <w:sz w:val="18"/>
          <w:szCs w:val="18"/>
          <w:color w:val="auto"/>
        </w:rPr>
        <w:t>” means the fiscal year ended December 31, 2023;</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Foundry Loans #1, #2, #3 and #4</w:t>
      </w:r>
      <w:r>
        <w:rPr>
          <w:rFonts w:ascii="Times New Roman" w:cs="Times New Roman" w:eastAsia="Times New Roman" w:hAnsi="Times New Roman"/>
          <w:sz w:val="18"/>
          <w:szCs w:val="18"/>
          <w:color w:val="auto"/>
        </w:rPr>
        <w:t xml:space="preserve">” which are fully repaid, has the meaning as provided for in </w:t>
      </w:r>
      <w:r>
        <w:rPr>
          <w:rFonts w:ascii="Times New Roman" w:cs="Times New Roman" w:eastAsia="Times New Roman" w:hAnsi="Times New Roman"/>
          <w:sz w:val="18"/>
          <w:szCs w:val="18"/>
          <w:i w:val="1"/>
          <w:iCs w:val="1"/>
          <w:color w:val="auto"/>
        </w:rPr>
        <w:t>GENERAL DEVELOPMENT OF THE BUSINESS - Three-year History - Fiscal 2021 – Debt Financing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14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means Full Pay Per Share, the formula-driven rate at which the Company sells computational power to Mining Pools; “</w:t>
      </w:r>
      <w:r>
        <w:rPr>
          <w:rFonts w:ascii="Times New Roman" w:cs="Times New Roman" w:eastAsia="Times New Roman" w:hAnsi="Times New Roman"/>
          <w:sz w:val="18"/>
          <w:szCs w:val="18"/>
          <w:b w:val="1"/>
          <w:bCs w:val="1"/>
          <w:color w:val="auto"/>
        </w:rPr>
        <w:t>Garlock</w:t>
      </w:r>
      <w:r>
        <w:rPr>
          <w:rFonts w:ascii="Times New Roman" w:cs="Times New Roman" w:eastAsia="Times New Roman" w:hAnsi="Times New Roman"/>
          <w:sz w:val="18"/>
          <w:szCs w:val="18"/>
          <w:color w:val="auto"/>
        </w:rPr>
        <w:t>” means the building acquired by the Company on March 11, 2022 located in Sherbrooke, Quebec;</w:t>
      </w:r>
    </w:p>
    <w:p>
      <w:pPr>
        <w:spacing w:after="0" w:line="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means Generacion Mediterranea S.A., one of the subsidiaries of Grupo Albanesi, an Argentine private corporate group focused on the energy market which provides natural gas and electrical energy to its clients.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Governance and Nominating Committee</w:t>
      </w:r>
      <w:r>
        <w:rPr>
          <w:rFonts w:ascii="Times New Roman" w:cs="Times New Roman" w:eastAsia="Times New Roman" w:hAnsi="Times New Roman"/>
          <w:sz w:val="18"/>
          <w:szCs w:val="18"/>
          <w:color w:val="auto"/>
        </w:rPr>
        <w:t xml:space="preserve">” has the meanings as provided in </w:t>
      </w:r>
      <w:r>
        <w:rPr>
          <w:rFonts w:ascii="Times New Roman" w:cs="Times New Roman" w:eastAsia="Times New Roman" w:hAnsi="Times New Roman"/>
          <w:sz w:val="18"/>
          <w:szCs w:val="18"/>
          <w:i w:val="1"/>
          <w:iCs w:val="1"/>
          <w:color w:val="auto"/>
        </w:rPr>
        <w:t>DIRECTORS AND OFFICERS – Committees of the Board of Directors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and Nominating Committee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means the Grant County Power Utility District in Washington State;</w:t>
      </w:r>
    </w:p>
    <w:p>
      <w:pPr>
        <w:spacing w:after="0" w:line="22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means the output of a hash function, i.e., the output of the fundamental mathematical computation of a particular cryptocurrency’s computer code which Miners execute, and “</w:t>
      </w:r>
      <w:r>
        <w:rPr>
          <w:rFonts w:ascii="Times New Roman" w:cs="Times New Roman" w:eastAsia="Times New Roman" w:hAnsi="Times New Roman"/>
          <w:sz w:val="18"/>
          <w:szCs w:val="18"/>
          <w:b w:val="1"/>
          <w:bCs w:val="1"/>
          <w:color w:val="auto"/>
        </w:rPr>
        <w:t>Petahash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PH</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Exahash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EH</w:t>
      </w:r>
      <w:r>
        <w:rPr>
          <w:rFonts w:ascii="Times New Roman" w:cs="Times New Roman" w:eastAsia="Times New Roman" w:hAnsi="Times New Roman"/>
          <w:sz w:val="18"/>
          <w:szCs w:val="18"/>
          <w:color w:val="auto"/>
        </w:rPr>
        <w:t>” mean, respectively, 1x10</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and 1x10</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Hashes;</w:t>
      </w:r>
    </w:p>
    <w:p>
      <w:pPr>
        <w:spacing w:after="0" w:line="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Three-year History - Fiscal 2021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Operations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Hydro-Magog</w:t>
      </w:r>
      <w:r>
        <w:rPr>
          <w:rFonts w:ascii="Times New Roman" w:cs="Times New Roman" w:eastAsia="Times New Roman" w:hAnsi="Times New Roman"/>
          <w:sz w:val="18"/>
          <w:szCs w:val="18"/>
          <w:color w:val="auto"/>
        </w:rPr>
        <w:t>” means the regional public utility company that manages the generation and distribution of electricity in the region of Magog, Québec;</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Hydro-Québec</w:t>
      </w:r>
      <w:r>
        <w:rPr>
          <w:rFonts w:ascii="Times New Roman" w:cs="Times New Roman" w:eastAsia="Times New Roman" w:hAnsi="Times New Roman"/>
          <w:sz w:val="18"/>
          <w:szCs w:val="18"/>
          <w:color w:val="auto"/>
        </w:rPr>
        <w:t>” means “Commission hydroélectrique du Québec”, the provincial public utility company that manages the generation and distribution of electricity in the Province of Québec;</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Hydro-Sherbrooke</w:t>
      </w:r>
      <w:r>
        <w:rPr>
          <w:rFonts w:ascii="Times New Roman" w:cs="Times New Roman" w:eastAsia="Times New Roman" w:hAnsi="Times New Roman"/>
          <w:sz w:val="18"/>
          <w:szCs w:val="18"/>
          <w:color w:val="auto"/>
        </w:rPr>
        <w:t>” means the regional public utility company that manages the generation and distribution of electricity in the region of Sherbrooke, Québec;</w:t>
      </w:r>
    </w:p>
    <w:p>
      <w:pPr>
        <w:spacing w:after="0" w:line="155" w:lineRule="exact"/>
        <w:rPr>
          <w:sz w:val="20"/>
          <w:szCs w:val="20"/>
          <w:color w:val="auto"/>
        </w:rPr>
      </w:pPr>
    </w:p>
    <w:p>
      <w:pPr>
        <w:ind w:right="1760"/>
        <w:spacing w:after="0" w:line="61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Ingenia</w:t>
      </w:r>
      <w:r>
        <w:rPr>
          <w:rFonts w:ascii="Times New Roman" w:cs="Times New Roman" w:eastAsia="Times New Roman" w:hAnsi="Times New Roman"/>
          <w:sz w:val="18"/>
          <w:szCs w:val="18"/>
          <w:color w:val="auto"/>
        </w:rPr>
        <w:t xml:space="preserve">” means Ingenia Grupo Consultor and Gieco S.A., as described in </w:t>
      </w:r>
      <w:r>
        <w:rPr>
          <w:rFonts w:ascii="Times New Roman" w:cs="Times New Roman" w:eastAsia="Times New Roman" w:hAnsi="Times New Roman"/>
          <w:sz w:val="18"/>
          <w:szCs w:val="18"/>
          <w:i w:val="1"/>
          <w:iCs w:val="1"/>
          <w:color w:val="auto"/>
        </w:rPr>
        <w:t>DESCRIPTION OF BUSINESS - Argentina Expansion.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Initial Draw</w:t>
      </w:r>
      <w:r>
        <w:rPr>
          <w:rFonts w:ascii="Times New Roman" w:cs="Times New Roman" w:eastAsia="Times New Roman" w:hAnsi="Times New Roman"/>
          <w:sz w:val="18"/>
          <w:szCs w:val="18"/>
          <w:color w:val="auto"/>
        </w:rPr>
        <w:t>” means the initial US$60 million draw on the December 2021 Debt Facility; “</w:t>
      </w: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means the State of Israel;</w:t>
      </w:r>
    </w:p>
    <w:p>
      <w:pPr>
        <w:spacing w:after="0" w:line="240" w:lineRule="exact"/>
        <w:rPr>
          <w:sz w:val="20"/>
          <w:szCs w:val="20"/>
          <w:color w:val="auto"/>
        </w:rPr>
      </w:pPr>
    </w:p>
    <w:p>
      <w:pPr>
        <w:ind w:right="132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January 7, 2021 Offering</w:t>
      </w:r>
      <w:r>
        <w:rPr>
          <w:rFonts w:ascii="Times New Roman" w:cs="Times New Roman" w:eastAsia="Times New Roman" w:hAnsi="Times New Roman"/>
          <w:sz w:val="18"/>
          <w:szCs w:val="18"/>
          <w:color w:val="auto"/>
        </w:rPr>
        <w:t>” means the January 2021 private placement offering of 8,888,889 Common Shares and associated warrants; “</w:t>
      </w:r>
      <w:r>
        <w:rPr>
          <w:rFonts w:ascii="Times New Roman" w:cs="Times New Roman" w:eastAsia="Times New Roman" w:hAnsi="Times New Roman"/>
          <w:sz w:val="18"/>
          <w:szCs w:val="18"/>
          <w:b w:val="1"/>
          <w:bCs w:val="1"/>
          <w:color w:val="auto"/>
        </w:rPr>
        <w:t>January 13, 2021 Offering</w:t>
      </w:r>
      <w:r>
        <w:rPr>
          <w:rFonts w:ascii="Times New Roman" w:cs="Times New Roman" w:eastAsia="Times New Roman" w:hAnsi="Times New Roman"/>
          <w:sz w:val="18"/>
          <w:szCs w:val="18"/>
          <w:color w:val="auto"/>
        </w:rPr>
        <w:t>” means the January 2021 private placement offering of 5,586,593 Common Shares and associated warrants;</w:t>
      </w:r>
    </w:p>
    <w:p>
      <w:pPr>
        <w:spacing w:after="0" w:line="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July 2021 Hosting Agreement</w:t>
      </w:r>
      <w:r>
        <w:rPr>
          <w:rFonts w:ascii="Times New Roman" w:cs="Times New Roman" w:eastAsia="Times New Roman" w:hAnsi="Times New Roman"/>
          <w:sz w:val="18"/>
          <w:szCs w:val="18"/>
          <w:color w:val="auto"/>
        </w:rPr>
        <w:t>” means the hosting agreement entered into by the Company for 12 MW in Washington State, US entered into on November 11, 2021 and terminated upon the closing of the November 2021 Washington Acquisition;</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June 2022 NYDIG Financing</w:t>
      </w:r>
      <w:r>
        <w:rPr>
          <w:rFonts w:ascii="Times New Roman" w:cs="Times New Roman" w:eastAsia="Times New Roman" w:hAnsi="Times New Roman"/>
          <w:sz w:val="18"/>
          <w:szCs w:val="18"/>
          <w:color w:val="auto"/>
        </w:rPr>
        <w:t>” means the equipment financing agreement dated June 17, 2022 between the Company and NYDIG for initial funding of US$37,000,000;</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Leger</w:t>
      </w:r>
      <w:r>
        <w:rPr>
          <w:rFonts w:ascii="Times New Roman" w:cs="Times New Roman" w:eastAsia="Times New Roman" w:hAnsi="Times New Roman"/>
          <w:sz w:val="18"/>
          <w:szCs w:val="18"/>
          <w:color w:val="auto"/>
        </w:rPr>
        <w:t>” means the Company’s 36,000 square foot facility in Sherbrooke, Quebec;</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Warrants</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Three-year History - Fiscal 2020 –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28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LHA IR Agreement</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LPZ</w:t>
      </w:r>
      <w:r>
        <w:rPr>
          <w:rFonts w:ascii="Times New Roman" w:cs="Times New Roman" w:eastAsia="Times New Roman" w:hAnsi="Times New Roman"/>
          <w:sz w:val="18"/>
          <w:szCs w:val="18"/>
          <w:color w:val="auto"/>
        </w:rPr>
        <w:t xml:space="preserve">” means LPZ Hosting S.A.S, as described in </w:t>
      </w:r>
      <w:r>
        <w:rPr>
          <w:rFonts w:ascii="Times New Roman" w:cs="Times New Roman" w:eastAsia="Times New Roman" w:hAnsi="Times New Roman"/>
          <w:sz w:val="18"/>
          <w:szCs w:val="18"/>
          <w:i w:val="1"/>
          <w:iCs w:val="1"/>
          <w:color w:val="auto"/>
        </w:rPr>
        <w:t>DESCRIPTION OF BUSINESS - Argentina Expansion.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64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May 2021 Offering</w:t>
      </w:r>
      <w:r>
        <w:rPr>
          <w:rFonts w:ascii="Times New Roman" w:cs="Times New Roman" w:eastAsia="Times New Roman" w:hAnsi="Times New Roman"/>
          <w:sz w:val="18"/>
          <w:szCs w:val="18"/>
          <w:color w:val="auto"/>
        </w:rPr>
        <w:t>” means the May 2021 private placement of 14,150,940 Common Shares and associated warrants;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means management’s discussion and analysis;</w:t>
      </w:r>
    </w:p>
    <w:p>
      <w:pPr>
        <w:spacing w:after="0" w:line="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means the nonbinding memorandum of understanding entered into by the Company on October 26, 2020, to secure 200 MW of electricity in South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xml:space="preserve">” means a computer configured for the purpose of performing blockchain computer operations. See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xml:space="preserve">” means the process of using Miners to provide the service of verifying and validating cryptographic blockchain transactions and being rewarded with cryptocurrency in return for such service. See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xml:space="preserve">” refers to when cryptocurrency Miners aggregate their processing power over a network and Mine transactions together. See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Principal Market Overview;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xml:space="preserve">” means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Named Executive Officer</w:t>
      </w:r>
      <w:r>
        <w:rPr>
          <w:rFonts w:ascii="Times New Roman" w:cs="Times New Roman" w:eastAsia="Times New Roman" w:hAnsi="Times New Roman"/>
          <w:sz w:val="18"/>
          <w:szCs w:val="18"/>
          <w:color w:val="auto"/>
        </w:rPr>
        <w:t xml:space="preserve">” has the meaning ascribed to that term in Form 51-102F6 </w:t>
      </w:r>
      <w:r>
        <w:rPr>
          <w:rFonts w:ascii="Times New Roman" w:cs="Times New Roman" w:eastAsia="Times New Roman" w:hAnsi="Times New Roman"/>
          <w:sz w:val="18"/>
          <w:szCs w:val="18"/>
          <w:i w:val="1"/>
          <w:iCs w:val="1"/>
          <w:color w:val="auto"/>
        </w:rPr>
        <w:t>Statement of Executive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November 2021 Washington Acquisition</w:t>
      </w:r>
      <w:r>
        <w:rPr>
          <w:rFonts w:ascii="Times New Roman" w:cs="Times New Roman" w:eastAsia="Times New Roman" w:hAnsi="Times New Roman"/>
          <w:sz w:val="18"/>
          <w:szCs w:val="18"/>
          <w:color w:val="auto"/>
        </w:rPr>
        <w:t>” means the Company’s acquisition of a bitcoin mining production facility in Washington State, US on November 11,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means NYDIG ABL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means the Ontario Business Corporations Act;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Producer</w:t>
      </w:r>
      <w:r>
        <w:rPr>
          <w:rFonts w:ascii="Times New Roman" w:cs="Times New Roman" w:eastAsia="Times New Roman" w:hAnsi="Times New Roman"/>
          <w:sz w:val="18"/>
          <w:szCs w:val="18"/>
          <w:color w:val="auto"/>
        </w:rPr>
        <w:t xml:space="preserve">” has the meaning ascribed to that term in </w:t>
      </w:r>
      <w:r>
        <w:rPr>
          <w:rFonts w:ascii="Times New Roman" w:cs="Times New Roman" w:eastAsia="Times New Roman" w:hAnsi="Times New Roman"/>
          <w:sz w:val="18"/>
          <w:szCs w:val="18"/>
          <w:i w:val="1"/>
          <w:iCs w:val="1"/>
          <w:color w:val="auto"/>
        </w:rPr>
        <w:t>DESCRIPTION OF BUSINESS - Recently Completed Development and Future Growth Plans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PROA</w:t>
      </w:r>
      <w:r>
        <w:rPr>
          <w:rFonts w:ascii="Times New Roman" w:cs="Times New Roman" w:eastAsia="Times New Roman" w:hAnsi="Times New Roman"/>
          <w:sz w:val="18"/>
          <w:szCs w:val="18"/>
          <w:color w:val="auto"/>
        </w:rPr>
        <w:t>” means Proyectos y Obras Americanas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18"/>
          <w:szCs w:val="18"/>
          <w:color w:val="auto"/>
        </w:rPr>
        <w:t>” means power supply unit;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Régie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Municipal Electrical Networks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Preferential Rate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Phase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Phase 2</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Phase 3</w:t>
      </w:r>
      <w:r>
        <w:rPr>
          <w:rFonts w:ascii="Times New Roman" w:cs="Times New Roman" w:eastAsia="Times New Roman" w:hAnsi="Times New Roman"/>
          <w:sz w:val="18"/>
          <w:szCs w:val="18"/>
          <w:color w:val="auto"/>
        </w:rPr>
        <w:t xml:space="preserve">” have the meanings as provided in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Supply of Electrical Power, Electricity Rates, Terms of Service and the Régie de l’Énergie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Rio Cuarto Facility</w:t>
      </w:r>
      <w:r>
        <w:rPr>
          <w:rFonts w:ascii="Times New Roman" w:cs="Times New Roman" w:eastAsia="Times New Roman" w:hAnsi="Times New Roman"/>
          <w:sz w:val="18"/>
          <w:szCs w:val="18"/>
          <w:color w:val="auto"/>
        </w:rPr>
        <w:t>” means the facility located in the Province of Córdoba, Argentina, for which the Company entered into an eight-year lease agreement in July 2021;</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Server farms</w:t>
      </w:r>
      <w:r>
        <w:rPr>
          <w:rFonts w:ascii="Times New Roman" w:cs="Times New Roman" w:eastAsia="Times New Roman" w:hAnsi="Times New Roman"/>
          <w:sz w:val="18"/>
          <w:szCs w:val="18"/>
          <w:color w:val="auto"/>
        </w:rPr>
        <w:t>” means specialized computers often held in large warehouses where the computers, also known as Miners, validate and verify transactions on a public blockchain. Digital coins or tokens are issued by the applicable cryptocurrency network when miners solve hash functions;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Sherbrooke Expansion</w:t>
      </w:r>
      <w:r>
        <w:rPr>
          <w:rFonts w:ascii="Times New Roman" w:cs="Times New Roman" w:eastAsia="Times New Roman" w:hAnsi="Times New Roman"/>
          <w:sz w:val="18"/>
          <w:szCs w:val="18"/>
          <w:color w:val="auto"/>
        </w:rPr>
        <w:t>” means the planned and completed construction of server farm facilities in stages in Sherbrooke, Québec;</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Stage</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DESCRIPTION OF BUSINESS – Recently Completed Development and Future Growth Plans – Sherbrooke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#2 Restructuring</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Three-year History - Fiscal 2020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Financing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#3 Restructuring</w:t>
      </w:r>
      <w:r>
        <w:rPr>
          <w:rFonts w:ascii="Times New Roman" w:cs="Times New Roman" w:eastAsia="Times New Roman" w:hAnsi="Times New Roman"/>
          <w:sz w:val="18"/>
          <w:szCs w:val="18"/>
          <w:color w:val="auto"/>
        </w:rPr>
        <w:t xml:space="preserve">” has the meaning as provided for in </w:t>
      </w:r>
      <w:r>
        <w:rPr>
          <w:rFonts w:ascii="Times New Roman" w:cs="Times New Roman" w:eastAsia="Times New Roman" w:hAnsi="Times New Roman"/>
          <w:sz w:val="18"/>
          <w:szCs w:val="18"/>
          <w:i w:val="1"/>
          <w:iCs w:val="1"/>
          <w:color w:val="auto"/>
        </w:rPr>
        <w:t>GENERAL DEVELOPMENT OF THE BUSINESS - Three-year History - Fiscal 2020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Financing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TSXV</w:t>
      </w:r>
      <w:r>
        <w:rPr>
          <w:rFonts w:ascii="Times New Roman" w:cs="Times New Roman" w:eastAsia="Times New Roman" w:hAnsi="Times New Roman"/>
          <w:sz w:val="18"/>
          <w:szCs w:val="18"/>
          <w:color w:val="auto"/>
        </w:rPr>
        <w:t>” means the TSX Venture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Villarrica Facility</w:t>
      </w:r>
      <w:r>
        <w:rPr>
          <w:rFonts w:ascii="Times New Roman" w:cs="Times New Roman" w:eastAsia="Times New Roman" w:hAnsi="Times New Roman"/>
          <w:sz w:val="18"/>
          <w:szCs w:val="18"/>
          <w:color w:val="auto"/>
        </w:rPr>
        <w:t>” means the Company’s 10 MW facility located in Villarrica, Paraguay;</w:t>
      </w:r>
    </w:p>
    <w:p>
      <w:pPr>
        <w:spacing w:after="0" w:line="225" w:lineRule="exact"/>
        <w:rPr>
          <w:sz w:val="20"/>
          <w:szCs w:val="20"/>
          <w:color w:val="auto"/>
        </w:rPr>
      </w:pPr>
    </w:p>
    <w:p>
      <w:pPr>
        <w:ind w:right="660"/>
        <w:spacing w:after="0" w:line="5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 means 9159-9290 Québec Inc., a wholly owned subsidiary of the Company, which also operates under the name Volta Électrique Inc.; and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has the meaning ascribed thereto in “PRIOR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this annual information form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Bitfarms Ltd., together with its subsidiaries, as the context requires, is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Bitfarms Canada</w:t>
      </w:r>
      <w:r>
        <w:rPr>
          <w:rFonts w:ascii="Times New Roman" w:cs="Times New Roman" w:eastAsia="Times New Roman" w:hAnsi="Times New Roman"/>
          <w:sz w:val="18"/>
          <w:szCs w:val="18"/>
          <w:color w:val="auto"/>
        </w:rPr>
        <w:t>”. All information contained in this AIF is as of March 20, 2023, unless otherwise stated.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in this AIF to the Financial Statements, together with the auditor’s report thereon, and MD&amp;A for Bitfarms Canada for Fiscal 2022. The Financial Statements and MD&amp;A are available for review on the SEDAR website located at www.sedar.com.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AIF contains forward-looking statements about the Company’s objectives, plans, goals, aspirations, strategies, financial condition, results of operations, cash flows, performance, prospects, opportunities, and legal and regulatory matters. Specific forward-looking statements in this AIF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Halving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and BTC network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technology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share price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pandemic, and other endemic and pandemics which could occur such as SARS, Avian flu, etc.;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above is not an exhaustive list of the factors that may affect the Company’s forward-looking statements. For a more comprehensive discussion of the factors that could affect the Company, refer to the risks discussed above and those contained in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AIF.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references to “$”, “US$” or “dollars” refer to United States dollars and references to CAD$ refer to Canadian dollars.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Canada was incorporated under the Canada Business Corporations Act on October 11, 2018, and continued under the Business Corporations Act (Ontario)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on August 27, 2021. Bitfarms Canada has its registered and head office located at 18 King St. E, Suite 902, Toronto, ON M5C 1C4. The Company’s common shares are listed under the symbol “BITF”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and on the Nasdaq Stock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Intercorporate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Canada has the following main controlled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154305</wp:posOffset>
            </wp:positionV>
            <wp:extent cx="4620260" cy="317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026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Three-year History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Changes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2020, the following changes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Management were made:</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2020, Wes Fulford resigned as CEO and as a director of the Company and was issued 500,000 common shares in consideration for past services rendered and to satisfy certain historical entitlements. These common shares have a deemed value of $0.54 per share.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2020, Brian Howlett was appointed as a director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15, 2020, Wendi Locke and Sophie Galper-Komet resigned as directors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2020, Geoffrey Morphy was appointed as a director of the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2020, the Company expanded the responsibility of John Rim by appointing him as Chief Operating Officer in addition to Chief Financial Officer and expanded the responsibility of Nicolas Bonta by appointing him as Chief Development Officer and Chairman. Ryan Hornby resigned as Executive Vice President and General Counsel of the Company effective June 1, 2020.</w:t>
      </w:r>
    </w:p>
    <w:p>
      <w:pPr>
        <w:spacing w:after="0" w:line="175" w:lineRule="exact"/>
        <w:rPr>
          <w:rFonts w:ascii="Times New Roman" w:cs="Times New Roman" w:eastAsia="Times New Roman" w:hAnsi="Times New Roman"/>
          <w:sz w:val="18"/>
          <w:szCs w:val="18"/>
          <w:color w:val="auto"/>
        </w:rPr>
      </w:pPr>
    </w:p>
    <w:p>
      <w:pPr>
        <w:jc w:val="both"/>
        <w:ind w:left="620" w:hanging="302"/>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2020, Geoffrey Morphy was appointed Executive Vice-President – Finance, Administration &amp; Corporate Development. Mr. Morphy resigned his position as a director of the Company to facilitate his role as a senior officer. John Rim gave notice of his resignation as Chief Operating Officer and CFO of the Company effective September 30, 2020. In addition, Andres Finkielsztain was appointed as a director of the Company.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2020, Mauro Ferrara was appointed Interim Chief Financial Officer and Corporate Secretary.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2020, Nicolas Bonta was appointed Executive Chairman, Brian Howlett was appointed Lead Director, Emiliano Grodzki was appointed Chief Executive Officer, Mathieu Vachon was appointed Chief Information Officer and Geoffrey Morphy was appointed President.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previously entered into a secured debt financing facility with Dominion Capital (“</w:t>
      </w:r>
      <w:r>
        <w:rPr>
          <w:rFonts w:ascii="Times New Roman" w:cs="Times New Roman" w:eastAsia="Times New Roman" w:hAnsi="Times New Roman"/>
          <w:sz w:val="18"/>
          <w:szCs w:val="18"/>
          <w:b w:val="1"/>
          <w:bCs w:val="1"/>
          <w:color w:val="auto"/>
        </w:rPr>
        <w:t>Dominion</w:t>
      </w:r>
      <w:r>
        <w:rPr>
          <w:rFonts w:ascii="Times New Roman" w:cs="Times New Roman" w:eastAsia="Times New Roman" w:hAnsi="Times New Roman"/>
          <w:sz w:val="18"/>
          <w:szCs w:val="18"/>
          <w:color w:val="auto"/>
        </w:rPr>
        <w:t>”) for up to $20 million (the “</w:t>
      </w:r>
      <w:r>
        <w:rPr>
          <w:rFonts w:ascii="Times New Roman" w:cs="Times New Roman" w:eastAsia="Times New Roman" w:hAnsi="Times New Roman"/>
          <w:sz w:val="18"/>
          <w:szCs w:val="18"/>
          <w:b w:val="1"/>
          <w:bCs w:val="1"/>
          <w:color w:val="auto"/>
        </w:rPr>
        <w:t>Dominion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on March 14, 2019. The Dominion Facility was structured into four separate loans in tranches of $5.0 Million, with each such tranche bearing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at 10% per annum on the initial principal balance of each tranche. The Company also agreed to issue 1,666,667 warrants (“</w:t>
      </w:r>
      <w:r>
        <w:rPr>
          <w:rFonts w:ascii="Times New Roman" w:cs="Times New Roman" w:eastAsia="Times New Roman" w:hAnsi="Times New Roman"/>
          <w:sz w:val="18"/>
          <w:szCs w:val="18"/>
          <w:b w:val="1"/>
          <w:bCs w:val="1"/>
          <w:color w:val="auto"/>
        </w:rPr>
        <w:t>Lender Warrants</w:t>
      </w:r>
      <w:r>
        <w:rPr>
          <w:rFonts w:ascii="Times New Roman" w:cs="Times New Roman" w:eastAsia="Times New Roman" w:hAnsi="Times New Roman"/>
          <w:sz w:val="18"/>
          <w:szCs w:val="18"/>
          <w:color w:val="auto"/>
        </w:rPr>
        <w:t>”) to purchase Bitfarms’ common shares at US$0.40 for each loan tranche drawn. In September 2020, the Company entered into an agreement with Dominion to amend its second loan tranche and third loan tranche. The amendment in respect of the second loan tranche of $5.0 Million resulted in the extension of the maturity date from the original due date of April 17, 2021, to November 1, 2021 (the “</w:t>
      </w:r>
      <w:r>
        <w:rPr>
          <w:rFonts w:ascii="Times New Roman" w:cs="Times New Roman" w:eastAsia="Times New Roman" w:hAnsi="Times New Roman"/>
          <w:sz w:val="18"/>
          <w:szCs w:val="18"/>
          <w:b w:val="1"/>
          <w:bCs w:val="1"/>
          <w:color w:val="auto"/>
        </w:rPr>
        <w:t>Tranche #2 Restructuring</w:t>
      </w:r>
      <w:r>
        <w:rPr>
          <w:rFonts w:ascii="Times New Roman" w:cs="Times New Roman" w:eastAsia="Times New Roman" w:hAnsi="Times New Roman"/>
          <w:sz w:val="18"/>
          <w:szCs w:val="18"/>
          <w:color w:val="auto"/>
        </w:rPr>
        <w:t>”). As consideration for the Tranche #2 Restructuring, the Company issued 1,000,000 common shares to Dominion, and reduced the term of the 1,666,667 warrants exercisable at US$0.40 from April 16, 2024, to November 1, 2021.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 in respect of the third loan tranche of $5.0 Million, due June 20, 2021, resulted in this tranche being made convertible, at the option of Dominion, into common shares at a fixed conversion of US$0.59 per share, representing a premium of approximately 100% to the then current market price of the common shares (the “</w:t>
      </w:r>
      <w:r>
        <w:rPr>
          <w:rFonts w:ascii="Times New Roman" w:cs="Times New Roman" w:eastAsia="Times New Roman" w:hAnsi="Times New Roman"/>
          <w:sz w:val="18"/>
          <w:szCs w:val="18"/>
          <w:b w:val="1"/>
          <w:bCs w:val="1"/>
          <w:color w:val="auto"/>
        </w:rPr>
        <w:t>Tranche #3 Restructuring</w:t>
      </w:r>
      <w:r>
        <w:rPr>
          <w:rFonts w:ascii="Times New Roman" w:cs="Times New Roman" w:eastAsia="Times New Roman" w:hAnsi="Times New Roman"/>
          <w:sz w:val="18"/>
          <w:szCs w:val="18"/>
          <w:color w:val="auto"/>
        </w:rPr>
        <w:t>”). Further, pursuant to the Tranche #3 Restructuring, the previously issued 1,666,667 warrants exercisable at US$0.40 per common share, expiring on June 20, 2024, were cancelled and 1,666,667 new warrants were issued at an exercise price of US$0.304 per share with an expiry date of June 20, 2021.</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As of February 2021, the Dominion Facility has been repaid in its entirety and all Lender Warrants have been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2020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020" w:type="dxa"/>
            <w:vAlign w:val="bottom"/>
          </w:tcPr>
          <w:p>
            <w:pPr>
              <w:spacing w:after="0"/>
              <w:rPr>
                <w:sz w:val="21"/>
                <w:szCs w:val="21"/>
                <w:color w:val="auto"/>
              </w:rPr>
            </w:pPr>
          </w:p>
        </w:tc>
        <w:tc>
          <w:tcPr>
            <w:tcW w:w="840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16"/>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2020</w:t>
            </w:r>
          </w:p>
        </w:tc>
        <w:tc>
          <w:tcPr>
            <w:tcW w:w="1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1,847 MicroBT’s WhatsMiner M20S adding 133 PH of computing power</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Leased: 1,000</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MicroBT’s WhatsMiner M31S+ adding 82 PH of computing power</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Leased: 2,000</w:t>
            </w:r>
          </w:p>
        </w:tc>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MicroBT’s WhatsMiner M31S adding 144 PH of computing power</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Leased: 1,000</w:t>
            </w:r>
          </w:p>
        </w:tc>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MicroBT’s WhatsMiner M31S units adding 74 PH of computing power</w:t>
            </w: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October 26, 2020, the Company announced that it signed a nonbinding memorandum of understanding (“</w:t>
      </w:r>
      <w:r>
        <w:rPr>
          <w:rFonts w:ascii="Times New Roman" w:cs="Times New Roman" w:eastAsia="Times New Roman" w:hAnsi="Times New Roman"/>
          <w:sz w:val="18"/>
          <w:szCs w:val="18"/>
          <w:b w:val="1"/>
          <w:bCs w:val="1"/>
          <w:color w:val="auto"/>
        </w:rPr>
        <w:t>MOU</w:t>
      </w:r>
      <w:r>
        <w:rPr>
          <w:rFonts w:ascii="Times New Roman" w:cs="Times New Roman" w:eastAsia="Times New Roman" w:hAnsi="Times New Roman"/>
          <w:sz w:val="18"/>
          <w:szCs w:val="18"/>
          <w:color w:val="auto"/>
        </w:rPr>
        <w:t>”) with a private energy producer to secure exclusive use of up to 210 MW of electricity in South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2021, the following changes to the Board and Management were made:</w:t>
      </w:r>
    </w:p>
    <w:p>
      <w:pPr>
        <w:spacing w:after="0" w:line="225" w:lineRule="exact"/>
        <w:rPr>
          <w:sz w:val="20"/>
          <w:szCs w:val="20"/>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Mathieu Vachon resigned as the Chief Information Officer and director of the Company on January 14, 2021.</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Darcy Donelle was appointed as Vice-President of Corporate Development.</w:t>
      </w:r>
    </w:p>
    <w:p>
      <w:pPr>
        <w:spacing w:after="0" w:line="22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2021, the Company announced Jeffrey Lucas was appointed as Chief Financial Officer of the Company effective June 14, 2021, and was issued 364,050 incentive stock options exercisable into one common share at a price of CAD$5.45 for a period of five years, pursuant to the Company’s stock option plan.</w:t>
      </w:r>
    </w:p>
    <w:p>
      <w:pPr>
        <w:spacing w:after="0" w:line="175"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2021, the Company announced Ben Gagnon was appointed Chief Mining Officer and Nathaniel Port, Director of Finance, was appointed Senior Vice President of Finance and Accounting, both effective June 1, 2021.</w:t>
      </w:r>
    </w:p>
    <w:p>
      <w:pPr>
        <w:spacing w:after="0" w:line="16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2021, Darcy Donelle resigned as the Vice-President of Corporate Development.</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Patricia Osorio was appointed as Vice-President of Corporate Affairs.</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Benoit Gobeil was appointed as Senior Vice President of Operations and Infrastructure.</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2021, Geoff Morphy was appointed as Chief Operating Officer in addition to his role as President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2021, the Company closed a private placement (the “</w:t>
      </w:r>
      <w:r>
        <w:rPr>
          <w:rFonts w:ascii="Times New Roman" w:cs="Times New Roman" w:eastAsia="Times New Roman" w:hAnsi="Times New Roman"/>
          <w:sz w:val="18"/>
          <w:szCs w:val="18"/>
          <w:b w:val="1"/>
          <w:bCs w:val="1"/>
          <w:color w:val="auto"/>
        </w:rPr>
        <w:t>January 7, 2021 Offering</w:t>
      </w:r>
      <w:r>
        <w:rPr>
          <w:rFonts w:ascii="Times New Roman" w:cs="Times New Roman" w:eastAsia="Times New Roman" w:hAnsi="Times New Roman"/>
          <w:sz w:val="18"/>
          <w:szCs w:val="18"/>
          <w:color w:val="auto"/>
        </w:rPr>
        <w:t>”) for gross proceeds of approximately CAD$20.0 million, comprised of 8,888,889 common shares along with warrants to purchase an aggregate of up to 8,888,889 common shares at a purchase price of CAD$2.25 per common share and associated warrant. The warrants have an exercise price of CAD$2.75 per common share and an exercise period of three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7, 2021 Offering and (ii) 711,111 broker warrants, with each broker warrant exercisable for one common share of the Company at a price of CAD$2.81 at any time on or before January 8,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11, 2021 the Company received notice from Dominion of its election to convert $5.0 Million, the principal amount of the third loan tranche, into an aggregate of 8,474,577 common shares at a conversion price of U.S.$0.59 per common share.. The conversion to equity took place in January 2021.</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13, 2021, the Company closed a private placement (the “</w:t>
      </w:r>
      <w:r>
        <w:rPr>
          <w:rFonts w:ascii="Times New Roman" w:cs="Times New Roman" w:eastAsia="Times New Roman" w:hAnsi="Times New Roman"/>
          <w:sz w:val="18"/>
          <w:szCs w:val="18"/>
          <w:b w:val="1"/>
          <w:bCs w:val="1"/>
          <w:color w:val="auto"/>
        </w:rPr>
        <w:t>January 13, 2021 Offering</w:t>
      </w:r>
      <w:r>
        <w:rPr>
          <w:rFonts w:ascii="Times New Roman" w:cs="Times New Roman" w:eastAsia="Times New Roman" w:hAnsi="Times New Roman"/>
          <w:sz w:val="18"/>
          <w:szCs w:val="18"/>
          <w:color w:val="auto"/>
        </w:rPr>
        <w:t>”) for gross proceeds of approximately CAD$20.0 million, comprised of 5,586,593 common shares along with warrants to purchase an aggregate of up to 5,586,593 common shares at a purchase price of CAD$3.58 per common share and associated warrant. The warrants have an exercise price of US$3.10 per common share and exercise period of three and a 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13, 2021 Offering and (ii) 446,927 broker warrants, with each such broker warrant exercisable for one common share of the Company at a price of US$3.53 at any time on or before July 15,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 percent of the gross proceeds of the January 7, 2021 Offering and January 13, 2021 Offering were utilized to reduce the amount of the respective outstanding Loans due in March and November 2021.</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2021, the Company closed a private placement (the “</w:t>
      </w:r>
      <w:r>
        <w:rPr>
          <w:rFonts w:ascii="Times New Roman" w:cs="Times New Roman" w:eastAsia="Times New Roman" w:hAnsi="Times New Roman"/>
          <w:sz w:val="18"/>
          <w:szCs w:val="18"/>
          <w:b w:val="1"/>
          <w:bCs w:val="1"/>
          <w:color w:val="auto"/>
        </w:rPr>
        <w:t>February 2021 Offering</w:t>
      </w:r>
      <w:r>
        <w:rPr>
          <w:rFonts w:ascii="Times New Roman" w:cs="Times New Roman" w:eastAsia="Times New Roman" w:hAnsi="Times New Roman"/>
          <w:sz w:val="18"/>
          <w:szCs w:val="18"/>
          <w:color w:val="auto"/>
        </w:rPr>
        <w:t>”) for gross proceeds of approximately CAD$40.0 million, comprised of 11,560,695 common shares along with warrants to purchase an aggregate of up to 11,560,695 common shares at a purchase price of CAD$3.46 per common share and associated warrant. The warrants have an exercise price of US$3.01 per common share and exercise period of three and one-half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February 2021 Offering and (ii) 924,856 broker warrants, with each broker warrant exercisable for one common share of the Company at a price of US$3.39 at any time on or before August 12, 2024.</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20, 2021, the Company closed a private placement (the “</w:t>
      </w:r>
      <w:r>
        <w:rPr>
          <w:rFonts w:ascii="Times New Roman" w:cs="Times New Roman" w:eastAsia="Times New Roman" w:hAnsi="Times New Roman"/>
          <w:sz w:val="18"/>
          <w:szCs w:val="18"/>
          <w:b w:val="1"/>
          <w:bCs w:val="1"/>
          <w:color w:val="auto"/>
        </w:rPr>
        <w:t>May 2021 Offering</w:t>
      </w:r>
      <w:r>
        <w:rPr>
          <w:rFonts w:ascii="Times New Roman" w:cs="Times New Roman" w:eastAsia="Times New Roman" w:hAnsi="Times New Roman"/>
          <w:sz w:val="18"/>
          <w:szCs w:val="18"/>
          <w:color w:val="auto"/>
        </w:rPr>
        <w:t>”) for gross proceeds of approximately CAD$75.0 million, comprised of 14,150,940 common shares along with warrants to purchase an aggregate of up to 10,613,208 common shares at a purchase price of CAD$5.30 per common share and associated warrant. The warrants have an exercise price of US$4.87 per common share and an exercise period of three years (through May 20, 2024). The net proceeds were used by the Company principally to acquire additional miners, expand infrastructure and improve its working capital position. H.C. Wainwright &amp; Co. acted as the agent and received (i) a cash commission equal to 8.0% of the gross proceeds of the May 2021 Offering, and (ii) 1,132,076 non-transferrable broker warrants each exercisable for one common share at a price of US$5.49 at any time on or before May 20,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herein as “Foundry Loans #1, #2, #3 and #4”, respectively.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December 30, 2021, the Company secured a US$100 million credit facility with Galaxy Digital LLC (the “</w:t>
      </w:r>
      <w:r>
        <w:rPr>
          <w:rFonts w:ascii="Times New Roman" w:cs="Times New Roman" w:eastAsia="Times New Roman" w:hAnsi="Times New Roman"/>
          <w:sz w:val="18"/>
          <w:szCs w:val="18"/>
          <w:b w:val="1"/>
          <w:bCs w:val="1"/>
          <w:color w:val="auto"/>
        </w:rPr>
        <w:t>December 2021 Debt Facility</w:t>
      </w:r>
      <w:r>
        <w:rPr>
          <w:rFonts w:ascii="Times New Roman" w:cs="Times New Roman" w:eastAsia="Times New Roman" w:hAnsi="Times New Roman"/>
          <w:sz w:val="18"/>
          <w:szCs w:val="18"/>
          <w:color w:val="auto"/>
        </w:rPr>
        <w:t>”). The December 2021 Debt Facility is a revolving, multi-draw credit facility that renews annually. The Company made an initial US$60 million draw with a six-month term at an interest rate of 10.75% per annum (the “</w:t>
      </w:r>
      <w:r>
        <w:rPr>
          <w:rFonts w:ascii="Times New Roman" w:cs="Times New Roman" w:eastAsia="Times New Roman" w:hAnsi="Times New Roman"/>
          <w:sz w:val="18"/>
          <w:szCs w:val="18"/>
          <w:b w:val="1"/>
          <w:bCs w:val="1"/>
          <w:color w:val="auto"/>
        </w:rPr>
        <w:t>Initial Draw</w:t>
      </w:r>
      <w:r>
        <w:rPr>
          <w:rFonts w:ascii="Times New Roman" w:cs="Times New Roman" w:eastAsia="Times New Roman" w:hAnsi="Times New Roman"/>
          <w:sz w:val="18"/>
          <w:szCs w:val="18"/>
          <w:color w:val="auto"/>
        </w:rPr>
        <w:t>”). The credit facility is secured by Bitcoin, with the minimum value of Bitcoin pledged as collateral calculated as 143% of the amount borrowed. The Initial Draw and the December 2021 Debt Facility were used for general corporate purposes and for the Company’s global growth initiatives. The December 2021 Debt Facility was fully repaid in December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2021, the Company announced that its application to list its common stock on the Nasdaq Global Market was approved by the Nasdaq.</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2021, in connection with the Company’s listing on the Nasdaq, the Company received “Depository Trust Company” (also known as “DTC”) eligibility for the common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2021, trading of the common shares on the Nasdaq commenced under the symbol “BITF”.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Prospectus Filings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2021, the Company filed a preliminary base shelf short form prospectus.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August 12, 2021, the Company filed a final base shelf short form prospectus (the “</w:t>
      </w:r>
      <w:r>
        <w:rPr>
          <w:rFonts w:ascii="Times New Roman" w:cs="Times New Roman" w:eastAsia="Times New Roman" w:hAnsi="Times New Roman"/>
          <w:sz w:val="18"/>
          <w:szCs w:val="18"/>
          <w:b w:val="1"/>
          <w:bCs w:val="1"/>
          <w:color w:val="auto"/>
        </w:rPr>
        <w:t>August SFBS Prospectus</w:t>
      </w:r>
      <w:r>
        <w:rPr>
          <w:rFonts w:ascii="Times New Roman" w:cs="Times New Roman" w:eastAsia="Times New Roman" w:hAnsi="Times New Roman"/>
          <w:sz w:val="18"/>
          <w:szCs w:val="18"/>
          <w:color w:val="auto"/>
        </w:rPr>
        <w:t>”) relating to the offering for sale of such number of securities of the Company as would result in aggregate gross proceeds of up to US$500 million, over a 25-month period.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the Company filed a prospectus supplement to the August SFBS Prospectus qualifying the distribution of up to US$500 million Common Shares pursuant to an at-the-market offering agreement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dated August 16, 2021, between the Company and H.C. Wainwright &amp; 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 Agreement</w:t>
      </w:r>
    </w:p>
    <w:p>
      <w:pPr>
        <w:spacing w:after="0" w:line="2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2021, the Company entered into an agreement to retain the services of CORE IR, an investor relations, public relations and shareholder communications firm (the “</w:t>
      </w:r>
      <w:r>
        <w:rPr>
          <w:rFonts w:ascii="Times New Roman" w:cs="Times New Roman" w:eastAsia="Times New Roman" w:hAnsi="Times New Roman"/>
          <w:sz w:val="18"/>
          <w:szCs w:val="18"/>
          <w:b w:val="1"/>
          <w:bCs w:val="1"/>
          <w:color w:val="auto"/>
        </w:rPr>
        <w:t>CORE IR Agreement</w:t>
      </w:r>
      <w:r>
        <w:rPr>
          <w:rFonts w:ascii="Times New Roman" w:cs="Times New Roman" w:eastAsia="Times New Roman" w:hAnsi="Times New Roman"/>
          <w:sz w:val="18"/>
          <w:szCs w:val="18"/>
          <w:color w:val="auto"/>
        </w:rPr>
        <w:t xml:space="preserve">”). Under the Core IR Agreement, the Company agreed to pay US$15,000 per month for an initial term of twelve months and made a one-time grant to CORE IR of 15,000 incentive stock options exercisable at a price of CAD$6.35 per share for a period of two years. The CORE IR Agreement was terminated as of October 2021. See </w:t>
      </w:r>
      <w:r>
        <w:rPr>
          <w:rFonts w:ascii="Times New Roman" w:cs="Times New Roman" w:eastAsia="Times New Roman" w:hAnsi="Times New Roman"/>
          <w:sz w:val="18"/>
          <w:szCs w:val="18"/>
          <w:i w:val="1"/>
          <w:iCs w:val="1"/>
          <w:color w:val="auto"/>
        </w:rPr>
        <w:t>GENERAL DEVELOPMENT OF THE BUSINESS - Three-year History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Fiscal 2022 – Development of Operations.</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September 17, 2021, the Company announced the entering into of an agreement, subject to TSX Venture Exchange (“</w:t>
      </w:r>
      <w:r>
        <w:rPr>
          <w:rFonts w:ascii="Times New Roman" w:cs="Times New Roman" w:eastAsia="Times New Roman" w:hAnsi="Times New Roman"/>
          <w:sz w:val="18"/>
          <w:szCs w:val="18"/>
          <w:b w:val="1"/>
          <w:bCs w:val="1"/>
          <w:color w:val="auto"/>
        </w:rPr>
        <w:t>TSXV</w:t>
      </w:r>
      <w:r>
        <w:rPr>
          <w:rFonts w:ascii="Times New Roman" w:cs="Times New Roman" w:eastAsia="Times New Roman" w:hAnsi="Times New Roman"/>
          <w:sz w:val="18"/>
          <w:szCs w:val="18"/>
          <w:color w:val="auto"/>
        </w:rPr>
        <w:t>”) approval, to retain the services of LHA Investor Relations, to handle the Company’s public relations and shareholder communications (the “</w:t>
      </w:r>
      <w:r>
        <w:rPr>
          <w:rFonts w:ascii="Times New Roman" w:cs="Times New Roman" w:eastAsia="Times New Roman" w:hAnsi="Times New Roman"/>
          <w:sz w:val="18"/>
          <w:szCs w:val="18"/>
          <w:b w:val="1"/>
          <w:bCs w:val="1"/>
          <w:color w:val="auto"/>
        </w:rPr>
        <w:t>LHA IR Agreement</w:t>
      </w:r>
      <w:r>
        <w:rPr>
          <w:rFonts w:ascii="Times New Roman" w:cs="Times New Roman" w:eastAsia="Times New Roman" w:hAnsi="Times New Roman"/>
          <w:sz w:val="18"/>
          <w:szCs w:val="18"/>
          <w:color w:val="auto"/>
        </w:rPr>
        <w:t>”). Under the LHA IR Agreement, the Company agreed to pay US$20,000 per month for an initial term of six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early January 2021, the Company implemented a program (the “</w:t>
      </w:r>
      <w:r>
        <w:rPr>
          <w:rFonts w:ascii="Times New Roman" w:cs="Times New Roman" w:eastAsia="Times New Roman" w:hAnsi="Times New Roman"/>
          <w:sz w:val="18"/>
          <w:szCs w:val="18"/>
          <w:b w:val="1"/>
          <w:bCs w:val="1"/>
          <w:color w:val="auto"/>
        </w:rPr>
        <w:t>Digital Asset Management Program</w:t>
      </w:r>
      <w:r>
        <w:rPr>
          <w:rFonts w:ascii="Times New Roman" w:cs="Times New Roman" w:eastAsia="Times New Roman" w:hAnsi="Times New Roman"/>
          <w:sz w:val="18"/>
          <w:szCs w:val="18"/>
          <w:color w:val="auto"/>
        </w:rPr>
        <w:t xml:space="preserve">”), pursuant to which the Company added approximately 3,201 BTC to its balance sheet during the year ended December 31, 2021. See </w:t>
      </w:r>
      <w:r>
        <w:rPr>
          <w:rFonts w:ascii="Times New Roman" w:cs="Times New Roman" w:eastAsia="Times New Roman" w:hAnsi="Times New Roman"/>
          <w:sz w:val="18"/>
          <w:szCs w:val="18"/>
          <w:i w:val="1"/>
          <w:iCs w:val="1"/>
          <w:color w:val="auto"/>
        </w:rPr>
        <w:t>DESCRIPTION OF BUSINESS - Business and Strategy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Asset Management Program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180" w:type="dxa"/>
            <w:vAlign w:val="bottom"/>
          </w:tcPr>
          <w:p>
            <w:pPr>
              <w:spacing w:after="0"/>
              <w:rPr>
                <w:sz w:val="21"/>
                <w:szCs w:val="21"/>
                <w:color w:val="auto"/>
              </w:rPr>
            </w:pPr>
          </w:p>
        </w:tc>
        <w:tc>
          <w:tcPr>
            <w:tcW w:w="82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16"/>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2021</w:t>
            </w:r>
          </w:p>
        </w:tc>
        <w:tc>
          <w:tcPr>
            <w:tcW w:w="1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3,000 MicroBT’s WhatsMiner M31S+ machines, adding approximately 240 PH of computing power</w:t>
            </w:r>
          </w:p>
        </w:tc>
      </w:tr>
      <w:tr>
        <w:trPr>
          <w:trHeight w:val="216"/>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Q1 2021</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1,500 MicroBT’s WhatsMiner M31S machines, adding approximately 120 PH of computing power</w:t>
            </w:r>
          </w:p>
        </w:tc>
      </w:tr>
      <w:tr>
        <w:trPr>
          <w:trHeight w:val="198"/>
        </w:trPr>
        <w:tc>
          <w:tcPr>
            <w:tcW w:w="18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January 2022 –</w:t>
            </w:r>
          </w:p>
        </w:tc>
        <w:tc>
          <w:tcPr>
            <w:tcW w:w="9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Entered into agreements to acquire 48,000 MicroBT’s WhatsMiner machines, adding what was expected to be approximately 5.0</w:t>
            </w:r>
          </w:p>
        </w:tc>
      </w:tr>
      <w:tr>
        <w:trPr>
          <w:trHeight w:val="216"/>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2022</w:t>
            </w: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EH of computing power. In December 2022, the Company negotiated its miner purchasing agreements by extinguishing the</w:t>
            </w:r>
          </w:p>
        </w:tc>
      </w:tr>
      <w:tr>
        <w:trPr>
          <w:trHeight w:val="234"/>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24,000 MicroBT commitment, without penalty.</w:t>
            </w:r>
          </w:p>
        </w:tc>
      </w:tr>
      <w:tr>
        <w:trPr>
          <w:trHeight w:val="216"/>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2021</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Acquired: 1,500</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MicroBT M31S+ and 700 Bitmain S19j machines, adding 183 PH of computing power</w:t>
            </w:r>
          </w:p>
        </w:tc>
      </w:tr>
      <w:tr>
        <w:trPr>
          <w:trHeight w:val="216"/>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 – Q4 2021</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Acquired: 2,465</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WhatsMiner M30S Bitcoin mining machines, adding 133 PH of production</w:t>
            </w:r>
          </w:p>
        </w:tc>
      </w:tr>
      <w:tr>
        <w:trPr>
          <w:trHeight w:val="216"/>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 – Q3 2021</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Acquired: 1,996</w:t>
            </w:r>
          </w:p>
        </w:tc>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MicroBT’s WhatsMiner M31S machines, adding approximately 120 PH of computing power</w:t>
            </w:r>
          </w:p>
        </w:tc>
      </w:tr>
      <w:tr>
        <w:trPr>
          <w:trHeight w:val="216"/>
        </w:trPr>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Q3 – Q4 2021</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Acquired: 6,600</w:t>
            </w:r>
          </w:p>
        </w:tc>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Bitmain S19j Pro Antminer machines, adding approximately 660 PH of computing power</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2, 2021, the Company entered into a hosting agreement in the United States (the “</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Pursuant to the Hosting Agreement, the Company delivered older generation equipment already owned and used by the Company, for hosting at one of the host’s facilities located in the United States in order to free up capacity at the facilities (namely, the facilities at Farnham, Saint-Hyacinthe, Cowansville, Magog, and De la Pointe as each is described herein) for more efficient and profitable mining equipment. The Hosting Agreement was replaced by the July 2021 Hosting Agreement, as defined herein.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July 3, 2021, the Company entered into 3 purchase agreements for miners with affiliated companies of MicroBT, pursuant to which, the Company purchased 48,000 Miners to be delivered throughout Fiscal 2022 (the “2021 Miner Purchase Agreements”) – </w:t>
      </w:r>
      <w:r>
        <w:rPr>
          <w:rFonts w:ascii="Times New Roman" w:cs="Times New Roman" w:eastAsia="Times New Roman" w:hAnsi="Times New Roman"/>
          <w:sz w:val="18"/>
          <w:szCs w:val="18"/>
          <w:i w:val="1"/>
          <w:iCs w:val="1"/>
          <w:color w:val="auto"/>
        </w:rPr>
        <w:t>see Material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announced entering into an agreement, subject to Exchange approval, to retain the services of LHA Investor Relations, to handle the Company’s public relations and shareholder communications (the “</w:t>
      </w:r>
      <w:r>
        <w:rPr>
          <w:rFonts w:ascii="Times New Roman" w:cs="Times New Roman" w:eastAsia="Times New Roman" w:hAnsi="Times New Roman"/>
          <w:sz w:val="18"/>
          <w:szCs w:val="18"/>
          <w:b w:val="1"/>
          <w:bCs w:val="1"/>
          <w:color w:val="auto"/>
        </w:rPr>
        <w:t>LHA IR Agreement</w:t>
      </w:r>
      <w:r>
        <w:rPr>
          <w:rFonts w:ascii="Times New Roman" w:cs="Times New Roman" w:eastAsia="Times New Roman" w:hAnsi="Times New Roman"/>
          <w:sz w:val="18"/>
          <w:szCs w:val="18"/>
          <w:color w:val="auto"/>
        </w:rPr>
        <w:t>”). Under the LHA IR Agreement, the Company agreed to pay US$20,000 per month for an initial term of six months.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Quebec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7, 2021, the Company entered into an agreement with the City of Sherbrooke by which the Company’s operations at the De la Pointe Property were to be replaced by new, higher efficiency facilities with next-generation mining equipment optimized for higher output levels and lower power consumptions. On October 27, 2021, the Company announced the construction of two new high power production facilities in Sherbrooke with a combined capacity of 78 MW, expected to be completed in the second quarter of 2022 – see </w:t>
      </w:r>
      <w:r>
        <w:rPr>
          <w:rFonts w:ascii="Times New Roman" w:cs="Times New Roman" w:eastAsia="Times New Roman" w:hAnsi="Times New Roman"/>
          <w:sz w:val="18"/>
          <w:szCs w:val="18"/>
          <w:i w:val="1"/>
          <w:iCs w:val="1"/>
          <w:color w:val="auto"/>
        </w:rPr>
        <w:t>Sherbrooke Expansion.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and October 2021, the Company entered into lease agreements for two new facilities in Sherbrooke: “Leger” and “The Bunker”,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DESCRIPTION OF BUSINESS - Sherbrooke Expansion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2021, the Company announced that it had completed its planned expansion in Cowansville, Quebec, consisting of the replacement of the original 4 MW facility that was operational since 2017 with an entirely newly constructed 17 MW facility. The Company also announced that it had installed 450 new Bitmain S19j Pro miners at the Cowansville facility, in addition to other used miners, adding approximately 100 PH/s of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Expansion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November 9, 2021, the Company acquired a bitcoin mining production facility used for providing hosting services in Washington State, US (the </w:t>
      </w:r>
      <w:r>
        <w:rPr>
          <w:rFonts w:ascii="Times New Roman" w:cs="Times New Roman" w:eastAsia="Times New Roman" w:hAnsi="Times New Roman"/>
          <w:sz w:val="18"/>
          <w:szCs w:val="18"/>
          <w:b w:val="1"/>
          <w:bCs w:val="1"/>
          <w:color w:val="auto"/>
        </w:rPr>
        <w:t>“November 2021 Washington Acquisition</w:t>
      </w:r>
      <w:r>
        <w:rPr>
          <w:rFonts w:ascii="Times New Roman" w:cs="Times New Roman" w:eastAsia="Times New Roman" w:hAnsi="Times New Roman"/>
          <w:sz w:val="18"/>
          <w:szCs w:val="18"/>
          <w:color w:val="auto"/>
        </w:rPr>
        <w:t>”). The Company entered into a hosting agreement for 12 MW with the seller in July 2021 (the “</w:t>
      </w:r>
      <w:r>
        <w:rPr>
          <w:rFonts w:ascii="Times New Roman" w:cs="Times New Roman" w:eastAsia="Times New Roman" w:hAnsi="Times New Roman"/>
          <w:sz w:val="18"/>
          <w:szCs w:val="18"/>
          <w:b w:val="1"/>
          <w:bCs w:val="1"/>
          <w:color w:val="auto"/>
        </w:rPr>
        <w:t>July 2021 Hosting Agreement</w:t>
      </w:r>
      <w:r>
        <w:rPr>
          <w:rFonts w:ascii="Times New Roman" w:cs="Times New Roman" w:eastAsia="Times New Roman" w:hAnsi="Times New Roman"/>
          <w:sz w:val="18"/>
          <w:szCs w:val="18"/>
          <w:color w:val="auto"/>
        </w:rPr>
        <w:t>”), replacing its previous hosting agreements in the United States under which 4,000 Bitmain S19j Pro miners with a capacity of 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PH/s were installed at the facility. The July 2021 Hosting Agreement terminated upon the closing of the November 2021 Washington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 Expansion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19, 2021, the Company entered into an eight-year power purchase agreement with a private power producer in Argentina to secure up to 210 MW of electricity with various rate mechanisms, further to the Company’s plan to pursue the development of a Bitcoin Mining facility in Argentina. See </w:t>
      </w:r>
      <w:r>
        <w:rPr>
          <w:rFonts w:ascii="Times New Roman" w:cs="Times New Roman" w:eastAsia="Times New Roman" w:hAnsi="Times New Roman"/>
          <w:sz w:val="18"/>
          <w:szCs w:val="18"/>
          <w:i w:val="1"/>
          <w:iCs w:val="1"/>
          <w:color w:val="auto"/>
        </w:rPr>
        <w:t>DESCRIPTION OF BUSINESS - Argentina Expansion.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2021, the Company announced that it had entered into engineering, procurement and construction contracts with Proyectos y Obras Americanas S.A.(“</w:t>
      </w:r>
      <w:r>
        <w:rPr>
          <w:rFonts w:ascii="Times New Roman" w:cs="Times New Roman" w:eastAsia="Times New Roman" w:hAnsi="Times New Roman"/>
          <w:sz w:val="18"/>
          <w:szCs w:val="18"/>
          <w:b w:val="1"/>
          <w:bCs w:val="1"/>
          <w:color w:val="auto"/>
        </w:rPr>
        <w:t>PROA</w:t>
      </w:r>
      <w:r>
        <w:rPr>
          <w:rFonts w:ascii="Times New Roman" w:cs="Times New Roman" w:eastAsia="Times New Roman" w:hAnsi="Times New Roman"/>
          <w:sz w:val="18"/>
          <w:szCs w:val="18"/>
          <w:color w:val="auto"/>
        </w:rPr>
        <w:t>”) and Dreicon, as the owner’s engineer to commence construction of a 210 MW production facility in Argentina.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2021, the Company announced that it had signed a 5-year lease and an annually renewable power purchase agreement to secure up to 10 MW of green hydro electrical capacity at approximately US$3.6 cents per kilowatt hour in Paraguay In December 2021, the Company completed the construction of a 10 MW facility in Paraguay (the “</w:t>
      </w:r>
      <w:r>
        <w:rPr>
          <w:rFonts w:ascii="Times New Roman" w:cs="Times New Roman" w:eastAsia="Times New Roman" w:hAnsi="Times New Roman"/>
          <w:sz w:val="18"/>
          <w:szCs w:val="18"/>
          <w:b w:val="1"/>
          <w:bCs w:val="1"/>
          <w:color w:val="auto"/>
        </w:rPr>
        <w:t>Villarrica Facility</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DESCRIPTION OF BUSINESS - Paraguay Expansion.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the following changes to the Board and Management were made:</w:t>
      </w:r>
    </w:p>
    <w:p>
      <w:pPr>
        <w:spacing w:after="0" w:line="225" w:lineRule="exact"/>
        <w:rPr>
          <w:sz w:val="20"/>
          <w:szCs w:val="20"/>
          <w:color w:val="auto"/>
        </w:rPr>
      </w:pPr>
    </w:p>
    <w:p>
      <w:pPr>
        <w:jc w:val="both"/>
        <w:ind w:left="620" w:hanging="302"/>
        <w:spacing w:after="0" w:line="26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2022, the Company announced the addition of three executives for newly created positions. Philippe Fortier was appointed Vice President – Special Projects, Andrea Keen Souza was appointed Vice President – Human Resources, and Stephanie Wargo was appointed Vice President – Marketing &amp; Communications.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2022, Nathaniel Port resigned as Senior Vice President of Finance and Accounting.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2022, Marc-André Ammann was appointed as Vice President – Finance &amp; Accounting and on May 24, 2024, Paul Magrath was appointed as Vice President – Taxation.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2022, the Company announced the addition of Edie Hofmeister to the Board, bringing the total number of directors to six.</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2022, the Company announced the promotion of Geoffrey Morphy from President and Chief Operating Officer to the position of President and Chief Executive Officer. Emiliano Grodzki, the Company’s previous CEO, resigned as CEO and remained a member of the board of directors. The Company also announced that Nicolas Bonta shifted from the position of Executive Chairman to the role of Chairman of the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2022, the Company issued a total of 29,324,000 common shares, in exchange for US$54.1 million of net proceeds through the at-the-market equity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24, 2022, the Company secured a US$32 million credit facility with a private lender (the “</w:t>
      </w:r>
      <w:r>
        <w:rPr>
          <w:rFonts w:ascii="Times New Roman" w:cs="Times New Roman" w:eastAsia="Times New Roman" w:hAnsi="Times New Roman"/>
          <w:sz w:val="18"/>
          <w:szCs w:val="18"/>
          <w:b w:val="1"/>
          <w:bCs w:val="1"/>
          <w:color w:val="auto"/>
        </w:rPr>
        <w:t>February 2022 BlockFi Loan Facility</w:t>
      </w:r>
      <w:r>
        <w:rPr>
          <w:rFonts w:ascii="Times New Roman" w:cs="Times New Roman" w:eastAsia="Times New Roman" w:hAnsi="Times New Roman"/>
          <w:sz w:val="18"/>
          <w:szCs w:val="18"/>
          <w:color w:val="auto"/>
        </w:rPr>
        <w:t>”). The February 2022 BlockFi Loan Facility has a 24-month term at an interest rate of 14.5 % per annum and is secured by approximately 6,100 Bitmain S19j Pro miners. The February 2022 BlockFi Loan Facility was used for general corporate purposes and for the Company’s global growth initiatives.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the Company made an additional draw of US$40 million from its December 2021 Debt Facility.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17, 2022, the Company entered into an equipment financing agreement with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which provided for initial funding of US$37 million at an interest rate of 12% per annum (the “</w:t>
      </w:r>
      <w:r>
        <w:rPr>
          <w:rFonts w:ascii="Times New Roman" w:cs="Times New Roman" w:eastAsia="Times New Roman" w:hAnsi="Times New Roman"/>
          <w:sz w:val="18"/>
          <w:szCs w:val="18"/>
          <w:b w:val="1"/>
          <w:bCs w:val="1"/>
          <w:color w:val="auto"/>
        </w:rPr>
        <w:t>June 2022 NYDIG Financing</w:t>
      </w:r>
      <w:r>
        <w:rPr>
          <w:rFonts w:ascii="Times New Roman" w:cs="Times New Roman" w:eastAsia="Times New Roman" w:hAnsi="Times New Roman"/>
          <w:sz w:val="18"/>
          <w:szCs w:val="18"/>
          <w:color w:val="auto"/>
        </w:rPr>
        <w:t>”). The June 2022 NYDIG Financing is collateralized by miners 10,395 WhatsMiner M30S Miners at Leger and the Bunker, funded as the assets are installed and become operational.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2022, the Company announced that it reduced the December 2021 Debt Facility from US$100 million to US$66 million, funded through the sale of 1,500 bitcoin.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2022, the Company amended its December 2021 Debt Facility and extended its maturity date to October 1,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2022, the Company amended its December 2021 Debt Facility and extended its maturity date from October 1, 2022, to December 29, 2022, and reduced the collateral requirement from 143% to 135%, for a maximum of US$40 million at an interest rate of 11.25%. The December 2021 Debt Facility was fully repaid in December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Foundry Loan #1 entered into on April 2021 matured and was fully repaid.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TSX Listing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7, 2022, the Company announced that it had received final approval for the up listing of its common shares on the TSX. The Common Shares commenced trading on the TSX under the symbol “BITF” effective market open on April 8, 2022, and were concurrently delisted from the TSXV.</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NASDAQ Listing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14, 2022, the Company announced that it has received a written notice from Nasdaq indicating that, for the prior thirty days, the bid price for the Common Shares had closed below the minimum US$1.00 per share requirement for continued listing on the Nasdaq under Nasdaq Listing Rule 5550(a)</w:t>
      </w:r>
    </w:p>
    <w:p>
      <w:pPr>
        <w:jc w:val="both"/>
        <w:spacing w:after="0" w:line="260" w:lineRule="auto"/>
        <w:rPr>
          <w:sz w:val="20"/>
          <w:szCs w:val="20"/>
          <w:color w:val="auto"/>
        </w:rPr>
      </w:pPr>
      <w:r>
        <w:rPr>
          <w:rFonts w:ascii="Times New Roman" w:cs="Times New Roman" w:eastAsia="Times New Roman" w:hAnsi="Times New Roman"/>
          <w:sz w:val="18"/>
          <w:szCs w:val="18"/>
          <w:color w:val="auto"/>
        </w:rPr>
        <w:t>(2). In accordance with Nasdaq Listing Rule 5810(c)(3)(A), the Company was provided an initial period of 180 calendar days (until June 12, 2023) to regain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the Company extended the agreement LHA IR Agreement for an indefinite period, under the same terms.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January 2022, </w:t>
      </w:r>
      <w:r>
        <w:rPr>
          <w:rFonts w:ascii="Times New Roman" w:cs="Times New Roman" w:eastAsia="Times New Roman" w:hAnsi="Times New Roman"/>
          <w:sz w:val="18"/>
          <w:szCs w:val="18"/>
          <w:color w:val="auto"/>
        </w:rPr>
        <w:t>the Board authorized management to purchase 1,000 BTC for US$43.2 million, increasing the Company’s Bitcoin holdings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2022, the Company announced that it had adjusted its Digital Asset Management Program to improve liquidity and strengthen its balance sheet. During the second and third quarter of 2022, the Company sold 3,670 in collateral to partially pay the December 2021 Credit Facility. During the same period the Company also sold 2,275 BTC in treasury to manage liquidity levels. Since August 2022, the Company has been selling almost all of its daily Bitcoin mining production, and holds 405 BTC as of December 31, 2022, valued at approximately US$6.7 million based on a BTC price of approximately US$16,500 as of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942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16"/>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2022</w:t>
            </w:r>
          </w:p>
        </w:tc>
        <w:tc>
          <w:tcPr>
            <w:tcW w:w="1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4,800 MicroBT WhatsMiners</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Q2 2022</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11,600 MicroBT WhatsMiners</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Q3 2022</w:t>
            </w: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7,800 MicroBT WhatsMiners</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2022</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1,600 MicroBT WhatsMiners</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to better align the number of Miners on hand with the infrastructure capacity available to utilize the Miners, the Company amended the Miner Purchase Agreements, signed in July 2021, with deliveries originally expected to be completed during Fiscal Year 2022, to postpone into 2023, without penalty, the remaining delivery of and payment for certain remaining equipment purchases. In December 2022, the Company made a second amendment of this agreement for which 28,000 miner deliveries had already arrived in 2022. Following the amendment, the obligation to acquire the remaining 20,000 miner was cancelled without penalty.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 Operations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 March 17, 2022, the Company began operations in Phase one of the Bunker (as defined herein). See </w:t>
      </w:r>
      <w:r>
        <w:rPr>
          <w:rFonts w:ascii="Times New Roman" w:cs="Times New Roman" w:eastAsia="Times New Roman" w:hAnsi="Times New Roman"/>
          <w:sz w:val="18"/>
          <w:szCs w:val="18"/>
          <w:i w:val="1"/>
          <w:iCs w:val="1"/>
          <w:color w:val="auto"/>
        </w:rPr>
        <w:t>DESCRIPTION OF BUSINESS - Recently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Completed Development and Future Growth Plans - Sherbrooke Expansion - The Bunker</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March 11, 2022, the Company acquired a building in Sherbrooke Quebec expected to accommodate 18 MW of electrical infrastructure (“</w:t>
      </w:r>
      <w:r>
        <w:rPr>
          <w:rFonts w:ascii="Times New Roman" w:cs="Times New Roman" w:eastAsia="Times New Roman" w:hAnsi="Times New Roman"/>
          <w:sz w:val="18"/>
          <w:szCs w:val="18"/>
          <w:b w:val="1"/>
          <w:bCs w:val="1"/>
          <w:color w:val="auto"/>
        </w:rPr>
        <w:t>Garlock</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i w:val="1"/>
          <w:iCs w:val="1"/>
          <w:color w:val="auto"/>
        </w:rPr>
        <w:t>DESCRIPTION OF BUSINESS - Recently Completed Development and Future Growth Plans - Sherbrooke Expansion - Garlock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April 6, 2022, the Company began operations at Leger (as defined herein) in Sherbrooke, Quebec, bringing the total operational hashrate to 3 EH/s. See </w:t>
      </w:r>
      <w:r>
        <w:rPr>
          <w:rFonts w:ascii="Times New Roman" w:cs="Times New Roman" w:eastAsia="Times New Roman" w:hAnsi="Times New Roman"/>
          <w:sz w:val="18"/>
          <w:szCs w:val="18"/>
          <w:i w:val="1"/>
          <w:iCs w:val="1"/>
          <w:color w:val="auto"/>
        </w:rPr>
        <w:t>DESCRIPTION OF BUSINESS – Recently Completed Development and Future Growth Plans - Sherbrooke Expansion - Leger.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28, 2022, the Company announced that it had completed the second phase of its expansion of the Bunker, bringing the total operational hashrate to 3.8 EH/s.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December 2022, the remaining portions of the Bunker (6 MW) and Garlock (12 MW) farms in Sherbrooke, Quebec had been energized, reaching their full capacity of 48 MW and 18 MW, respectively, which represented the completion of the Sherbrooke Expansion (as herein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16, 2022, the Company announced that it had completed the sale of the De la Pointe Property, receiving US$3.6 million in net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Expansion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the Company added 3 MW of electrical infrastructure and is currently operating approximately 20 MW of electrical infrastructure with the majority of the Company’s Antminer S19j Pro Miners generating approximately 600 PH/s in this facility. The Company’s power supplier has provided a preliminary indication that the next 6 MW of in-process applications are expected to be energized in the first half of 2023 with the remaining 3 MW of in-process applications estimated to be energized after 2027 due to the nearby substation being at capacity.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 Expansion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2022, the Villarrica Facility became operational with the installation of 2,900 of the Company’s older generation Miners relocated from Quebec and generating approximately 125 PH/s. On February 1, 2022, the Company announced commencement of operations at its 10 MW farm in Paraguay, increasing the total farms operated by the Company from six to seven, and total mining capacity to 116 MW. See </w:t>
      </w:r>
      <w:r>
        <w:rPr>
          <w:rFonts w:ascii="Times New Roman" w:cs="Times New Roman" w:eastAsia="Times New Roman" w:hAnsi="Times New Roman"/>
          <w:sz w:val="18"/>
          <w:szCs w:val="18"/>
          <w:i w:val="1"/>
          <w:iCs w:val="1"/>
          <w:color w:val="auto"/>
        </w:rPr>
        <w:t>GENERAL DEVELOPMENT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Three-year History - Fiscal 2023 - South America Expansion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19, 2022, the Company announced commencement of operations at the first 50 MW warehouse in Argentina, increasing the total number of farms operated by the Company to ten and the total operational hashrate to 4.1 EH/s.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until March 20, 2023, the following changes to the Board and Management have been made: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2023, Jeff Gao was appointed as Vice President - Risk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2023, the principal amount of the remaining Foundry Loans #2, #3 and #4, entered into on May 2021, were fully repaid before their maturity date without prepayment penalty for $0.8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February 2023, the Company negotiated a settlement of its February 2022 BlockFi Loan Facility with an outstanding debt balance of $20.3 million for a payment of $7.8 million in cash. Upon settlement, the 6,100 Bitmain S19j Pro miners that secured the February 2022 BlockFi Loan Facility are unencumbered.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2023, the Company modified a lease agreement previously entered on September 18, 2020 with Reliz Ltd. in order to settle an outstanding lease liability of $0.4 million for a payment of $0.1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 Expansion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all the older generation Miners in the Villarrica Facility were replaced with approximately 2,900 new M30S WhatsMiner Miners generating approximately 290 PH/s, a 165 PH/s increase compared to the hashrate that was being produced by the older generation Miners. The Company has reached an agreement to sell the older generation Miners to a third party for approximately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Computing Power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operating hashrate is approximately 4.7 EH/s as of the March 20,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comprised of computers (referred to as “Miners”) designed for the purpose of validating transactions on the Bitcoin (“BTC”) Blockchain (referred to as “Mining”). Bitfarms Canada generally operates Miners 24 hours a day producing computational power (measured by hashrate) which it sells to Mining Pools (as defined herein), for a formula-driven rate commonly known in the industry as Full Pay Per Share (“FPPS”). Under FPPS, pools compensate Mining Companies for their hashrate based on what the pool would be expected to generate in revenue for a given time period if there was no randomness involved. The fee paid by a Mining Pool to Bitfarms Canada for its hashrate may be in cryptocurrency, U.S. dollars, or other currency. Bitfarms Canada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are purchasing hashrate and take on risk with the aim to mine more blocks than they should in a given time period in pursuit of profit.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January 2021, the Company routinely exchanged cryptocurrencies mined into U.S. dollars through reputable cryptocurrency trading platforms. At the beginning of Fiscal 2021, the Company implemented the Digital Asset Management Program under which the Company decided how many mined Bitcoin would be held by the Company through its custodians. See </w:t>
      </w:r>
      <w:r>
        <w:rPr>
          <w:rFonts w:ascii="Times New Roman" w:cs="Times New Roman" w:eastAsia="Times New Roman" w:hAnsi="Times New Roman"/>
          <w:sz w:val="18"/>
          <w:szCs w:val="18"/>
          <w:i w:val="1"/>
          <w:iCs w:val="1"/>
          <w:color w:val="auto"/>
        </w:rPr>
        <w:t>DESCRIPTION OF BUSINESS - Principal Market Overview - Digital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Program.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20, 2023, Bitfarms Canada operates ten total server farms around the world. Seven server farm facilities are located in Québec, Canada, with electrical infrastructure capacity of 148 MW for Mining Bitcoin; one server farm facility is located in Washington State, United States, with operational electrical infrastructure capacity of 20 MW and expansion opportunities up to 24 MW; one server farm facility is located in Villarrica, Paraguay, with electrical infrastructure capacity of 10 MW; and one server farm facility is located in Argentina, with current operational electrical infrastructure capacity of 50 MW, of which 10 MW are currently operating. The Company has contracts securing an aggregate of 160 MW, 10 MW and 24 MW of hydro-electric green energy in Quebec, Paraguay, and Washington, respectively, and up to 210 MW of natural gas energy in Argentina. In addition, Bitfarms Canada owns proprietary software, known as the MGMT System, that is used to control, manage, report and secure mining operations. The MGMT System scans and reports the location, status, computing power and temperature of all Miners at regular intervals to allows the Company to monitor performance and maximize up-time. The MGMT System was substantially upgraded during 2022 and is continually getting updated to enhance its features and improve its functionality. The revised system is referred to as MGMT-2.</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Canada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Bitcoin Blockchain technology was developed around 2009 by a pseudonymous person or organization known as Satoshi Nakamoto. It is often defined as a distributed ledger, or database, with decentralized control. The types of databases that could be implemented using blockchain technology are broad and include, among others, databases similar to a bank ledger that record statements of accounts or transactions, or any other digital record of asset ownership, such as an identity system, land registry or even the rights and obligations defined in a contract. In the traditional centralized ledger models, a master version of such ledgers is controlled by a bank, government or a trusted third party. Disputes are resolved by checking the master version, through a manual and often redundant reconciliation process. In the decentralized blockchain model, a master ledger is not stored in one place or controlled by one entity. Every counterparty on the network receives an identical real-time copy of the ledger; the data in the ledger is tamper-proof using cryptography; new states of the ledger are agreed upon by consensus among all parties.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shared ledger is made tamper-proof using a cryptographic technique called hashing. A hashing algorithm is a mathematical transformation function with two key properties. First, it accepts any alphanumeric dataset as an input and produces a unique 256-bit code as an output. Second, the smallest change in the dataset results in a significant change in the unique code. Any tampering of the dataset can be detected by re-hashing the data and checking for a change in the unique code. Any user that runs the hash algorithm on the same strings will derive the same unique code. Consequently, the data on the distributed ledger can be run through a series of hash algorithms to create a unique code which ensures the entire ledger is immutable. Whenever a new set or block of transactions is added to the ledger, it is appended with the code from the prior state of the ledger before it is hashed. This chain links both states of the ledger by combining them into a single unique code. Tampering of any historical state of the ledger can be automatically detected by the blockchain network. The historical state of the ledger can be changed if control of more than 50% of the network is obtained; however, in the case of widely held cryptocurrencies with non-trivial valuations, it is likely economically prohibitive for any actor or group of actors acting in concert to obtain the requisite control of more than 50% of the network.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Mining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process by which cryptocurrency coins or tokens are created and transactions are verified is called mining. A user or Miner operates a publicly distributed mining client, which turns the user’s computer into a “node” on the network that validates blocks. In order to add blocks to the Bitcoin blockchain, a miner must map an input data set (i.e., the blockchain, plus a block of the most recent transactions and an arbitrary number called a “nonce”) to a desired output data set of a predetermined length using the SHA256 cryptographic hash algorithm. Each unique block can only be solved and added to the blockchain by one miner. As more miners join the network and its processing power increases, the network adjusts the complexity of the block solving equation to maintain a predetermined pace of adding a new block to the blockchain approximately every ten minutes. The prevailing level of complexity in the context of cryptocurrency mining is often referred to as the “difficulty”. See </w:t>
      </w:r>
      <w:r>
        <w:rPr>
          <w:rFonts w:ascii="Times New Roman" w:cs="Times New Roman" w:eastAsia="Times New Roman" w:hAnsi="Times New Roman"/>
          <w:sz w:val="18"/>
          <w:szCs w:val="18"/>
          <w:i w:val="1"/>
          <w:iCs w:val="1"/>
          <w:color w:val="auto"/>
        </w:rPr>
        <w:t>DESCRIPTION OF BUSINESS - Principal Market Overview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Cryptocurrency Network Difficulty and Impact of Increased Global Computing Power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Miner’s proposed block is added to the blockchain once a majority of the nodes on the network confirms the Miner’s work which is targeted to occur every ten minutes. Miners that are successful in adding a block to the blockchain are automatically awarded coins or tokens (referred to as block rewards) for their effort plus any transaction fees paid by transferors whose transactions are recorded in the block. This reward system is the method by which new coins enter into circulation to the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strategy consists of mainly constructing and operating server farms using a geographically diversified portfolio of low-cost energy sources. In support of the strategy, the Company has sourced electrical power from Hydro-Québec, Hydro-Sherbrooke, Hydro-Magog and predominantly power grid operators in Washington state and Paraguay. Power from these sources is derived from clean hydroelectricity as opposed to, for instance, coal-fired or gas-fired plants. Hydro-electric power is generated through exploitation of the natural water cycle, which is renewable, sustainable, and abundant owing to the natural geography of the Province of Québec, Washington State and Paraguay. The Company has also entered into an agreement with a private energy producer to secure exclusive use of up to 210 MW of natural gas-powered electricity in Argentina. As a result of these efforts, the management of the Company has developed a business model utilizing low-cost power capacity and a supply of computer hardware from leading manufacturers.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server farms are operated by the MGMT-2 System, a proprietary software suite comprised of three operating programs that control, manage, report and secure the operation. One program in the suite of software is the central point of the infrastructure, and saves the status of the Company’s Miners into a database at 30 second intervals. A second program in the suite connects directly to the first program to do the scanning of all the Company’s Miners and return the data for analysis and storage. A third program in the suite displays the data retrieved by the other programs in readable and digestible format that assists operators in identifying machines issues. The software is configured to notify operators of profitability conditions, enabling operators to manually optimize margins under different economic conditions through optimizing the hashing performance and energy consumption of the Miners. Additionally, the Company has an automated cooling management system which autonomously controls exhaust fans to maintain the optimal temperature of the Miners at the locations in which they are operated, based on prevailing ambient conditions. See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Hardware and Software.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Rather than selling all Bitcoin mined at then-prevailing market rates, the Company decided to retain Bitcoin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August 2022, attending to market conditions, the Board approved the sale of the Company’s daily Bitcoin production to reduce indebtedness and increase financial flexibility.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Bitfarms Canada has implemented internal controls and custody arrangements to minimize the risk of loss or theft of the retained Bitcoin. The Company retains Coinbase Trust Company LLC as its third-party custodian. Coinbase Trust Company LLC is a US-based fiduciary and qualified custodian under New York Banking Law and is licensed by the State of New York to custody digital assets. See </w:t>
      </w:r>
      <w:r>
        <w:rPr>
          <w:rFonts w:ascii="Times New Roman" w:cs="Times New Roman" w:eastAsia="Times New Roman" w:hAnsi="Times New Roman"/>
          <w:sz w:val="18"/>
          <w:szCs w:val="18"/>
          <w:i w:val="1"/>
          <w:iCs w:val="1"/>
          <w:color w:val="auto"/>
        </w:rPr>
        <w:t>DESCRIPTION OF BUSINESS - Custody of Crypto Assets.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Mining Operations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out summary information regarding the Current Facilities as at March 20, 2023.</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Hash-power per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Primary</w:t>
            </w:r>
          </w:p>
        </w:tc>
      </w:t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(Megawatts)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second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 Information</w:t>
            </w:r>
          </w:p>
        </w:tc>
        <w:tc>
          <w:tcPr>
            <w:tcW w:w="100" w:type="dxa"/>
            <w:vAlign w:val="bottom"/>
          </w:tcPr>
          <w:p>
            <w:pPr>
              <w:spacing w:after="0"/>
              <w:rPr>
                <w:sz w:val="21"/>
                <w:szCs w:val="21"/>
                <w:color w:val="auto"/>
              </w:rPr>
            </w:pP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Energy Source</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Farnham, Québec, Canada</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 Petahash</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Saint-Hyacinthe, Québec, Canada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380 Petahash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Cowansville, Québec, Canada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400 Petahash</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Magog, Québec, Canada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210 Petahash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Bunker, Sherbrooke, Québec,</w:t>
            </w:r>
          </w:p>
        </w:tc>
        <w:tc>
          <w:tcPr>
            <w:tcW w:w="1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1300 Petahash</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Hydroelectric</w:t>
            </w:r>
          </w:p>
        </w:tc>
      </w:tr>
      <w:tr>
        <w:trPr>
          <w:trHeight w:val="23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Leger, Sherbrooke, Quebec, Canada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750 Petahash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Garlock – Sherbrooke, Québec, Canada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410 Petahash</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United States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600 Petahash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&amp; Leased</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Villarrica, Paraguay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290 Petahash</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 Cuarto, Argentina – Warehouse #1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230 Petahash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Natural Gas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Completed Development and Future Growth Plans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described its recently completed and future expansion plans below under the sections, </w:t>
      </w:r>
      <w:r>
        <w:rPr>
          <w:rFonts w:ascii="Times New Roman" w:cs="Times New Roman" w:eastAsia="Times New Roman" w:hAnsi="Times New Roman"/>
          <w:sz w:val="18"/>
          <w:szCs w:val="18"/>
          <w:i w:val="1"/>
          <w:iCs w:val="1"/>
          <w:color w:val="auto"/>
        </w:rPr>
        <w:t>“Sherbrooke Expansion”,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Expansion”, “Paraguay Expansion”,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“Washington Expansion”.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Future Growth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the initiatives. The Company’s future growth plans are reliant on a consistent supply of electricity at cost-effective rates, see the </w:t>
      </w:r>
      <w:r>
        <w:rPr>
          <w:rFonts w:ascii="Times New Roman" w:cs="Times New Roman" w:eastAsia="Times New Roman" w:hAnsi="Times New Roman"/>
          <w:sz w:val="18"/>
          <w:szCs w:val="18"/>
          <w:i w:val="1"/>
          <w:iCs w:val="1"/>
          <w:color w:val="auto"/>
        </w:rPr>
        <w:t>Economic Dependence on Regulated Terms of Service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Electricity Rates Risks </w:t>
      </w:r>
      <w:r>
        <w:rPr>
          <w:rFonts w:ascii="Times New Roman" w:cs="Times New Roman" w:eastAsia="Times New Roman" w:hAnsi="Times New Roman"/>
          <w:sz w:val="18"/>
          <w:szCs w:val="18"/>
          <w:color w:val="auto"/>
        </w:rPr>
        <w:t>of this AIF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Sherbrooke Expansion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8, 2018, the Company announced a 96-megawatt power contract in the municipality of Sherbrooke, Québec, for two new server farm facilities (herein referred to as the “</w:t>
      </w:r>
      <w:r>
        <w:rPr>
          <w:rFonts w:ascii="Times New Roman" w:cs="Times New Roman" w:eastAsia="Times New Roman" w:hAnsi="Times New Roman"/>
          <w:sz w:val="18"/>
          <w:szCs w:val="18"/>
          <w:b w:val="1"/>
          <w:bCs w:val="1"/>
          <w:color w:val="auto"/>
        </w:rPr>
        <w:t>Sherbrooke Expansion</w:t>
      </w:r>
      <w:r>
        <w:rPr>
          <w:rFonts w:ascii="Times New Roman" w:cs="Times New Roman" w:eastAsia="Times New Roman" w:hAnsi="Times New Roman"/>
          <w:sz w:val="18"/>
          <w:szCs w:val="18"/>
          <w:color w:val="auto"/>
        </w:rPr>
        <w:t>”). The facilities in Sherbrooke consisted of a 78,000 sq. foot facility (the “D</w:t>
      </w:r>
      <w:r>
        <w:rPr>
          <w:rFonts w:ascii="Times New Roman" w:cs="Times New Roman" w:eastAsia="Times New Roman" w:hAnsi="Times New Roman"/>
          <w:sz w:val="18"/>
          <w:szCs w:val="18"/>
          <w:b w:val="1"/>
          <w:bCs w:val="1"/>
          <w:color w:val="auto"/>
        </w:rPr>
        <w:t>e la Pointe Property</w:t>
      </w:r>
      <w:r>
        <w:rPr>
          <w:rFonts w:ascii="Times New Roman" w:cs="Times New Roman" w:eastAsia="Times New Roman" w:hAnsi="Times New Roman"/>
          <w:sz w:val="18"/>
          <w:szCs w:val="18"/>
          <w:color w:val="auto"/>
        </w:rPr>
        <w:t>”), and a 36,000 sq. foot facility (“</w:t>
      </w:r>
      <w:r>
        <w:rPr>
          <w:rFonts w:ascii="Times New Roman" w:cs="Times New Roman" w:eastAsia="Times New Roman" w:hAnsi="Times New Roman"/>
          <w:sz w:val="18"/>
          <w:szCs w:val="18"/>
          <w:b w:val="1"/>
          <w:bCs w:val="1"/>
          <w:color w:val="auto"/>
        </w:rPr>
        <w:t>Leger</w:t>
      </w:r>
      <w:r>
        <w:rPr>
          <w:rFonts w:ascii="Times New Roman" w:cs="Times New Roman" w:eastAsia="Times New Roman" w:hAnsi="Times New Roman"/>
          <w:sz w:val="18"/>
          <w:szCs w:val="18"/>
          <w:color w:val="auto"/>
        </w:rPr>
        <w:t>”). On February 11, 2019, the land where Leger was going to be built was sold for CAD$1,750,000 and as part of the agreement reached with the buyer, a real estate developer, the buyer agreed to construct a purpose-built addition to the building for crypto-mining that would be leased to Bitfarms Canada and allow it to realize net savings in its overall future buildout costs for the Sherbrooke Expansion while also providing immediate working capital from the proceeds of the building sale.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 la Pointe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successfully completed Stages 1 and 2 of the Sherbrooke Expansion at the De la Pointe Property representing 30 MW of electrical infrastructure, which was operational from 2019 to 2022. In response to complaints concerning noise at the De la Pointe Property and indications from Sherbrooke municipal officials that they were reviewing applicable regulations, the Company met with community residents and city officials on several occasions during 2020 and 2021. In an effort to address community concerns,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2021, the Company reached an agreement with the City of Sherbrooke to gradually retire the De la Pointe Property. Under the agreement, the Company agreed to reduce its consumption at the De la Pointe Property to 18 MW at the earlier of the completion of 66 MW of new electrical infrastructure elsewhere in the City of Sherbrooke, or May 31, 2022. The Company engaged to entirely relocate its operations from the De la Pointe Property at the earlier of the completion of 80 MW of new electrical infrastructure in the City of Sherbrooke, or February 28, 2023. In addition, the Company retained the option to sell the land and building housing the De la Pointe Property to the City of Sherbrooke for approximately US$2.3 million (CAD$3.0 million). Subject to a first right of refusal, the agreement did not restrict the ability of the Company to sell the building to a third party other than the City of Sherbrooke. In December 2022, the Company finished the decommissioning of the De la Pointe Property and sold the De la Pointe Property to Société de transport de Sherbrooke US$3.6 million in net proceeds.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lease agreement for the purpose of building Leger. Leger, representing 30 MW of capacity, located in an industrial area of the city of Sherbrooke, and including modern and effective sound mitigation mechanisms, was completed in June 2022 and became fully operational in August 2022. Leger accommodates approximately 7,500 new generation Miners and produces 750 PH/s.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Bunker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2021, the Company entered into a lease agreement for the Bunker, an existing building in Sherbrooke capable of housing up to 48 MW of electrical infrastructure, which was completed in three Stages: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one, representing 18 MW, was constructed in a pre-existing building. Internal infrastructure work began in Q4 2021 with the first 12 MW becoming operational in March 2022, and the remaining 6 MW started operating by June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two, representing 18 MW, is in a portion of the building that was originally under construction. Internal infrastructure work began in Q1 2022 and on July 28, 2022, the Company announced that it had completed the second phase of its expansion of the Bunker, providing an additional 18 MW of capacity.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three, representing the remaining 12 MW, is in a portion of the building that was originally under construction. It was completed in November 2022 and fully energized in December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Garlock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acquired an existing building in Sherbrooke (“Garlock”) at a cost of approximately $1.8 million and the issuance of 25,000 common share purchase warrants to the seller. Garlock was completed in two phases and began operations during November and December 2022, representing 18 MW of electrical infrastructure at a cost of $3.4 million, excluding the cost of the property. Garlock, combined with the Bunker, replaced the De la Pointe Property and, along with Leger, fully utilizes the Company’s power contracts totaling 96 MW in the municipality, in accordance with the Company’s agreement with the City of Sherbrooke reached in September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employed 77 team members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Argentina Expansion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2021, the Company entered into an eight-year power purchase agreement for up to 210 MW with a private Argentinian power producer in the city of Rio Cuarto, Province of Cordoba (the “</w:t>
      </w:r>
      <w:r>
        <w:rPr>
          <w:rFonts w:ascii="Times New Roman" w:cs="Times New Roman" w:eastAsia="Times New Roman" w:hAnsi="Times New Roman"/>
          <w:sz w:val="18"/>
          <w:szCs w:val="18"/>
          <w:b w:val="1"/>
          <w:bCs w:val="1"/>
          <w:color w:val="auto"/>
        </w:rPr>
        <w:t>Power Producer</w:t>
      </w:r>
      <w:r>
        <w:rPr>
          <w:rFonts w:ascii="Times New Roman" w:cs="Times New Roman" w:eastAsia="Times New Roman" w:hAnsi="Times New Roman"/>
          <w:sz w:val="18"/>
          <w:szCs w:val="18"/>
          <w:color w:val="auto"/>
        </w:rPr>
        <w:t xml:space="preserve">”), with an electricity cost of US$0.022 per kilowatt-hour for the first four years, up to a maximum amount of 1,103,760 megawatt hours per year (on a pro-rata basis for a consumption of 210 MW), and is subject to certain adjustments, variable pricing components and consumption limitations. The pricing on the remaining four years of the eight-year energy contract will be determined by a formula that is largely dependent on natural gas prices. The agreement also allows for the Power Producer to renegotiate the rate if the ratio of the exchange rate under the blue-chip mechanism used in Argentina to the official exchange rate is less than 1.50. For further details, refer to </w:t>
      </w:r>
      <w:r>
        <w:rPr>
          <w:rFonts w:ascii="Times New Roman" w:cs="Times New Roman" w:eastAsia="Times New Roman" w:hAnsi="Times New Roman"/>
          <w:sz w:val="18"/>
          <w:szCs w:val="18"/>
          <w:i w:val="1"/>
          <w:iCs w:val="1"/>
          <w:color w:val="auto"/>
        </w:rPr>
        <w:t>DESCRIPTION OF BUSINESS</w:t>
      </w:r>
    </w:p>
    <w:p>
      <w:pPr>
        <w:spacing w:after="0" w:line="5" w:lineRule="exact"/>
        <w:rPr>
          <w:sz w:val="20"/>
          <w:szCs w:val="20"/>
          <w:color w:val="auto"/>
        </w:rPr>
      </w:pPr>
    </w:p>
    <w:p>
      <w:pPr>
        <w:ind w:right="20" w:firstLine="8"/>
        <w:spacing w:after="0" w:line="260" w:lineRule="auto"/>
        <w:tabs>
          <w:tab w:leader="none" w:pos="1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Supply of Electrical Power, Electricity Rates, Terms of Service and the Régie de l’Énergie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 - Economic Dependence on Regulated Terms of Service and Electricity Rates Risks.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an eight-year lease agreement, comprising annual payments of approximately $0.1 million, with the Power Producer to lease land within the Power Producer’s property for the mining facility’s construction and operation in the Province of Cordoba, Argentina (the “</w:t>
      </w:r>
      <w:r>
        <w:rPr>
          <w:rFonts w:ascii="Times New Roman" w:cs="Times New Roman" w:eastAsia="Times New Roman" w:hAnsi="Times New Roman"/>
          <w:sz w:val="18"/>
          <w:szCs w:val="18"/>
          <w:b w:val="1"/>
          <w:bCs w:val="1"/>
          <w:color w:val="auto"/>
        </w:rPr>
        <w:t>Rio Cuarto Facility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contract with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Pursuant to an agreement signed with LPZ Hosting S.A.S (“</w:t>
      </w:r>
      <w:r>
        <w:rPr>
          <w:rFonts w:ascii="Times New Roman" w:cs="Times New Roman" w:eastAsia="Times New Roman" w:hAnsi="Times New Roman"/>
          <w:sz w:val="18"/>
          <w:szCs w:val="18"/>
          <w:b w:val="1"/>
          <w:bCs w:val="1"/>
          <w:color w:val="auto"/>
        </w:rPr>
        <w:t>LPZ</w:t>
      </w:r>
      <w:r>
        <w:rPr>
          <w:rFonts w:ascii="Times New Roman" w:cs="Times New Roman" w:eastAsia="Times New Roman" w:hAnsi="Times New Roman"/>
          <w:sz w:val="18"/>
          <w:szCs w:val="18"/>
          <w:color w:val="auto"/>
        </w:rPr>
        <w:t>”), LPZ is responsible for the detail engineering, purchasing management and execution of louvers, sound and noise system, electric installation, data network installation, air conditioning system, air extraction and filter systems, racks, closed-circuit television “(CCTV)”, fire detection and extinguisher system as well as installation of all low voltage works. Ingenia Grupo Consultor and Gieco S.A. (“</w:t>
      </w:r>
      <w:r>
        <w:rPr>
          <w:rFonts w:ascii="Times New Roman" w:cs="Times New Roman" w:eastAsia="Times New Roman" w:hAnsi="Times New Roman"/>
          <w:sz w:val="18"/>
          <w:szCs w:val="18"/>
          <w:b w:val="1"/>
          <w:bCs w:val="1"/>
          <w:color w:val="auto"/>
        </w:rPr>
        <w:t>Ingenia</w:t>
      </w:r>
      <w:r>
        <w:rPr>
          <w:rFonts w:ascii="Times New Roman" w:cs="Times New Roman" w:eastAsia="Times New Roman" w:hAnsi="Times New Roman"/>
          <w:sz w:val="18"/>
          <w:szCs w:val="18"/>
          <w:color w:val="auto"/>
        </w:rPr>
        <w:t>”) were retained as a consortium group responsible for the construction of provisional high voltage powerline and transformer station as well as the expansion of the 132 KW public bars of the power plant. Ingenia, under the supervision of LPZ, was also selected to carry out electrical data and CCTV assembly work for the first warehouse. The Company has also engaged Dreicon S.A. as an independent engineering firm to oversee construction, quality control and project milestones for the Company’s projected buildout schedule.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Rio Cuarto Facility, if fully developed, is expected to be built as four separate warehouse style buildings with a capacity to accommodate over 55,000 new generation Miners and be capable of producing approximately 5.5. EH/s. The first warehouse, which was included in the capacity needed to reach the corporate 5.0 EH/s target for 2022, represents approximately 50 MW of incremental infrastructure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19, 2022, the Company announced it has initiated production in the first 10 MW module of the First Warehouse at the Rio Cuarto Facility, increasing the total number of farms operated by the Company to ten, and the total operational hashrate to 4.1 EH/s.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2022, the Company reported that Argentina was wrestling with high inflation, currency devaluation and a significant debt burden. To alleviate concerns about a drain on the Argentina Central Bank’s foreign currency reserves, trade approval for the importation of most goods, including Mining and IT equipment, had been imposed in the Country, adversely affecting the Company’s ability to import in Argentina the additional Miners needed to operate the first warehouse at its full capacity of 50 MW. Additionally, it was also announced that the Power Producer was awaiting approval of its final operation permit. In the meantime, the Rio Cuarto Facility is drawing power during the start-up and commissioning phase from the provincial electrical utility at a higher cost than the expected contracted cost of power under the agreement with the Power Producer. The adverse impact of recent geopolitical events on natural gas prices, as well as new importation restrictions, as detailed below, are leading the Company to revise the timing to fully utilize the infrastructure built in the first 50 MW warehouse and to reassess the timing of its build-out and deployment of further production facilities at the Rio Cuarto location.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planned to deploy a significant portion of its order of 48,000 Miners at this facility, with pending deliveries currently expected to arrive during the first six months of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2023, the Company announced that it had completed construction of the first 50-MW warehouse in the Rio Cuarto Facility and is expected to be fully commissioned during the first six months of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Management approved a temporary cessation of the development of the second warehouse until the power permit is obtained, the importation limitations are resolved, and natural gas prices stabilize at an acceptable level. In light of these circumstances, the Company is not in a position to determine when or if construction of warehouse 2 will resume and construction of warehouses 3 and 4 will commence.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has placed deposits of $8.8 million and $4.3 million with suppliers for existing and additional construction costs and for Blockchain Verification and Validation Equipment and electrical components, respectively. The Company has also acquired $51.6 million of property, plant and equipment, incurred 0.3 million of expenditures relating to design and feasibility studies and recorded cumulative gains on disposition of marketable securities of $57.8 million associated with the mechanism to convert funds into Argentine Pesos for disbursements.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employed 31 team members in Argentina.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Paraguay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an annually renewable 10 MW power purchase agreement with the city of Villarrica electricity distribution company,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at an effective electricity cost of $0.036 per kilowatt hour. The Company also entered into a five-year lease agreement with a third party, consisting of monthly payments of $20,000, beginning August 1, 2021, to lease land where the Villarrica Facility was constructed. The construction of the facility, at a cost of $1.1 million, was completed in December 2021.</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In January 2022 2,900 of the Company’s older generation Miners were installed at the Villarrica Facility, capable of producing approximately 125 PH/s.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Paraguayan Congress approved a bill regulating the mining, trading, intermediation, exchange, transfer, custody and administration of crypto-assets and instruments that would allow control of crypto-assets. The proposed legislation aimed to create an attractive regulatory environment within the country through the establishment of a straightforward licensing regime that clearly establishes the requirements to operate crypto-assets activities in the Country. Approved by both chambers, the law has been submitted to the executive branch, where the President has the power to approve or veto it. On August 30, 2022, the law was vetoed by the President and was returned to the congress to be discussed again. It is unknown if a new law will be approved and when. The absence of specific law regarding crypto assets has not impacted the Company’s current operations in the country.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2022, the executive branch issued decree No. 7824/22 by which the National Electricity Administration (“</w:t>
      </w:r>
      <w:r>
        <w:rPr>
          <w:rFonts w:ascii="Times New Roman" w:cs="Times New Roman" w:eastAsia="Times New Roman" w:hAnsi="Times New Roman"/>
          <w:sz w:val="18"/>
          <w:szCs w:val="18"/>
          <w:b w:val="1"/>
          <w:bCs w:val="1"/>
          <w:color w:val="auto"/>
        </w:rPr>
        <w:t>ANDE</w:t>
      </w:r>
      <w:r>
        <w:rPr>
          <w:rFonts w:ascii="Times New Roman" w:cs="Times New Roman" w:eastAsia="Times New Roman" w:hAnsi="Times New Roman"/>
          <w:sz w:val="18"/>
          <w:szCs w:val="18"/>
          <w:color w:val="auto"/>
        </w:rPr>
        <w:t>”) was requested to adopt complementary and temporary regulatory measures to adjust the variables corresponding to the electricity rates aimed at special intensive consumption sectors. In this context, ANDE, through resolution No. 7824/22, dated October 4, 2022, created the Special Intensive Consumption Group, which includes supplies at very high voltage (220 kV), high voltage (66 kV), medium voltage (23 kV) at the substation and at the line, and set up the tariffs until December 2027. This Special Intensive Consumption group applies, among others, to crypto asset mining activities. While the new ANDE tariffs have no impact in our current activities in Paraguay as our contract is with the local supplier CLYFSA as detailed above, the impact, if any, on the Company’s future operations cannot be determined at this time.</w:t>
      </w:r>
    </w:p>
    <w:p>
      <w:pPr>
        <w:spacing w:after="0" w:line="18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During December 2022, ANDE, as part of a local development plan, installed a new transformer in the city of Villarrica which is expected to be operational in the first half of 2023. The new transformer will help ensure fewer energy curtailments to the Company’s facility as well as to nearby residents.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all of the older generation miners in the Villarrica Facility were replaced with approximately 2,900 new M30S WhatsMiner Miners generating approximately 290 PH/s, a 165 PH/s increase compared to the hashrate that was being produced by the older generation Miners. The Company has reached an agreement to sell the older generation Miners to a third party for approximately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facility in Washington State, consisting of 12 MW of hydro-electric power purchase agreements, an additional 9 MW of in-process applications for expanded power-purchase agreements, transformers with 17 MW of capacity, land, buildings, electrical distribution equipment and a below market lease for a 5 MW facility, expiring on November 8, 2022. In October 2022, the Company renewed the lease for a period of 23 months with similar terms.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consideration of the purchase of the Washington State facility, the Company transferred approximately $23.0 million in cash and 414,508 common shares with a value of $3.7 million on the closing date, being November 9, 2021. The net identifiable assets acquired include: electrical distribution equipment valued at $6.0 million, buildings valued at $0.7 million, land valued at $0.1 million and a favourable lease valued at $2.0 million. The acquisition resulted in the Company recording goodwill of $17.9 million, which was determined as of June 30, 2022 to be fully impaired as a result of the decrease in the price of BTC.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28, 2022, the Company announced the addition of 3 MW of low-cost hydropower that went online at the Washington State facility. The added 3 MW facility brought the total production from the Washington State farms to 20 MW. The Company is currently operating the majority of its Antminer S19j Pro Miners generating approximately 600 PH/s in this facility. The Company’s power supplier has provided preliminary indication that the first 6 MW of in-process applications are expected to be energized in the first half of 2023, while another 3 MW of in-process applications are estimated to be energized in the next five (5) years due to transmission being at capacity in relation to the nearby substation.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employed 16 team members in the United States of America.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Estimates in this section are based on, among other factors, the estimated size of facilities, the planned capital expenditures associated with the project, the number of Miners which may be configured within the facility, and prevailing economic circumstances and currency exchange rates. In the event that the assumptions used to project the impact of new server farms, including the still pending Company’s expansion plans described above, prove to be inaccurate or incorrect, there can be no guarantee that the new servers will increase the Company’s computing power as projected. Among other factors, there can be no guarantee that the Company will be able to obtain a continued supply of electricity to power its new facilities at commercially attractive rates.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Economic Dependence on Regulated Terms of Service and Electricity Rates Risks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there can be no assurance that the Company’s facilities can be operated on a profitable basis. The foregoing information is forward-looking information for the purposes of applicable securities laws in Canada and readers are cautioned that actual results may vary from those described. See </w:t>
      </w:r>
      <w:r>
        <w:rPr>
          <w:rFonts w:ascii="Times New Roman" w:cs="Times New Roman" w:eastAsia="Times New Roman" w:hAnsi="Times New Roman"/>
          <w:sz w:val="18"/>
          <w:szCs w:val="18"/>
          <w:i w:val="1"/>
          <w:iCs w:val="1"/>
          <w:color w:val="auto"/>
        </w:rPr>
        <w:t xml:space="preserve">STATEMENT REGARDING FORWARD-LOOKING 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first two years of operation, the Company was principally self-funded by the free cash flow generated from the sale of cryptographic currencies it mined combined with the proceeds of long-term financing to acquire new equipment and preserve an adequate working capital position. In 2021, the Company began to raise capital through the issuance of common shares and warrants concurrent with the initiation of its Bitcoin asset management program. To fund its growth objectives and preserve an adequate working capital position, the Company may liquidate its cryptocurrency holdings and secure long-term financing through the issuance of equity and through new debt facilities.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12, 2020, the Company entered into an agreement with Dominion to effect the Tranche #2 Restructuring and Tranche #3 Restructuring. See </w:t>
      </w:r>
      <w:r>
        <w:rPr>
          <w:rFonts w:ascii="Times New Roman" w:cs="Times New Roman" w:eastAsia="Times New Roman" w:hAnsi="Times New Roman"/>
          <w:sz w:val="18"/>
          <w:szCs w:val="18"/>
          <w:i w:val="1"/>
          <w:iCs w:val="1"/>
          <w:color w:val="auto"/>
        </w:rPr>
        <w:t>GENERAL DEVELOPMENT OF THE BUSINESS - Three-year History - Fiscal 2020 - Debt Financing</w:t>
      </w:r>
      <w:r>
        <w:rPr>
          <w:rFonts w:ascii="Times New Roman" w:cs="Times New Roman" w:eastAsia="Times New Roman" w:hAnsi="Times New Roman"/>
          <w:sz w:val="18"/>
          <w:szCs w:val="18"/>
          <w:color w:val="auto"/>
        </w:rPr>
        <w:t>. On January 11, 2021, the Company received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Dominion of its election to convert $5 million, the principal amount of the third loan tranche, into equity. The conversion to equity took place in January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aggregate of 6,666,668 Lender Warrants have been issued for the loan agreements that have been drawn down pursuant to the Dominion Facility. As of the date of February 2021, the Dominion Facility has been repaid in its entirety and all Lender Warrants have been exercised.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the Dominion Facility were used to complete the buildout of infrastructure for the De la Pointe Property of the Sherbrooke Expansion and make purchases of new Miners for the De la Pointe Property and for the other existing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7, 2021, the Company closed the January 7, 2021 Offering for gross proceeds of approximately CAD$20.0 million, composed of the sale of 8,888,889 Common Shares along with warrants to purchase an aggregate of up to 8,888,889 Common Shares at a purchase price of CAD$2.25 per Common Share and associated warrant. See </w:t>
      </w:r>
      <w:r>
        <w:rPr>
          <w:rFonts w:ascii="Times New Roman" w:cs="Times New Roman" w:eastAsia="Times New Roman" w:hAnsi="Times New Roman"/>
          <w:sz w:val="18"/>
          <w:szCs w:val="18"/>
          <w:i w:val="1"/>
          <w:iCs w:val="1"/>
          <w:color w:val="auto"/>
        </w:rPr>
        <w:t>GENERAL DEVELOPMENT OF THE BUSINESS - Three-year History - Fiscal 2021 – Private Placements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On January 13, 2021, the Company closed the January 13, 2021 Offering for gross proceeds of approximately CAD$20.0 million, composed of the sale of 5,586,593 Common Shares along with warrants to purchase an aggregate of up to 5,586,593 Common Shares at a purchase price of CAD$3.58 per Common Share and associated warrant. See </w:t>
      </w:r>
      <w:r>
        <w:rPr>
          <w:rFonts w:ascii="Times New Roman" w:cs="Times New Roman" w:eastAsia="Times New Roman" w:hAnsi="Times New Roman"/>
          <w:sz w:val="18"/>
          <w:szCs w:val="18"/>
          <w:i w:val="1"/>
          <w:iCs w:val="1"/>
          <w:color w:val="auto"/>
        </w:rPr>
        <w:t>GENERAL DEVELOPMENT OF THE BUSINESS - Three-year History - Fiscal 2021 – Private Placements.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2021, the Company closed the February 2021 Offering for gross proceeds of approximately CAD$40.0 million, composed of the sale of 11,560,695 Common Shares along with warrants to purchase an aggregate of up to 11,560,695 common shares at a purchase price of CAD$3.46 per common share and associated warrant. See </w:t>
      </w:r>
      <w:r>
        <w:rPr>
          <w:rFonts w:ascii="Times New Roman" w:cs="Times New Roman" w:eastAsia="Times New Roman" w:hAnsi="Times New Roman"/>
          <w:sz w:val="18"/>
          <w:szCs w:val="18"/>
          <w:i w:val="1"/>
          <w:iCs w:val="1"/>
          <w:color w:val="auto"/>
        </w:rPr>
        <w:t>GENERAL DEVELOPMENT OF THE BUSINESS - Three-year History - Fiscal 2021 – Private Placements.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20, 2021, the Company completed the May 2021 Offering with gross proceeds of approximately CAD$75.0 million, composed of the sale of 14,150,94 Common Shares along with warrants to purchase an aggregate of up to 10,613,208 common shares at a purchase price of CAD$5.30 per common share and associated warrant. See </w:t>
      </w:r>
      <w:r>
        <w:rPr>
          <w:rFonts w:ascii="Times New Roman" w:cs="Times New Roman" w:eastAsia="Times New Roman" w:hAnsi="Times New Roman"/>
          <w:sz w:val="18"/>
          <w:szCs w:val="18"/>
          <w:i w:val="1"/>
          <w:iCs w:val="1"/>
          <w:color w:val="auto"/>
        </w:rPr>
        <w:t>GENERAL DEVELOPMENT OF THE BUSINESS - Three-year History - Fiscal 2021 – Private Placements.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 December 30, 2021, the Company secured the December 2021 Loan Facility and made the Initial Draw of US$60 million. See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THE BUSINESS - Three-year History - Fiscal 2021 – Private Placements.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2021, the Company filed the August SFBS Prospectus. On August 16, 2021, the Company filed a prospectus supplement to the August SFBS Prospectus qualifying for the distribution of up to US$500 million Common Shares pursuant to the ATM Agreement. Since the ATM program commenced, the Company has issued 53,247,000 common shares for net proceeds of $199.7 million as of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24, 2022, the Company secured the February 2022 BlockFi Loan Facility. On February 24, 2022, the Company has drawn $32.0 million from the February 2022 BlockFi Loan Facility. As of March 20, 2023, the Company negotiated a settlement of its February 2022 BlockFi Loan Facility with an outstanding debt balance of $20.3 million for a payment of $7.8 million in cash. See </w:t>
      </w:r>
      <w:r>
        <w:rPr>
          <w:rFonts w:ascii="Times New Roman" w:cs="Times New Roman" w:eastAsia="Times New Roman" w:hAnsi="Times New Roman"/>
          <w:sz w:val="18"/>
          <w:szCs w:val="18"/>
          <w:i w:val="1"/>
          <w:iCs w:val="1"/>
          <w:color w:val="auto"/>
        </w:rPr>
        <w:t>GENERAL DEVELOPMENT OF THE BUSINESS - Three-year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 Fiscal 2022 - Debt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2022, the Company made an additional draw of US$40 million from its US$100 million credit facility with Galaxy Digital LLC, originally announced on December 31,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17, 2022, the Company entered into the June 2022 NYDIG Financing for initial funding of US$37 million at an interest rate of 12% per annum with NYDIG. The June 2022 NYDIG Financing is collateralized by the miners at Leger and the Bunker, funded as the assets are installed and become operational. See </w:t>
      </w:r>
      <w:r>
        <w:rPr>
          <w:rFonts w:ascii="Times New Roman" w:cs="Times New Roman" w:eastAsia="Times New Roman" w:hAnsi="Times New Roman"/>
          <w:sz w:val="18"/>
          <w:szCs w:val="18"/>
          <w:i w:val="1"/>
          <w:iCs w:val="1"/>
          <w:color w:val="auto"/>
        </w:rPr>
        <w:t>GENERAL DEVELOPMENT OF THE BUSINESS – Three-year History – Fiscal 2022 - Debt Financing.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17, 2022, the Company announced that it reduced the December 2021 Debt Facility from US$100 million to US$66 million, funded through the sale of 1,500 bitcoin. The December 2021 Debt Facility expired on June 30, 2022, and the reduction freed up bitcoin that would otherwise have been used to collateralize the facility. See </w:t>
      </w:r>
      <w:r>
        <w:rPr>
          <w:rFonts w:ascii="Times New Roman" w:cs="Times New Roman" w:eastAsia="Times New Roman" w:hAnsi="Times New Roman"/>
          <w:sz w:val="18"/>
          <w:szCs w:val="18"/>
          <w:i w:val="1"/>
          <w:iCs w:val="1"/>
          <w:color w:val="auto"/>
        </w:rPr>
        <w:t>GENERAL DEVELOPMENT OF THE BUSINESS - Three-year History - Fiscal 202 - Debt Financing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On June 21, 2022, the Company announced that it had adjusted its Digital Asset Management Program in order to improve liquidity and strengthen its balance sheet. In the week of June 21, 2022, the Company sold a total of 3,000 bitcoin for approximately US$62 million and closed the June 2022 NYDIG Financing (as defined below). The Company also applied a portion of the proceeds to rebalance indebtedness by reducing the December 2021 Debt Facility.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2022, the Company amended its December 2021 Debt Facility and extended its maturity date from October 1, 2022, to December 29, 2022 and reduced the collateral requirement from 143% to 135%, for a maximum of US$40 million at an interest rate of 11.25%. The December 2021 Debt Facility was fully repaid in December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13, 2023, the Company announced that it was working to modify and reduce indebtedness at its wholly owned subsidiary, Backbone Mining Solutions, Inc.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which had entered into the February 2022 BlockFi Loan Facility. In connection with this, the Company announced it had taken certain actions, including not making installment payments. This constituted a default under the February 2022 BlockFi Loan Facility and entitled the lender to exercise various rights and remedies against BMS and in respect of the collateral. On February 9, 2023, the Company announced that BMS has reached an agreement with the lender to retire the February 2022 BlockFi Loan Facility in its entirety and discharge BMS of all further obligations for consideration of $7.8 million in cash. Upon settlement, all BMS’s assets, including 6,100 miners, are unencumbered.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twelve-month period ending December 31, 2020, Bitfarms Canada generated revenues of $34.7 million from the mining of cryptocurrencies, the provision of electrical services and the hosting of third-party mining hardware and did not hold any cryptocurrency as at December 31,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twelve-month period ending December 31, 2021, Bitfarms Canada generated revenues of $169.5 million from the mining of cryptocurrencies, the provision of electrical services and the hosting of third-party mining hardware and held approximately $152.9 million worth of Bitcoin as at December 31, 2021, based on the prevailing market price of Bitcoin of $46,300 as at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twelve-month period ending December 31, 2022, Bitfarms Canada generated revenues of $142.4 million from the mining of cryptocurrencies, the provision of electrical services and held approximately $6.7 million worth of Bitcoin as at December 31, 2022, based on the prevailing market price of Bitcoin of $16,500 as at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the service of validating and verifying transactions on the blockchain for Bitcoin, generating cryptocurrency and transaction fees through the Mining process, as well as provision of electrical services through Volta.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Specialized Skill and Knowledge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Nicolas Bonta, Emiliano J. Grodzki, Ben Gagnon and Benoit Gobeil have been engaged in both small and commercial-scale cryptocurrency mining for several years. See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cryptocurrency mining industry is highly competitive. There are several publicly trading companies that mine cryptocurrency including Hut 8 Mining Corp. (TSX: HUT and Nasdaq: HUT), Hive Blockchain Technologies Ltd. (TSXV and NASDAQ: HIVE), Digihost Technology Inc. (TSXV: DGHI), Core Scientific Inc. (Formerly NASDAQ: CORZ); Riot Platforms, Inc. (NASDAQ: RIOT), Marathon Digital Holdings Inc (NASDAQ: MARA), Iris Energy Ltd. (NASDAQ: IREN), and CleanSpark Inc. (NASDAQ: CLSK). In addition, many other private companies are active in the industry.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difficult to obtain an accurate estimate of market share. As at March 20, 2023, the hashrate capacity of the Company’s installed facilities represented an estimated 1.5% of the entire Bitcoin network hash-rate, being approximately 320 Exahash. Estimates of the Bitcoin network hash-rate can be retrieved at www.blockchain.com/en/charts/hash-rate. According to internal estimates, management believes that its facilities collectively rank as one of the largest and most cost-effective public cryptocurrency mining operations in North America by installed energy and hash power.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and Software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main components of the Company’s cryptocurrency mining operation are specialized computers, frequently referred to as ASIC Miners, that consist of ASIC chips, a power supply unit (“PSU”), network components, security components, electronic components, cooling components and other ancillary hardware. The hardware is composed primarily of: (i) WhatsMiner M30S, M31s and M31s+ and Bitmain S19js miners, which currently comprise most of the Company’s mining power; and (ii) peripheral computer hardware required to operate the Miners. As at December 31, 2022, the Company owned and operated approximately 51,000 ASIC Miners. The majority of the Company’s currently operating ASIC Miners and those recently secured by purchase order in connection with the expansion plans are primarily manufactured by MicroBT and Bitmain Technologies Inc., each leading suppliers of ASIC Miners for the blockchain and Mining industry. The Miners are typically purchased directly from the manufacturer; however, during periods of elevated demand and pricing conditions, the Company has made purchases through secondary suppliers on occasion. Software is used to control and to provide management, reporting and security of cryptographic coin mining systems. The Company’s software suite consists of three operating programs: (i) a software program that provides a real-time status report and reports problems in near-real time; (ii) a web interface, management software program that displays various events and alerts by sending short message service (“SMS”) messages or other alert methods; and, (iii) a software program that enables management and supervision of the cooling equipment (efficient cooling is an essential condition for the operation of the server farm). The software can be scaled to manage an unlimited number of ASIC components and sites. The software is regularly updated by the Company to incorporate new or upgraded features.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of Crypto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crypto assets, currently Bitcoin, is mined to multi-signature wallets that the Company controls. On a regular basis, the Company transfers Bitcoin from its multi-signature wallets to an external third-party custodian, Coinbase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Advisers Act of 1940, as amended.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20, 2023, the Company has accumulated 385 BTC, net of BTC sales, valued at $10.7 million on its balance sheet. As of the date of this MD&amp;A, 99% of the Company’s BTC are held in custody with Coinbase Custody or held as collateral within Coinbase Custody by NYDIG, the counterparty to the Company’s equipment financing.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however, the Company cannot ensure that the limits of this policy would be available to the Company or, if available, sufficient to make the Company whole for any BTC that are lost or stolen. The Company is unaware of:</w:t>
      </w:r>
    </w:p>
    <w:p>
      <w:pPr>
        <w:jc w:val="both"/>
        <w:ind w:firstLine="8"/>
        <w:spacing w:after="0" w:line="251" w:lineRule="auto"/>
        <w:tabs>
          <w:tab w:leader="none" w:pos="2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Custody may not be recoverable in the event of bankruptcy by Coinbase Custody or its affiliates. In its annual report, on Form 10-K, filed with the U.S. Securities Exchange Commission on February 21, 2023, Coinbase Custody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Regardless of efforts made by the Company to securely store and safeguard assets, there can be no assurance that crypto assets will not be defalcated through hacking or other forms of theft. See </w:t>
      </w:r>
      <w:r>
        <w:rPr>
          <w:rFonts w:ascii="Times New Roman" w:cs="Times New Roman" w:eastAsia="Times New Roman" w:hAnsi="Times New Roman"/>
          <w:sz w:val="18"/>
          <w:szCs w:val="18"/>
          <w:i w:val="1"/>
          <w:iCs w:val="1"/>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invests in improvements to its proprietary software. The source code used to operate the farms is owned by the Company and is in its possession and held in a private account. No patents have been registered on the software and no applications have been made to register or otherwise protect copyrights in the software or its components. The Company also recognized goodwill and a favourable lease term in connection with the acquisition of its facility in Washington state.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Supply of Electrical Power, Electricity Rates, Terms of Service and the Régie de l’Énergie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Province of Quebec</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for certain of the Company’s facilities, and from Hydro-Magog and Hydro-Sherbrooke for the Magog server farm (one of the Current Facilities) and the Sherbrooke Expansion, respectively. The power agreements are renewable on a year-to-year basis. Subject to compliance with conditions of service, the agreements are renewed automatically. Modifications to the rates are set out pursuant to the</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i w:val="1"/>
          <w:iCs w:val="1"/>
          <w:color w:val="auto"/>
        </w:rPr>
        <w:t xml:space="preserve">Hydro-Quebec Act </w:t>
      </w:r>
      <w:r>
        <w:rPr>
          <w:rFonts w:ascii="Times New Roman" w:cs="Times New Roman" w:eastAsia="Times New Roman" w:hAnsi="Times New Roman"/>
          <w:sz w:val="18"/>
          <w:szCs w:val="18"/>
          <w:color w:val="auto"/>
        </w:rPr>
        <w:t>by operation of law on April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by a rate corresponding to the annual change in the overall average Québec consumer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on a tariff class basis such that any adjustment would apply equally to all CB tariff users, M tariff users or LG tariff users regardless of end use.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Hydro-Quebec shall apply to the Régie de l’Énergie (the “</w:t>
      </w:r>
      <w:r>
        <w:rPr>
          <w:rFonts w:ascii="Times New Roman" w:cs="Times New Roman" w:eastAsia="Times New Roman" w:hAnsi="Times New Roman"/>
          <w:sz w:val="18"/>
          <w:szCs w:val="18"/>
          <w:b w:val="1"/>
          <w:bCs w:val="1"/>
          <w:i w:val="1"/>
          <w:iCs w:val="1"/>
          <w:color w:val="auto"/>
        </w:rPr>
        <w:t>Régie</w:t>
      </w:r>
      <w:r>
        <w:rPr>
          <w:rFonts w:ascii="Times New Roman" w:cs="Times New Roman" w:eastAsia="Times New Roman" w:hAnsi="Times New Roman"/>
          <w:sz w:val="18"/>
          <w:szCs w:val="18"/>
          <w:color w:val="auto"/>
        </w:rPr>
        <w:t xml:space="preserve">”) to request it to fix rates or modify the rates set out in the </w:t>
      </w:r>
      <w:r>
        <w:rPr>
          <w:rFonts w:ascii="Times New Roman" w:cs="Times New Roman" w:eastAsia="Times New Roman" w:hAnsi="Times New Roman"/>
          <w:sz w:val="18"/>
          <w:szCs w:val="18"/>
          <w:i w:val="1"/>
          <w:iCs w:val="1"/>
          <w:color w:val="auto"/>
        </w:rPr>
        <w:t>Hydro-Québec Act</w:t>
      </w:r>
      <w:r>
        <w:rPr>
          <w:rFonts w:ascii="Times New Roman" w:cs="Times New Roman" w:eastAsia="Times New Roman" w:hAnsi="Times New Roman"/>
          <w:sz w:val="18"/>
          <w:szCs w:val="18"/>
          <w:color w:val="auto"/>
        </w:rPr>
        <w:t xml:space="preserve"> on April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2025 and subsequently every five years. See </w:t>
      </w:r>
      <w:r>
        <w:rPr>
          <w:rFonts w:ascii="Times New Roman" w:cs="Times New Roman" w:eastAsia="Times New Roman" w:hAnsi="Times New Roman"/>
          <w:sz w:val="18"/>
          <w:szCs w:val="18"/>
          <w:i w:val="1"/>
          <w:iCs w:val="1"/>
          <w:color w:val="auto"/>
        </w:rPr>
        <w:t>RISK FACTORS - Economic Dependence on Regulated Terms of Service and Electricity Rates Risks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MATERIAL CONTRACTS.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w:t>
      </w:r>
      <w:r>
        <w:rPr>
          <w:rFonts w:ascii="Times New Roman" w:cs="Times New Roman" w:eastAsia="Times New Roman" w:hAnsi="Times New Roman"/>
          <w:sz w:val="18"/>
          <w:szCs w:val="18"/>
          <w:i w:val="1"/>
          <w:iCs w:val="1"/>
          <w:color w:val="auto"/>
        </w:rPr>
        <w:t>Régie</w:t>
      </w:r>
      <w:r>
        <w:rPr>
          <w:rFonts w:ascii="Times New Roman" w:cs="Times New Roman" w:eastAsia="Times New Roman" w:hAnsi="Times New Roman"/>
          <w:sz w:val="18"/>
          <w:szCs w:val="18"/>
          <w:color w:val="auto"/>
        </w:rPr>
        <w:t xml:space="preserv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Electricity supplied by Hydro-Sherbrooke and Hydro-Magog (the “</w:t>
      </w:r>
      <w:r>
        <w:rPr>
          <w:rFonts w:ascii="Times New Roman" w:cs="Times New Roman" w:eastAsia="Times New Roman" w:hAnsi="Times New Roman"/>
          <w:sz w:val="18"/>
          <w:szCs w:val="18"/>
          <w:b w:val="1"/>
          <w:bCs w:val="1"/>
          <w:color w:val="auto"/>
        </w:rPr>
        <w:t>Municipal Electrical Networks</w:t>
      </w:r>
      <w:r>
        <w:rPr>
          <w:rFonts w:ascii="Times New Roman" w:cs="Times New Roman" w:eastAsia="Times New Roman" w:hAnsi="Times New Roman"/>
          <w:sz w:val="18"/>
          <w:szCs w:val="18"/>
          <w:color w:val="auto"/>
        </w:rPr>
        <w:t>”) is predominantly sourced from Hydro-Québec and provided to the Municipal Electrical Networks at a price set as described above. The Municipal Electrical Networks in turn supply their customers at prices which they may set. In an effort to encourage investment and development in particular regions, both Hydro-Québec and the Municipal Electrical Networks may offer a discretionary preferential rate (“</w:t>
      </w:r>
      <w:r>
        <w:rPr>
          <w:rFonts w:ascii="Times New Roman" w:cs="Times New Roman" w:eastAsia="Times New Roman" w:hAnsi="Times New Roman"/>
          <w:sz w:val="18"/>
          <w:szCs w:val="18"/>
          <w:b w:val="1"/>
          <w:bCs w:val="1"/>
          <w:color w:val="auto"/>
        </w:rPr>
        <w:t>Preferential Rate</w:t>
      </w:r>
      <w:r>
        <w:rPr>
          <w:rFonts w:ascii="Times New Roman" w:cs="Times New Roman" w:eastAsia="Times New Roman" w:hAnsi="Times New Roman"/>
          <w:sz w:val="18"/>
          <w:szCs w:val="18"/>
          <w:color w:val="auto"/>
        </w:rPr>
        <w:t>”) to certain customers, such rate being lower than the rate set by the Régie, notwithstanding that Hydro-Québec and the Municipal Electric Networks may suffer a financial loss on the supply of electricity to those customers. As of March 20, 2023, the Company currently enjoys a Preferential Rate at the Farnham and Cowansville server farms (until March 2027 and March 2024 respectively), which are Current Facilities. If a Preferential Rate is changed or no longer available to the Company, the Company’s operations and profitability may experience a material adverse effect. In addition, although power is supplied by the Municipal Networks to the Company under the long-term power contracts, the rates in those contracts are adjusted in response to tariff changes imposed by the Hydro-Québec Act and the Régie. The cost of electricity to each of the Company’s facilities is calculated using two key components: (i) a one-time monthly capacity charge based on the maximum capacity of such facility during the month (measured in kW), and (ii) an hourly charge of actual consumption (measured in kWh). The tariff applicable to the Company’s pre-existing operations at the Current Facilities and Additional Server Farms in Quebec is the CB tariff, which is based on the M tariff and the LG tariff. The M tariff applies to an annual contract if the maximum power demand is at least 50 kW and has a capacity charge of CAD$15.154 per kW of billing demand, plus a variable component of CAD 5.227¢ per kWh for the first 210,000 kWh, and CAD3.876¢ per kWh for the remaining consumption. LG tariff applies to an annual contract whose minimum billing demand is 5,000 kW or more and has capacity charge of CAD$13.781 per kW of billing demand, plus a single variable component of CAD3.596¢ per kWh. When averaged over all of the Company’s operations in Quebec, and adjustments such as the Preferential Rate at the Farnham and Cowansville server farms are applied, the average rate per kWh paid by the Company was approximately US$0.045 per kWh as of December 31, 2022.</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14, 2018, Hydro-Québec requested the Régie to set rates and service conditions specifically for enterprises involved in cryptocurrency mining as a result of increased electricity demand from cryptocurrency miners. The Company has participated in these regulatory proceedings as an intervenor. On July 13, 2018, the Régie provisionally ordered that a new tariff be established for cryptocurrency miners and, on July 19, 2018, the Régie approved a provisional tariff of CAD$0.15/kWh on cryptocurrency mining facilities built after that date. The provisional tariff constituted the first step (“</w:t>
      </w:r>
      <w:r>
        <w:rPr>
          <w:rFonts w:ascii="Times New Roman" w:cs="Times New Roman" w:eastAsia="Times New Roman" w:hAnsi="Times New Roman"/>
          <w:sz w:val="18"/>
          <w:szCs w:val="18"/>
          <w:b w:val="1"/>
          <w:bCs w:val="1"/>
          <w:color w:val="auto"/>
        </w:rPr>
        <w:t>Step 1</w:t>
      </w:r>
      <w:r>
        <w:rPr>
          <w:rFonts w:ascii="Times New Roman" w:cs="Times New Roman" w:eastAsia="Times New Roman" w:hAnsi="Times New Roman"/>
          <w:sz w:val="18"/>
          <w:szCs w:val="18"/>
          <w:color w:val="auto"/>
        </w:rPr>
        <w:t>”) of three steps of the Phase 1 Régie’s regulatory proceedings on establishing a framework for the provision of electricity for cryptocurrency mining in Québec. Under Step 1, the new tariff cannot be applied to any cryptocurrency contracts entered into prior to June 7, 2018 or facilities constructed prior to July 19, 2018. Therefore, Step 1 has not had any impact on the Company’s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2019, the Régie rendered its decision on the second step (“</w:t>
      </w:r>
      <w:r>
        <w:rPr>
          <w:rFonts w:ascii="Times New Roman" w:cs="Times New Roman" w:eastAsia="Times New Roman" w:hAnsi="Times New Roman"/>
          <w:sz w:val="18"/>
          <w:szCs w:val="18"/>
          <w:b w:val="1"/>
          <w:bCs w:val="1"/>
          <w:color w:val="auto"/>
        </w:rPr>
        <w:t>Step 2</w:t>
      </w:r>
      <w:r>
        <w:rPr>
          <w:rFonts w:ascii="Times New Roman" w:cs="Times New Roman" w:eastAsia="Times New Roman" w:hAnsi="Times New Roman"/>
          <w:sz w:val="18"/>
          <w:szCs w:val="18"/>
          <w:color w:val="auto"/>
        </w:rPr>
        <w:t xml:space="preserve">”) of the request filed by Hydro-Québec. The Régie decided to create a new class of energy consumers called </w:t>
      </w:r>
      <w:r>
        <w:rPr>
          <w:rFonts w:ascii="Times New Roman" w:cs="Times New Roman" w:eastAsia="Times New Roman" w:hAnsi="Times New Roman"/>
          <w:sz w:val="18"/>
          <w:szCs w:val="18"/>
          <w:i w:val="1"/>
          <w:iCs w:val="1"/>
          <w:color w:val="auto"/>
        </w:rPr>
        <w:t>Electricity consumer class for cryptographic use applied to blockchain</w:t>
      </w:r>
      <w:r>
        <w:rPr>
          <w:rFonts w:ascii="Times New Roman" w:cs="Times New Roman" w:eastAsia="Times New Roman" w:hAnsi="Times New Roman"/>
          <w:sz w:val="18"/>
          <w:szCs w:val="18"/>
          <w:color w:val="auto"/>
        </w:rPr>
        <w:t>. It decided to allocate to this new class an aggregate supply of 300 megawatts of electricity for new projects with the requirement to curtail electricity use during peak hours at Hydro-Québec’s request (up to a maximum of 300 hours a year). Cryptocurrency mining projects were required to submit tenders to consume electricity from the 300 megawatts block based exclusively on economic development and environmental criteria. The Régie rejected Hydro-Québec’s proposal to launch a tariff auction as part of the call for tenders. It decided to create a new tariff applicable to the cryptomining industry, the CB tariff, and determined that the applicable tariff of the energy component, in ¢/kWh, will correspond to the M or LG tariff in force, as the case may be.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for the Company to be able to procure electricity for future Quebec expansion projects (excluding those currently planned by the Company such as the Additional Server Farms), it would have been required to participate in the call for tenders process. However, the Régie’s decision also means that all the Company’s pre-existing operations will remain subject to the M or LG tariff in force, as the case may be, and are exempt from the tender process as well as the provisional tariff of CAD$0.15/kWh which had been requested by Hydro-Québec. The provisional tariff applies to energy consumption not authorized under cryptocurrency contracts, to those cryptocurrency contracts entered into after June 7, 2018 and to any substitution of use or any increase of capacity for crypto miners not already under authorized cryptocurrency contracts.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28, 2021, the Régie rendered its decision on the third step (“</w:t>
      </w:r>
      <w:r>
        <w:rPr>
          <w:rFonts w:ascii="Times New Roman" w:cs="Times New Roman" w:eastAsia="Times New Roman" w:hAnsi="Times New Roman"/>
          <w:sz w:val="18"/>
          <w:szCs w:val="18"/>
          <w:b w:val="1"/>
          <w:bCs w:val="1"/>
          <w:color w:val="auto"/>
        </w:rPr>
        <w:t>Step 3</w:t>
      </w:r>
      <w:r>
        <w:rPr>
          <w:rFonts w:ascii="Times New Roman" w:cs="Times New Roman" w:eastAsia="Times New Roman" w:hAnsi="Times New Roman"/>
          <w:sz w:val="18"/>
          <w:szCs w:val="18"/>
          <w:color w:val="auto"/>
        </w:rPr>
        <w:t>”)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Bitfarms Canada,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Step 3 decision, Bitfarms Canada’s operations are on a non-firm service basis for a maximum of 300 hours per year. On February 26, 2021, Bitfarms Canada has undertaken a challenge to the Step 3 decision through an administrative review process. On April 6, 2022, the Régie rendered a decision confirming the decision rendered in Step 3, resulting in the application of the non-firm service to the Company’s facilities in Quebec. Consequently, the main difference between the CB tariff and the M or LG tariff is the curtailment obligation applicable to the CB tariff.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Phase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Phase 3, was still not able to put in place the allocation process approved by the Régie de l’Énergie.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1, 2022, Hydro-Québec submitted to the </w:t>
      </w:r>
      <w:r>
        <w:rPr>
          <w:rFonts w:ascii="Times New Roman" w:cs="Times New Roman" w:eastAsia="Times New Roman" w:hAnsi="Times New Roman"/>
          <w:sz w:val="18"/>
          <w:szCs w:val="18"/>
          <w:i w:val="1"/>
          <w:iCs w:val="1"/>
          <w:color w:val="auto"/>
        </w:rPr>
        <w:t>Régie,</w:t>
      </w:r>
      <w:r>
        <w:rPr>
          <w:rFonts w:ascii="Times New Roman" w:cs="Times New Roman" w:eastAsia="Times New Roman" w:hAnsi="Times New Roman"/>
          <w:sz w:val="18"/>
          <w:szCs w:val="18"/>
          <w:color w:val="auto"/>
        </w:rPr>
        <w:t xml:space="preserve"> its Supply Plan for the period 2023 to 2032.and requested the </w:t>
      </w:r>
      <w:r>
        <w:rPr>
          <w:rFonts w:ascii="Times New Roman" w:cs="Times New Roman" w:eastAsia="Times New Roman" w:hAnsi="Times New Roman"/>
          <w:sz w:val="18"/>
          <w:szCs w:val="18"/>
          <w:i w:val="1"/>
          <w:iCs w:val="1"/>
          <w:color w:val="auto"/>
        </w:rPr>
        <w:t>Régie</w:t>
      </w:r>
      <w:r>
        <w:rPr>
          <w:rFonts w:ascii="Times New Roman" w:cs="Times New Roman" w:eastAsia="Times New Roman" w:hAnsi="Times New Roman"/>
          <w:sz w:val="18"/>
          <w:szCs w:val="18"/>
          <w:color w:val="auto"/>
        </w:rPr>
        <w:t>,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10, 2023, the Régie rendered its decision on Hydro-Quebec request to suspend the allocation process for the granting of the 300 MW reserved block. The Régie decided to suspend the allocation process while it assesses the Supply Plan submitted by Hydro-Québec.See </w:t>
      </w:r>
      <w:r>
        <w:rPr>
          <w:rFonts w:ascii="Times New Roman" w:cs="Times New Roman" w:eastAsia="Times New Roman" w:hAnsi="Times New Roman"/>
          <w:sz w:val="18"/>
          <w:szCs w:val="18"/>
          <w:i w:val="1"/>
          <w:iCs w:val="1"/>
          <w:color w:val="auto"/>
        </w:rPr>
        <w:t>RISK FACTORS -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Dependence on Regulated Terms of Service and Electricity Rates Risks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MATERIAL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producing more than 2,000 MW of electricity. Grant PUD establishes rate schedules for different categories of customers at the discretion of its publicly elected Board of Commissioners. During Fiscal 2022 the rate schedules that could have been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first 50,000 kWh of consumption and US$ 1.857¢ per additional kWh of consumption. Historically, rates for Schedule 7 have increased by an annual average of 1.27% per year.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 2023, Grant PUD’s commissioners authorized the addition of cryptocurrency mining into the Evolving Industry Rate Schedule 17 (RS17). This rate provides for $28.18 per kW of billing demand plus a variable component of US$ 0.389¢ per Kwh of consumption.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Grant PUD may adjust the rate pricing with approval from its Board of Commissioners. An increase in the rates applicable to the Company’s electricity consumption may adversely impact its profitability. See </w:t>
      </w:r>
      <w:r>
        <w:rPr>
          <w:rFonts w:ascii="Times New Roman" w:cs="Times New Roman" w:eastAsia="Times New Roman" w:hAnsi="Times New Roman"/>
          <w:sz w:val="18"/>
          <w:szCs w:val="18"/>
          <w:i w:val="1"/>
          <w:iCs w:val="1"/>
          <w:color w:val="auto"/>
        </w:rPr>
        <w:t>RISK FACTORS - 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also interrupt the supply of electrical services to the Company for curtailment, repairs and improvements to the electrical distribution system, actions taken to conserve energy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December 2021, the Company’s wholly-owned subsidiary, Backbone Hosting Solutions Paraguay S.A. (“</w:t>
      </w:r>
      <w:r>
        <w:rPr>
          <w:rFonts w:ascii="Times New Roman" w:cs="Times New Roman" w:eastAsia="Times New Roman" w:hAnsi="Times New Roman"/>
          <w:sz w:val="18"/>
          <w:szCs w:val="18"/>
          <w:b w:val="1"/>
          <w:bCs w:val="1"/>
          <w:color w:val="auto"/>
        </w:rPr>
        <w:t>Backbone Paraguay</w:t>
      </w:r>
      <w:r>
        <w:rPr>
          <w:rFonts w:ascii="Times New Roman" w:cs="Times New Roman" w:eastAsia="Times New Roman" w:hAnsi="Times New Roman"/>
          <w:sz w:val="18"/>
          <w:szCs w:val="18"/>
          <w:color w:val="auto"/>
        </w:rPr>
        <w:t>”) completed the construction of a 10 MW facility in Paraguay (Villarrica). The facility is powered by CLYFSA, the first private energy distribution company in Paraguay which purchases the energy from ANDE, the operator of Paraguay’s national electricity grid, and provides power to almost 15,000 residential and commercial customers in Villarrica.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Backbone Paraguay entered into a power purchase agreement with CLYFSA securing 10 MW of hydro-electric energy with a demand charge of $15.9 per kW of billing demand plus a variable component of US$ 1.422¢ per kWh of consumption for the current one-year renewal period. The power purchase agreement stipulates that CLYFSA can pass on any modifications to pricing by ANDE to Backbone Paraguay. See </w:t>
      </w:r>
      <w:r>
        <w:rPr>
          <w:rFonts w:ascii="Times New Roman" w:cs="Times New Roman" w:eastAsia="Times New Roman" w:hAnsi="Times New Roman"/>
          <w:sz w:val="18"/>
          <w:szCs w:val="18"/>
          <w:i w:val="1"/>
          <w:iCs w:val="1"/>
          <w:color w:val="auto"/>
        </w:rPr>
        <w:t>RISK FACTORS -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Dependence on Regulated Terms of Service and Electricity Rates Risks.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2021, the Company’s wholly-owned subsidiary Backbone Hosting Solutions S.A.U. (“</w:t>
      </w:r>
      <w:r>
        <w:rPr>
          <w:rFonts w:ascii="Times New Roman" w:cs="Times New Roman" w:eastAsia="Times New Roman" w:hAnsi="Times New Roman"/>
          <w:sz w:val="18"/>
          <w:szCs w:val="18"/>
          <w:b w:val="1"/>
          <w:bCs w:val="1"/>
          <w:color w:val="auto"/>
        </w:rPr>
        <w:t>Backbone Argentina</w:t>
      </w:r>
      <w:r>
        <w:rPr>
          <w:rFonts w:ascii="Times New Roman" w:cs="Times New Roman" w:eastAsia="Times New Roman" w:hAnsi="Times New Roman"/>
          <w:sz w:val="18"/>
          <w:szCs w:val="18"/>
          <w:color w:val="auto"/>
        </w:rPr>
        <w:t>”, entered engineering, procurement and construction contracts and commenced construction of a 210 MW facility in Argentina (Rio Cuarto – Cordoba). The facility will be powered by Generacion Mediterranea S.A. (“</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one of the subsidiaries of Grupo Albanesi. Grupo Albanesi is an Argentine private corporate group focused on the energy market which provides natural gas and electrical energy to its clients.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Backbone Argentina entered into an eight-year power purchase agreement with GMSA securing up to 210 MW of natural gas-powered energy. This agreement establishes that GMSA will supply the Company with power at a rate of $0.02 per kilowatt hour, inclusive of applicable VAT, up to a maximum amount of 1,103,760 megawatt hours. The maximum megawatt hours the Company can draw at $0.02 per kilowatt hour is subject to pro-rata adjustments based on the Company’s actual power draw relative to the total 210 MW. The agreement also provides that GMSA may renegotiate the $0.02 per kilowatt hour rate if the ratio of the exchange under the blue-chip swap mechanism used in Argentina to the official exchange rate is less than 1.50. The $0.02 per kilowatt hour rate and applicable adjustments described above are in effect for four years, and any consumption in excess of the maximum amount of 1,103,760 megawatt hours, or any pro-rata adjustments thereto, is subject to negotiation between the Company and GMSA. After the first four years a formula will be used to determine the power rate applicable to the Company’s consumption, mainly based on changes in gas costs and currency exchange rates. In addition, the Company has signed an agreement with a third party to monitor and reconcile electricity charges. The payment for such services raises the kilowatt charged by approximately 10%.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 increase in the Company’s electricity costs, cost of natural gas, changes in currency exchange rates in Argentina or regulatory changes in the energy regimes in the jurisdictions in which the Company operates may adversely impact the Company’s profitability, the costs of construction and engineering services. See </w:t>
      </w:r>
      <w:r>
        <w:rPr>
          <w:rFonts w:ascii="Times New Roman" w:cs="Times New Roman" w:eastAsia="Times New Roman" w:hAnsi="Times New Roman"/>
          <w:sz w:val="18"/>
          <w:szCs w:val="18"/>
          <w:i w:val="1"/>
          <w:iCs w:val="1"/>
          <w:color w:val="auto"/>
        </w:rPr>
        <w:t>RISK FACTORS - Economic Dependence on Regulated Terms of Service and Electricity Rates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and its subsidiaries have 150 employee positions on a global basis. The following table sets out the employees by department: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Department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&amp; Infrastructure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 Site &amp; Project Managers</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 Technicians</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Development, Finance, Administration and Public Relations</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Volta</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Commitment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Current Facilities, except for Argentina, use primarily renewable, clean energy provided by Hydro-Québec, Hydro-Sherbrooke, Hydro-Magog, Grant County Public Utility District and Compañía de Luz y Fuerza Sociedad Anónima (CLYFSA). To the best of the Company’s knowledge, the Company will not incur significant costs or investments in order to comply with provisions relating to environmental protection on its current facilities, besides maintaining the procedures currently applied by it. The Company’s facility described in the Argentina Expansion section of this AIF will use natural gas.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bankruptcies, receiverships, or similar proceedings against Bitfarms Canada or its respective subsidiaries, whether voluntary or otherwise, since incorporation and, to the knowledge of management, there are no such contingent or threatened proceedings.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and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AIF, as well as the risk factors, uncertainties, and other information disclosed in the Company’s other public filings before making an investment decision regarding the Company’s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Halving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May 2020, the BTC block reward decreased from 12.5 to 6.25 BTC per block (a “BTC Halving”), and, consequently, the number of new BTC issued to Miners as a subsidy decreased to approximately 900 per day, excluding transaction fees.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May 2020 BTC Halving had a significant negative impact on the Company’s profitability for several months following the BTC Halving. Given that profitability is required for self-acting agents to perform Mining to continue to support the validation of transactions, the expected impact of the BTC Halving is that market variables of BTC price will adjust over time to ensure that Mining remains profitable. The period of market normalization after the next BTC Halving to incentivizing profitability levels is unknown.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the year 2140. The next BTC Halving is expected to occur in late April or early May 2024. Once 21 million BTC are generated, the network will stop producing more. While BTC prices have had a history of price fluctuations around BTC Halving events, there is no guarantee that the price change will be favorable or would compensate for the reduction in Mining reward.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BTC price and difficulty do not maintain or continue their trend of adjusting to pre-BTC Halving profitability levels over time, or the period of market normalization after the BTC Halving to pre-BTC Halving profitability levels is too long, there is a risk that the BTC Halving will render the Company unprofitable for a sustained time period such that it could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BTC in, the Company’s principal market, ranged from approximately $15,600 to $48,100 during the year ended December 31, 2022 and ranged from approximately $28,700 to $68,800 during the year ended December 31, 2021. Because the Company does not currently hedge its investment in BTC, the Company is directly exposed to BTC’s price volatility and surrounding risks.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BTC at the time of those decisions. For example, the Company made purchase commitments in respect of a significant number of new Miners while BTC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BTC. BTC Mining companies’ stock has shown volatility relative to BTC, with many such stocks outperforming BTC in 2020 and 2021 but underperforming relative to BTC in 2022. For example, the closing price of the Company’s common shares on December 31, 2021 was $5.05 and the closing price of BTC was approximately $46,200 and, as of December 30, 2022, the closing price of the Company’s common shares was $0.44 and the closing price of BTC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BTC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2022 Annual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BTC. Other factors that may impact the trading price of the Company’s common shares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system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2022. The Company expects to continue to depend upon selling BTC mined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this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BTC and interest rates. If the Company engages in hedging transactions, the Company may expose itself to risks associated with such transactions. Hedging against a decline in the values of portfolio investments caused by interest rate risk or volatile BTC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Possibility of BTC Mining Algorithms Transitioning to Proof of Stake Validation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BTC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Bitfarms Canada, as a result of its efforts to optimize and improve the efficiency of its BTC Mining operations, may be exposed to the risk in the future of losing the benefit of Bitfarms Canada’s capital investments and the competitive advantage Bitfarms Canada hopes to gain from this as a result, and may be negatively impacted if a switch to proof of stake validation were to occur. Such events could have a material adverse effect on Bitfarms Canada’s ability to continue as a going concern or to pursue its strategy at all, which could have a material adverse effect on Bitfarms Canada’s business, prospects or operations and potentially the value of any BTC that Bitfarms Canada mines or otherwise acquires or holds for its own account.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Hacking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computer network operated by the Company may be vulnerable to intrusions by hackers who could interfere with and introduce defects to the Mining operation. Private keys which enable holders to transfer funds may also be lost or stolen, resulting in irreversible losses of cryptocurrencies.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BTC or other cryptocurrencies the Company mines or otherwise acquires or holds for its own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their chance of earning new BTC rewards. In theory, these dual processes should continually replicate themselves until the supply of available BTC is exhausted. In response, Mining Companies have attempted to achieve greater hashrate by deploying increasingly sophisticated and expensive Miners in ever greater quantities. If the price of BTC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and Paraguay and expects to conduct Mining in Argentina.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temporarily from EPEC in Rio Cuarto, Argentina. The Province of Québec mandates electrical service providers to supply their customers under an obligation-to- serve power delivery regime. Consequently, the Company believes Hydro-Québec, Hydro-Sherbrooke and Hydro-Magog are reliable. Grant PUD and CLYFSA do not operate under highly regulated regimes, like the Province of Quebec. Any suspension of power or failure of electrical networks, however, could result in a material adverse effect on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0" w:lineRule="exact"/>
        <w:rPr>
          <w:sz w:val="20"/>
          <w:szCs w:val="20"/>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operations and secured existing rates until the completion of Phase 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left="660" w:hanging="328"/>
        <w:spacing w:after="0" w:line="25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to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they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 down of 95% of operations for the maximum of 300 hours could result in a revenue decrease of approximately 3.4%.</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Bitfarms Canada,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was still not able to put in place the allocation process approved by the Régie de l’Énergie.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Hydro-Quebec request to suspend the allocation process for the granting of the 300 MW reserved block. The Régie decided to suspend the allocation process while it assesses the Supply Plan submitted by Hydro-Québec.</w:t>
      </w:r>
    </w:p>
    <w:p>
      <w:pPr>
        <w:spacing w:after="0" w:line="162" w:lineRule="exact"/>
        <w:rPr>
          <w:sz w:val="20"/>
          <w:szCs w:val="20"/>
          <w:color w:val="auto"/>
        </w:rPr>
      </w:pPr>
    </w:p>
    <w:p>
      <w:pPr>
        <w:jc w:val="both"/>
        <w:ind w:left="66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 The applicable rates for Schedule 7 are a demand charge of $4.96 per kW of billing demand plus a variable component of US$ 2.100¢ per kWh for the Company’s power first 50,000 kWh of consumption from all of the meters in aggregate.and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applicable rates for Schedule 17 are a demand charge for $28.18 per kW plus a variable component of US$ 0.389¢ per kWh of consumption.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completed the construction the 10 MW Villarrica Facility. The facility is powered by CLYFSA. CLYFSA is the first private energy distribution company in Paraguay which purchases energy from ANDE, the operator of Paraguay’s national electricity grid, and provides power to almost 15,000 residential and commercial customers in Villarrica, Paraguay.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210 MW facility in Argentina (Rio Cuarto - Cordoba). The facility will receive electricity from Generacion Mediterranea S.A. (“GMSA”) one of the subsidiaries of Grupo Albanesi. Grupo Albanesi is an Argentine private corporate group focused on the energy market which provides natural gas and electrical energy to its clients from its multiple facilities.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agreement also allows for GMSA to renegotiate the $0.02 per kilowatt hour rate if the ratio of the exchange rate under the blue-chip swap mechanism (refer to section 8d - </w:t>
      </w:r>
      <w:r>
        <w:rPr>
          <w:rFonts w:ascii="Times New Roman" w:cs="Times New Roman" w:eastAsia="Times New Roman" w:hAnsi="Times New Roman"/>
          <w:sz w:val="18"/>
          <w:szCs w:val="18"/>
          <w:i w:val="1"/>
          <w:iCs w:val="1"/>
          <w:color w:val="auto"/>
        </w:rPr>
        <w:t>Net financial income and expenses</w:t>
      </w:r>
      <w:r>
        <w:rPr>
          <w:rFonts w:ascii="Times New Roman" w:cs="Times New Roman" w:eastAsia="Times New Roman" w:hAnsi="Times New Roman"/>
          <w:sz w:val="18"/>
          <w:szCs w:val="18"/>
          <w:color w:val="auto"/>
        </w:rPr>
        <w:t xml:space="preserve"> of the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3"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with GMSA also includes certain megawatt hour consumption thresholds and pro-rata adjustments. The Company’s production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consultants, personnel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assets markets and in BTC.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BTC)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this AIF or the MD&amp;A for the year ended December 31, 2022, available on sedar.com) nor any material assets that may not be recovered or may otherwise be lost or misappropriated due to the bankruptcies, the failure or insolvency of large exchanges may cause the price of BTC to fall and decrease confidence in the ecosystem, which could adversely affect an investment in the Company. Such market volatility and decrease in BTC price have had a material and adverse effect on the Company’s results of operations and financial condition, and the Company expects its results of operations to continue to be affected by the BTC price as the results of its operations are significantly tied to the price of BTC.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BTC) or exchanges can result in a direct loss of the Company’s cryptocurrency and fiat currency assets, which loss may not be recoverable by the Company, whether under any insurance policies it has in place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w:t>
      </w:r>
      <w:r>
        <w:rPr>
          <w:rFonts w:ascii="Times New Roman" w:cs="Times New Roman" w:eastAsia="Times New Roman" w:hAnsi="Times New Roman"/>
          <w:sz w:val="18"/>
          <w:szCs w:val="18"/>
          <w:i w:val="1"/>
          <w:iCs w:val="1"/>
          <w:color w:val="auto"/>
        </w:rPr>
        <w:t>DESCRIPTION OF BUSINESS - Business and Strategy - Argentina Expansion</w:t>
      </w:r>
      <w:r>
        <w:rPr>
          <w:rFonts w:ascii="Times New Roman" w:cs="Times New Roman" w:eastAsia="Times New Roman" w:hAnsi="Times New Roman"/>
          <w:sz w:val="18"/>
          <w:szCs w:val="18"/>
          <w:color w:val="auto"/>
        </w:rPr>
        <w:t>,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mine is impossible to predict, and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If enacted into law,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 In March 2023, the U.S. Treasury Department proposed a 30% excise tax on the cost of powering Mining facilities that, if enacted, would be based on the costs of electricity used in Mining and would be phased in over the next three years, increasing 10% each year. The proposal, if enacted, would also require Miners, like the Company, to report how much electricity they use and what type of power was tapped.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Failures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are not described herein, and this AIF is not intended to be, nor should it be construed to be, legal or tax advice to any particular shareholder. Existing and prospective shareholders should consult their own tax advisors with respect to any such tax considerations.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a potential to reduce the profitability of the Company’s operations or cause delays in the development of its Mining projects.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Mine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for such matters may be significant and could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Canada’s operations. The factors affecting the further development of the industry, include, but are not limited to:</w:t>
      </w:r>
    </w:p>
    <w:p>
      <w:pPr>
        <w:spacing w:after="0" w:line="18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Facility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w:t>
      </w:r>
      <w:r>
        <w:rPr>
          <w:rFonts w:ascii="Times New Roman" w:cs="Times New Roman" w:eastAsia="Times New Roman" w:hAnsi="Times New Roman"/>
          <w:sz w:val="18"/>
          <w:szCs w:val="18"/>
          <w:i w:val="1"/>
          <w:iCs w:val="1"/>
          <w:color w:val="auto"/>
        </w:rPr>
        <w:t>DESCRIPTION OF BUSINESS - Expansion Projects</w:t>
      </w:r>
      <w:r>
        <w:rPr>
          <w:rFonts w:ascii="Times New Roman" w:cs="Times New Roman" w:eastAsia="Times New Roman" w:hAnsi="Times New Roman"/>
          <w:sz w:val="18"/>
          <w:szCs w:val="18"/>
          <w:color w:val="auto"/>
        </w:rPr>
        <w:t>, for a discussion of the status of the Company’s various development efforts, including, in particular, in Argentina.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is not insured. Although Coinbase Custody maintains an insurance policy of $320 million for its cold storage, the limits of that policy may not be available to the Company or, if available, sufficient to make the Company whole for any BTC that are lost or stolen from its account. Therefore, a loss may be suffered with respect to the Company’s BTC that is not covered by insurance and for which no person is liable in damages.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of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and/or Widespread Use of Cryptocurrency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High-voltage Electricity Transmission and Industrial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ESG Practices and the Impacts of Climate Change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BTC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however,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Bitfarms Canada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Bitfarms Canada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Bitfarms Canada operates, could have a material adverse effect on its business, prospects, financial condition or results of operations. In addition, as a result of the Bitfarms Canada’s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Bitfarms Canada’s common shares to decline. Investigations by governmental authorities could also have a material adverse effect on the business, consolidated results of operations, and consolidated financial condition of Bitfarms Canada.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Bitfarms Shares may suffer adverse tax consequences, including the treatment of gains realized on the sale of Bitfarms Shares as ordinary income, rather than as capital gain, the loss of the preferential income tax rate applicable to dividends received on Bitfarms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Pandemic and Infectious Disease Risk (including 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2022, in connection with the acquisition of Garlock and a building in Sherbrooke, Québec, the Company issued 25,000 warrants to purchase Common Shares at an exercise price of $3.47 with a term of two years from the date of the issuance.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2022, the Board approved a stock option grant to an officer of 120,000 options to purchase 120,000 Common Shares at an exercise price of CAD$4.71 with a term of five years from the date of the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2022, the Board approved a stock option grant of 5,382,500 options to officers, directors, employees and consultants of the Company to purchase 5,382,500 Common Shares at an exercise price of CAD$2.45 with a term of five years from the date of the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2022, the Board approved a grant of 200,000 restricted share units to officers and directors of the Company to receive 200,000 Common Shares vesting equally over three years on the anniversary of the grant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the Board approved a stock option grant to an officer of 20,000 options to purchase 20,000 Common Shares at an exercise price of CAD$1.50 with a term of five years from the date of the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16, 2022, the Board approved a stock option grant to a newly elected director of 200,000 options to purchase 200,000 Common Shares at an exercise price of CAD$1.00 with a term of five years from the date of the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27, 2022, the Board approved a stock option grant of 3,870,000 options to officers, directors, employees and consultants of the Company to purchase 3,870,000 Common Shares at an exercise price of CAD$0.55 with a term of five years from the date of the grant.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Canada has neither declared nor paid any dividends on its common shares since incorporation. When permitted to do so, the Board may declare dividends at its discretion but does not anticipate paying dividends in the near future. The Board will determine if, and when, to declare and pay dividends in the future from funds properly applicable to the payment of dividends based on Bitfarms Canada’ financial position at the relevant time. The Board expects to retain earnings to finance future growth of Bitfarms Canada and its subsidiaries. All of the Bitfarms Shares are entitled to an equal share in any dividends declared and paid on a per share basis.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Canada’s authorized share capital consists of an unlimited number of Bitfarms Shares. As of March 20, 2023, of this AIF there are 238,385,000 issued and outstanding Bitfarms Shares. Each Bitfarms Share entitles the holder to one vote per Bitfarms Share and to receive equally any dividends declared by Bitfarms Canada and the remaining property and assets of Bitfarms Canada in the event Bitfarms Canada undergoes a liquidation, dissolution, or winding up.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2020, shareholders approved an amendment to the articles of incorporation of the Company to authorize the issuance of class A preferred shares. As of March 20, 2023, there were nil preferred shares outstanding.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FOR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Bitfarms Shares were listed and posted for trading on the TSXV under the symbol “BITF” until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price range and aggregate volumes traded or quoted monthly on the TSXV from January 1, 2022, to April 7,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3.98</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4,005,800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25,762,400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29,568,400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27,579,700</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The Bitfarms Shares were up listed and posted for trading on the TSX under the symbol “BITF” starting on April 8, 2022. The following table sets out the price range and aggregate volumes traded or quoted monthly on the TSX from April 8, 2022 to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0.52</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8,273,700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16,854,900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13,080,000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13,815,600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20,531,900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15,273,700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16,428,800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22,313,600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11,707,600</w:t>
            </w:r>
          </w:p>
        </w:tc>
      </w:tr>
    </w:tbl>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Bitfarms Shares were also listed and posted for trading on the Nasdaq Exchange under the symbol “BITF” on June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2021. The following table sets out the price range and aggregate volumes traded or quoted monthly on the Nasdaq 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2022 to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0.38</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45,840,800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65,544,000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58,217,600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74,758,300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122,360,200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77,118,100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83,848,100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116,049,600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83,463,000</w:t>
            </w:r>
          </w:p>
        </w:tc>
      </w:tr>
      <w:tr>
        <w:trPr>
          <w:trHeight w:val="2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126,128,200</w:t>
            </w:r>
          </w:p>
        </w:tc>
      </w:tr>
      <w:tr>
        <w:trPr>
          <w:trHeight w:val="24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143,938,700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141,063,700</w:t>
            </w:r>
          </w:p>
        </w:tc>
      </w:tr>
    </w:tbl>
    <w:p>
      <w:pPr>
        <w:spacing w:after="0" w:line="200" w:lineRule="exact"/>
        <w:rPr>
          <w:sz w:val="20"/>
          <w:szCs w:val="20"/>
          <w:color w:val="auto"/>
        </w:rPr>
      </w:pP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ESCROWED SECURITIES AND SECURITIES SUBJECT TO CONTRACTUAL RESTRICTION ON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20, 2023, there are no securities of the Company which are currently held in escrow or subject to a contractual restriction on transfer.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name of each director and officer, province or state of residence, position held with each corporation, current principal occupation, and the number and percentage of securities beneficially owned, directly or indirectly as at March 20,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Province and Country of</w:t>
            </w:r>
          </w:p>
        </w:tc>
        <w:tc>
          <w:tcPr>
            <w:tcW w:w="120" w:type="dxa"/>
            <w:vAlign w:val="bottom"/>
          </w:tcPr>
          <w:p>
            <w:pPr>
              <w:spacing w:after="0"/>
              <w:rPr>
                <w:sz w:val="19"/>
                <w:szCs w:val="19"/>
                <w:color w:val="auto"/>
              </w:rPr>
            </w:pPr>
          </w:p>
        </w:tc>
        <w:tc>
          <w:tcPr>
            <w:tcW w:w="4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120" w:type="dxa"/>
            <w:vAlign w:val="bottom"/>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22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Controlled</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198"/>
        </w:trPr>
        <w:tc>
          <w:tcPr>
            <w:tcW w:w="3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Founder and Director of the Company (2017 – present); CEO</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the  Company  (2020  -  2022),  Consultant  in  the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cryptocurrency sector; Founder and Director of cripto247</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 – present); Founder and Commercial Director of My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Urban Foods (2012 –2015).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11, 2018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6,698,443</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Nicolas Bonta</w:t>
            </w:r>
          </w:p>
        </w:tc>
        <w:tc>
          <w:tcPr>
            <w:tcW w:w="47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Non-Executive Chairman of the Board and Founder of the</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(2022  –  present);  Executive  Chairman  of  the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(2018 – 2022), Founder and CEO of Own Hotels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(2006 – present).</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11, 2018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8,542,118</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Brian Howlett</w:t>
            </w:r>
            <w:r>
              <w:rPr>
                <w:rFonts w:ascii="Times New Roman" w:cs="Times New Roman" w:eastAsia="Times New Roman" w:hAnsi="Times New Roman"/>
                <w:sz w:val="23"/>
                <w:szCs w:val="23"/>
                <w:color w:val="auto"/>
                <w:vertAlign w:val="superscript"/>
              </w:rPr>
              <w:t>(2)</w:t>
            </w:r>
          </w:p>
        </w:tc>
        <w:tc>
          <w:tcPr>
            <w:tcW w:w="474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Lead Director of the Company (2020 – present); President</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CEO of Hemlo Explorers Inc. (2020 – present); President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Ontario, Canada</w:t>
            </w: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CEO of Voyageur Mineral Explorers Corp. (2020 –</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 Director of Nighthawk Gold Corp. (2016 – present);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and CEO of Dundee Sustainable Technologies Inc.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(2015 – 2020); President and CEO of Stone Gold Inc. (2014 –</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17, 2020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Pierre Seccareccia</w:t>
            </w:r>
            <w:r>
              <w:rPr>
                <w:rFonts w:ascii="Times New Roman" w:cs="Times New Roman" w:eastAsia="Times New Roman" w:hAnsi="Times New Roman"/>
                <w:sz w:val="23"/>
                <w:szCs w:val="23"/>
                <w:color w:val="auto"/>
                <w:vertAlign w:val="superscript"/>
              </w:rPr>
              <w:t>(2)(3)</w:t>
            </w:r>
          </w:p>
        </w:tc>
        <w:tc>
          <w:tcPr>
            <w:tcW w:w="474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Independent Director of the Company (2019 – present); Full-</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time independent director for several public companies (2003</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present); Director of Groupe Ivanhoé Cambridge Inc., a real</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estate subsidiary of la Caisse de dépôt et placement du</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Québec (2010 – present).</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2019</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Andres Finkielsztain</w:t>
            </w:r>
            <w:r>
              <w:rPr>
                <w:rFonts w:ascii="Times New Roman" w:cs="Times New Roman" w:eastAsia="Times New Roman" w:hAnsi="Times New Roman"/>
                <w:sz w:val="27"/>
                <w:szCs w:val="27"/>
                <w:color w:val="auto"/>
                <w:vertAlign w:val="superscript"/>
              </w:rPr>
              <w:t>(2)</w:t>
            </w: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 of the Company (2020 – present);</w:t>
            </w: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Founding  managing  partner  of  FinkWald  LLC  (2011  –</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Director of Goldmoney Inc. (TSX: XAU) (2018 –</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31, 2020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Edith M. Hofmeister,</w:t>
            </w:r>
          </w:p>
        </w:tc>
        <w:tc>
          <w:tcPr>
            <w:tcW w:w="47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Independent Director of the Company (2022 – present);</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of Osisko Gold Royalties (2022 – present); Director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California, USA</w:t>
            </w: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Nighthawk Gold Corp (2022 – present); Director of Minto</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Metals Corp (2021 – 2022); Director of Prime Mining Corp</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(2021  –  present);  Executive  Vice-President  &amp;  General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Counsel of Tahoe Resources (2010 – 2019)</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16, 2022</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68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 | Page</w:t>
            </w:r>
          </w:p>
        </w:tc>
        <w:tc>
          <w:tcPr>
            <w:tcW w:w="1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Province and Country of</w:t>
            </w:r>
          </w:p>
        </w:tc>
        <w:tc>
          <w:tcPr>
            <w:tcW w:w="120" w:type="dxa"/>
            <w:vAlign w:val="bottom"/>
          </w:tcPr>
          <w:p>
            <w:pPr>
              <w:spacing w:after="0"/>
              <w:rPr>
                <w:sz w:val="19"/>
                <w:szCs w:val="19"/>
                <w:color w:val="auto"/>
              </w:rPr>
            </w:pPr>
          </w:p>
        </w:tc>
        <w:tc>
          <w:tcPr>
            <w:tcW w:w="4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Director or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12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120" w:type="dxa"/>
            <w:vAlign w:val="bottom"/>
            <w:gridSpan w:val="2"/>
          </w:tcPr>
          <w:p>
            <w:pPr>
              <w:jc w:val="right"/>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2"/>
              </w:rPr>
              <w:t>Controlled</w:t>
            </w:r>
            <w:r>
              <w:rPr>
                <w:rFonts w:ascii="Times New Roman" w:cs="Times New Roman" w:eastAsia="Times New Roman" w:hAnsi="Times New Roman"/>
                <w:sz w:val="29"/>
                <w:szCs w:val="29"/>
                <w:b w:val="1"/>
                <w:bCs w:val="1"/>
                <w:color w:val="auto"/>
                <w:w w:val="92"/>
                <w:vertAlign w:val="superscript"/>
              </w:rPr>
              <w:t>(1)</w:t>
            </w:r>
          </w:p>
        </w:tc>
        <w:tc>
          <w:tcPr>
            <w:tcW w:w="0" w:type="dxa"/>
            <w:vAlign w:val="bottom"/>
          </w:tcPr>
          <w:p>
            <w:pPr>
              <w:spacing w:after="0"/>
              <w:rPr>
                <w:sz w:val="1"/>
                <w:szCs w:val="1"/>
                <w:color w:val="auto"/>
              </w:rPr>
            </w:pPr>
          </w:p>
        </w:tc>
      </w:tr>
      <w:tr>
        <w:trPr>
          <w:trHeight w:val="203"/>
        </w:trPr>
        <w:tc>
          <w:tcPr>
            <w:tcW w:w="338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L. Geoffrey Morphy</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CEO of the Company (2022 – Present), President of the</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(2020 – present); Chief Operation Officer of the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Ontario, Canada</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(2022),Director of the Company (2020); Trustee of</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R&amp;R Real Estate Investment Trust (2021 – present); Co-CEO</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Dundee Sarea Fund (2017 – 2019); director of Android</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Industries, LLC (2016 – present); Vice-President Corporate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of  Dundee  Corporation  (2016  –2019);</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Managing  Director,  Corporate  Financing,  Transactions  &amp;</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Valuations and Vice-President of Farber Financial Group</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(2008 – 2016).</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19, 2020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186,800</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Lucas,</w:t>
            </w: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Chief Financial Officer of the Company (2021 – present)</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Massachusetts, USA</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Managing  Director,  Mackinac  Partners  (2020  -  2021)</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Principle, CFI Associates (2020 – 2020) President (2018 –</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2020),  Chief  Financial  Officer  (2015  –  2020),  eMagin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Corporation (NYSE) Board Member, Chief Financial Officer,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Transfreight Companies (2013 – 2015)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3, 2021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Chief Mining Officer of the Company (2021 – present);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Consulting  Director  (Dec  2019  –  Jun  2021);  Chief</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Officer of LuTech Ltd. (2018 – Dec 2019); Chief</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Officer of Island Computer Ltd. (2016 – Dec. 2019).</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June 3, 2021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Benoit Gobeil</w:t>
            </w: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Senior Vice President, Operations &amp; Infrastructure of the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(2021 – present), Director of Operations of the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(2019 – 2021), General Manager, Volta électrique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(2018 – 2019); Owner, Volta électrique (2010 – 2017).</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14, 2021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Damian Polla</w:t>
            </w: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Manager LATAM, Bitfarms Ltd. (2021 – present);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Corporate  Finance,  Molino  Cañuelas  SACIFIA</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 – 2021); Head of Structured Finance – Latin America,</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Haitong Bank NY Branch (2015 – 2018).</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14, 2021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49,668</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Patricia Osorio</w:t>
            </w: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Vice President and Corporate Secretary of the Company</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(2022 – present), Vice President of Corporate Affairs of the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(2021 – 2022); Corporate Secretary of Dundee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Sustainable  Technologies  Inc.  (2020  –  2021);  Assistant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Secretary-Treasurer of Dundee Sustainable Technologies Inc.</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(2015 – 2020).</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19, 2021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68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 | Page</w:t>
            </w:r>
          </w:p>
        </w:tc>
        <w:tc>
          <w:tcPr>
            <w:tcW w:w="1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Province and Country of</w:t>
            </w:r>
          </w:p>
        </w:tc>
        <w:tc>
          <w:tcPr>
            <w:tcW w:w="120" w:type="dxa"/>
            <w:vAlign w:val="bottom"/>
          </w:tcPr>
          <w:p>
            <w:pPr>
              <w:spacing w:after="0"/>
              <w:rPr>
                <w:sz w:val="19"/>
                <w:szCs w:val="19"/>
                <w:color w:val="auto"/>
              </w:rPr>
            </w:pPr>
          </w:p>
        </w:tc>
        <w:tc>
          <w:tcPr>
            <w:tcW w:w="4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Director or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27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12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120" w:type="dxa"/>
            <w:vAlign w:val="bottom"/>
            <w:gridSpan w:val="2"/>
          </w:tcPr>
          <w:p>
            <w:pPr>
              <w:jc w:val="right"/>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2"/>
              </w:rPr>
              <w:t>Controlled</w:t>
            </w:r>
            <w:r>
              <w:rPr>
                <w:rFonts w:ascii="Times New Roman" w:cs="Times New Roman" w:eastAsia="Times New Roman" w:hAnsi="Times New Roman"/>
                <w:sz w:val="29"/>
                <w:szCs w:val="29"/>
                <w:b w:val="1"/>
                <w:bCs w:val="1"/>
                <w:color w:val="auto"/>
                <w:w w:val="92"/>
                <w:vertAlign w:val="superscript"/>
              </w:rPr>
              <w:t>(1)</w:t>
            </w:r>
          </w:p>
        </w:tc>
        <w:tc>
          <w:tcPr>
            <w:tcW w:w="0" w:type="dxa"/>
            <w:vAlign w:val="bottom"/>
          </w:tcPr>
          <w:p>
            <w:pPr>
              <w:spacing w:after="0"/>
              <w:rPr>
                <w:sz w:val="1"/>
                <w:szCs w:val="1"/>
                <w:color w:val="auto"/>
              </w:rPr>
            </w:pPr>
          </w:p>
        </w:tc>
      </w:tr>
      <w:tr>
        <w:trPr>
          <w:trHeight w:val="198"/>
        </w:trPr>
        <w:tc>
          <w:tcPr>
            <w:tcW w:w="338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Andrea Keen Souza</w:t>
            </w:r>
          </w:p>
        </w:tc>
        <w:tc>
          <w:tcPr>
            <w:tcW w:w="1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Vice-President, Human Resources of the Company (2022 –</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Head of Talent &amp; Culture, EQ Care / Telus Health</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 – 2021); Global HR Director, Straumann Group (2019</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2020); Head of Human Resources, Sterlite Power Brazil</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 2019); Region Human Resources Leader, LATAM,</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Fieldcore/GE (2007-2017).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10, 2022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Philippe Fortier</w:t>
            </w: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Vice President, Corporate Development of the Company</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(2022 – Present) Vice President, Special Projects of the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(2022);  President  &amp;  Leader  Advisor,  PFOCap</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Finance &amp; Investment Advice (2019 - 2022);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Analyst, National Bank Financial (2017 - 2019).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24, 2022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Stephanie Wargo</w:t>
            </w:r>
          </w:p>
        </w:tc>
        <w:tc>
          <w:tcPr>
            <w:tcW w:w="4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Vice President, Marketing &amp; Communication of the Company</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Georgia, USA</w:t>
            </w: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 – present); Global VP Marketing, PrimeRevenue (2015</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2022); Global VP Marketing, BitPay (2013 – 2015). VP</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Client Relations &amp; Marketing, FirstView Financial (2010 –</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Marc-André Ammann</w:t>
            </w:r>
          </w:p>
        </w:tc>
        <w:tc>
          <w:tcPr>
            <w:tcW w:w="47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Vice President, Finance &amp; Accounting of the Company (2022</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present); Vice President, Finance &amp; Corporate Controller,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Sharethrough  (2022);  Director  of  Financial  Reporting,</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Minerai  de  Fer  Québec  (2019  -2021);  Senior  Manager,</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Accounting &amp; Regulatory Reporting, CN (2017 –</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16, 2022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Magrath</w:t>
            </w:r>
          </w:p>
        </w:tc>
        <w:tc>
          <w:tcPr>
            <w:tcW w:w="47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Taxation of the Company (2022 – present);</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Ontario, Canada</w:t>
            </w:r>
          </w:p>
        </w:tc>
        <w:tc>
          <w:tcPr>
            <w:tcW w:w="4720" w:type="dxa"/>
            <w:vAlign w:val="bottom"/>
            <w:gridSpan w:val="3"/>
            <w:vMerge w:val="continue"/>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Finance Director, Huawei Technologies (2017-2022);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Taxation, AstraZeneca R&amp;D (2009 – 2017).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24, 2022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(Jung Feng) Gao</w:t>
            </w:r>
          </w:p>
        </w:tc>
        <w:tc>
          <w:tcPr>
            <w:tcW w:w="4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Vice President, Risk Management of the Company (2023 –</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Victoria, Australia</w:t>
            </w:r>
          </w:p>
        </w:tc>
        <w:tc>
          <w:tcPr>
            <w:tcW w:w="4720" w:type="dxa"/>
            <w:vAlign w:val="bottom"/>
            <w:gridSpan w:val="3"/>
            <w:vMerge w:val="continue"/>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present), Chief Executive Officer, Cypherpunk Holdings Inc.</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(2021-2022)</w:t>
            </w:r>
          </w:p>
        </w:tc>
        <w:tc>
          <w:tcPr>
            <w:tcW w:w="10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39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principal occupation, business or employment, not being within the knowledge of the Company, has been furnished by respective persons set forth above. The information with respect to the Common Shares beneficially owned, controlled or directed is not within the direct knowledge of the Company and has been obtained from SEDI or furnished by the respective individuals. This table does not include Common Shares underlying unexercised stock options and warrants.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As at March 20, 2023 the directors and executive officers of the Company, as a group, beneficially owned, directly or indirectly, or exercised control or direction over 15,526,415 common shares, representing 7.71% of the total issued and outstanding common shares before giving effect to the exercise of rights, options, or warrants to purchase or otherwise receive Common Shares held by such directors and executive officers. The statement as to the number of Common Shares beneficially owned, directly or indirectly, or over which control or direction is exercised by the directors and executive officers of the Company as a group is based upon information furnished by the directors and executive officers themselves.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Nicolas Bonta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Nicolas Bonta serves as the Chairman of the Board. Mr. Bonta is an Argentinian hotelier, real estate investor and a founder of the Company.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Emiliano Joel Grodzki</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Emiliano Joel Grodzki serves as Director of the Company and member of the Governance and Nominating Committee, the Environmental and Social Responsibility Committee and the Strategic Advisory Committee. Mr. Grodzki is an Argentinian entrepreneur, businessman and a founder of the Company. He has been a business builder and innovator since his early teens, founding, incubating, and exiting interdisciplinary ventures in the design, food, and construction industries. In 2016, he entered the space of cryptocurrencies and began to invest in and mine cryptocurrencies from Argentina. Mr. Grodzki has a construction degree from ORT in Buenos Aires.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Brian Howlett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Brian Howlett serves as the Lead Director of the Company, and member of the Audit Committee, the Governance and Nominating Committee, the Compensation Committee, the Environmental and Social Responsibility Committee and is the Chair of the Strategic Advisory Committee. Mr. Howlett is a seasoned professional with over thirty years of senior management experience. Mr. Howlett is currently the President, Chief Executive Officer and Director of Hemlo Explorers Inc. Mr. Howlett also serves on the Board for several junior mining companies. Mr. Howlett recently served as the President, Chief Executive Officer and a Director of Dundee Sustainable Technologies Inc. He also formerly served as the President and Chief Financial Officer of Superior Copper Corporation. Prior to that, Mr. Howlett spent twelve years with ELI Eco Logic Inc., including six years as Chief Financial Officer. Mr. Howlett graduated in 1982 with a B. Comm. In finance from Concordia University and received his CMA designation in 1989.</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Pierre Seccareccia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Pierre Seccareccia serves as an Independent Director of the Company and Chair of the Audit Committee. He is also member of the Compensation Committee. He has extensive experience in financial consulting and management. A Partner of the Coopers &amp; 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the Managing Partner for the Montreal office of PricewaterhouseCoopers LLP from 1998 to 2001. Since 2003, Mr. Seccareccia has acted as a full-time independent corporate director for various public and private entities. He is a Fellow CPA, CPA, and a lifetime member of the Ordre des comptables professionnels agréés du Québec. He is also a member of the Institute of Corporate Directors (Canada). He graduated from the École des hautes études commerciales de Montréal with a degree in Accounting.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Andres Finkielsztain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Andres Finkielsztain serves as an Independent Director of the Company and a member of the Audit Committee, the Environmental and Social Responsibility Committee and the Strategic Advisory Committee. He is the Chair of the Compensation Committee. Mr. Finkielsztain is the Founding Managing Partner of FinkWald LLC, a private investment office specializing in private equity, real estate, media, and technology. He is also the co-head of the Special Situations division at Banco Industrial in Argentina, where he analyzes and provides financing solutions to Argentinean-based companies and institutions. Mr. Finkielsztain previously served as a financial advisor for Soros Brothers Investments (“</w:t>
      </w:r>
      <w:r>
        <w:rPr>
          <w:rFonts w:ascii="Times New Roman" w:cs="Times New Roman" w:eastAsia="Times New Roman" w:hAnsi="Times New Roman"/>
          <w:sz w:val="18"/>
          <w:szCs w:val="18"/>
          <w:b w:val="1"/>
          <w:bCs w:val="1"/>
          <w:color w:val="auto"/>
        </w:rPr>
        <w:t>SBI</w:t>
      </w:r>
      <w:r>
        <w:rPr>
          <w:rFonts w:ascii="Times New Roman" w:cs="Times New Roman" w:eastAsia="Times New Roman" w:hAnsi="Times New Roman"/>
          <w:sz w:val="18"/>
          <w:szCs w:val="18"/>
          <w:color w:val="auto"/>
        </w:rPr>
        <w:t>”), a private investment office founded in 2011 by Alexander and Gregory Soros, and as an analyst for Emerging Markets at Soros Fund Management LLC. Mr. Finkielsztain also worked at J.P. Morgan for over 10 years in various capacities within their Asset Management group, including the role of Global Investment Opportunity and Emerging Markets Specialist. Mr. Finkielsztain graduated with a BA in Economics from Bard College where he served as the President of a Latin American organization.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i w:val="1"/>
          <w:iCs w:val="1"/>
          <w:color w:val="auto"/>
        </w:rPr>
        <w:t>Edith M. Hofmeister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Edie Hofmeister serves as Independent Director of the Company and Chair of the Governance and Nominating Committee and the Environmental and Social Responsibility Committee and is member of the Strategic Advisory Committee. Ms. Hofmeister has advised large and small multi-national extractive companies on legal and ESG matters for over twenty years. Most recently she served as Executive Vice President Corporate Affairs and General Counsel for Tahoe Resources where she led the Legal, Sustainability and Government Affairs departments and helped grow Tahoe from a junior exploration company to a mid-cap precious metals producer.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multi-national corporations. Ms. Hofmeister received a Bachelor of Arts degree in international relations from UCLA, a Master of Arts degree in international peace studies from the University of Notre Dame and a Juris Doctor degree from the University of San Francisco.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 Geoffrey Morphy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 Geoffrey Morphy serves as the President and Chief Executive Officer of the Company. Previously he served as Executive Vice President, President and Chief Operating Officer and Director of the Company. He was Co-CEO of Dundee Sarea Fund, a Canadian-based turnaround fund from December 2017 to November 2019. He was Vice-President, Corporate Development of Dundee Corporation (TSE: DC.A) from April 2016 to October 2019. In that capacity, he was part of the senior management team responsible for strategy, new investments and portfolio management. Since August 2016, Mr. Morphy is a director of Android Industries, L.L.C, a Michigan-based Tier One auto parts manufacturing company with global operations. In February 2021, he became a Trustee of R&amp;R Real Estate Investment Trust (TSXV: RRR.UN). Mr. Morphy is a past director of Parq-Vancouver, Blue Goose Capital Corporation, and was previously Chairman of Montreal based Dundee Sustainable Technologies Inc. (CSE: DST) and Co-CEO of Dundee Sarea Fund. Mr. Morphy has decades of cross-border and international commercial and corporate strategy, structuring, operational and finance experience. He has occupied executive positions at financial advisory firms and banks, such as the Farber Financial Group between 2008 and 2016, ABN Amro Bank N.V. and LaSalle Bank between 2005 and 2008, as well as Comerica Bank, between 2000 and 2005. Mr. Morphy holds a Bachelor of Commerce from Dalhousie University and in 2012 earned the designation of Certified Exit Planning Adviser from Chicago-based Exit Planning Institute, in 2015 became an exempt market dealer representative, and in 2019 was granted the designation of ICD.D from the Institute of Corporate Directors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Jeffrey Lucas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Jeffrey Lucas serves as the Chief Financial Officer of the Company. Prior to joining Bitfarms Canada, Mr. Lucas was Managing Director of Mackinac Partners, a financial restructuring and turnaround advisory firm. Previously, he was President and CFO of eMagin Corporation (NYSE), a publicly traded developer and manufacturer of microdisplays used in military and commercial applications. Prior to eMagin, Jeff was a Board Member and the CFO of Transfreight Companies, a logistics and transportation enterprise that managed the inbound supply chain for the major auto manufacturers. Jeff has also served as CFO for several other public and private companies in a variety of industries. Prior to his corporate roles, Mr. Lucas worked in high yield investment banking with L. F. Rothschild and in institutional money management as a securities analyst with Wells Capital Management. He is a Chartered Financial Analyst and eanred the Certified Public Accountant certification while a member of PricewaterhouseCoopers’ technology and industrials practices. Mr. Lucas earned an MBA with emphasis on finance from Harvard Business School and a BA in Economics from Tufts University and studied at the London School of Economics.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Cease Trade Orders, Bankruptcies, Penalties or Sanctions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of the Company, is or was within 10 years before March 20, 2023, a director, chief executive officer or chief financial officer of any company that:</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the subject of a cease trade order or similar order or an order that denied the relevant company access to any exemption under securities legislation for a period of more than 30 consecutive days;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No director or executive officer of the Company and no shareholder holding a sufficient number of securities to affect materially the control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as at March 20, 2023, or has been within the 10 years before March 20, 2023:</w:t>
      </w:r>
    </w:p>
    <w:p>
      <w:pPr>
        <w:spacing w:after="0" w:line="207"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penalties or sanctions imposed by a court or regulatory body that would likely be considered important to a reasonable securityholder in making an investment decision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Bitfarms Canada Board currently has five committees: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and Nominating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Social Responsibility Committee,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Advisory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current members of the Audit Committee are Pierre Seccareccia as Committee chair, Brian Howlett, and Andres Finkielsztain. All of the members are considered “independent” directors as defined in National Instrument 52-110 –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Company’s financial statements. The full text of the charter of the Audit Committee (the “</w:t>
      </w:r>
      <w:r>
        <w:rPr>
          <w:rFonts w:ascii="Times New Roman" w:cs="Times New Roman" w:eastAsia="Times New Roman" w:hAnsi="Times New Roman"/>
          <w:sz w:val="18"/>
          <w:szCs w:val="18"/>
          <w:b w:val="1"/>
          <w:bCs w:val="1"/>
          <w:color w:val="auto"/>
        </w:rPr>
        <w:t>Audit Committee Charter</w:t>
      </w:r>
      <w:r>
        <w:rPr>
          <w:rFonts w:ascii="Times New Roman" w:cs="Times New Roman" w:eastAsia="Times New Roman" w:hAnsi="Times New Roman"/>
          <w:sz w:val="18"/>
          <w:szCs w:val="18"/>
          <w:color w:val="auto"/>
        </w:rPr>
        <w:t>”) is attached as Appendix “A”.</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education and experience of each of the members of the Audit Committee is as follows:</w:t>
      </w:r>
    </w:p>
    <w:p>
      <w:pPr>
        <w:spacing w:after="0" w:line="235" w:lineRule="exact"/>
        <w:rPr>
          <w:sz w:val="20"/>
          <w:szCs w:val="20"/>
          <w:color w:val="auto"/>
        </w:rPr>
      </w:pPr>
    </w:p>
    <w:p>
      <w:pPr>
        <w:spacing w:after="0"/>
        <w:tabs>
          <w:tab w:leader="none" w:pos="4260" w:val="left"/>
          <w:tab w:leader="none" w:pos="8260" w:val="left"/>
        </w:tabs>
        <w:rPr>
          <w:sz w:val="20"/>
          <w:szCs w:val="20"/>
          <w:color w:val="auto"/>
        </w:rPr>
      </w:pPr>
      <w:r>
        <w:rPr>
          <w:rFonts w:ascii="Times New Roman" w:cs="Times New Roman" w:eastAsia="Times New Roman" w:hAnsi="Times New Roman"/>
          <w:sz w:val="18"/>
          <w:szCs w:val="18"/>
          <w:b w:val="1"/>
          <w:bCs w:val="1"/>
          <w:color w:val="auto"/>
        </w:rPr>
        <w:t>Name of Member</w:t>
      </w:r>
      <w:r>
        <w:rPr>
          <w:sz w:val="20"/>
          <w:szCs w:val="20"/>
          <w:color w:val="auto"/>
        </w:rPr>
        <w:tab/>
      </w:r>
      <w:r>
        <w:rPr>
          <w:rFonts w:ascii="Times New Roman" w:cs="Times New Roman" w:eastAsia="Times New Roman" w:hAnsi="Times New Roman"/>
          <w:sz w:val="18"/>
          <w:szCs w:val="18"/>
          <w:b w:val="1"/>
          <w:bCs w:val="1"/>
          <w:color w:val="auto"/>
        </w:rPr>
        <w:t>Education</w:t>
      </w:r>
      <w:r>
        <w:rPr>
          <w:sz w:val="20"/>
          <w:szCs w:val="20"/>
          <w:color w:val="auto"/>
        </w:rPr>
        <w:tab/>
      </w:r>
      <w:r>
        <w:rPr>
          <w:rFonts w:ascii="Times New Roman" w:cs="Times New Roman" w:eastAsia="Times New Roman" w:hAnsi="Times New Roman"/>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88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Pierre Seccareccia, FCPA, FCA</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Howlett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Andres Finkielsztain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800" w:type="dxa"/>
            <w:vAlign w:val="bottom"/>
            <w:tcBorders>
              <w:top w:val="single" w:sz="8" w:color="auto"/>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Accounting  degree  from  École  des</w:t>
            </w:r>
          </w:p>
        </w:tc>
        <w:tc>
          <w:tcPr>
            <w:tcW w:w="120" w:type="dxa"/>
            <w:vAlign w:val="bottom"/>
          </w:tcPr>
          <w:p>
            <w:pPr>
              <w:spacing w:after="0"/>
              <w:rPr>
                <w:sz w:val="17"/>
                <w:szCs w:val="17"/>
                <w:color w:val="auto"/>
              </w:rPr>
            </w:pPr>
          </w:p>
        </w:tc>
        <w:tc>
          <w:tcPr>
            <w:tcW w:w="5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Mr. Seccareccia has extensive experience in financial consulting and</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hautes</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études</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commerciales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 Partner of the Coopers &amp; Lybrand accounting firm</w:t>
            </w:r>
          </w:p>
        </w:tc>
      </w:tr>
      <w:tr>
        <w:trPr>
          <w:trHeight w:val="216"/>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Montréal (1969). Member of the Ordre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from 1976 to 1998, he acted as Managing Partner for its Montreal</w:t>
            </w:r>
          </w:p>
        </w:tc>
      </w:tr>
      <w:tr>
        <w:trPr>
          <w:trHeight w:val="216"/>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  comptables  agrées  du  Quebec</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south shore office from 1987 to 1989, for its Montreal central office</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(1970)</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from 1992 to 1996, and for its offices in the Province of Quebec from</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1996 to 1998. Following the merger in 1998 of Coopers &amp; Lybrand</w:t>
            </w:r>
          </w:p>
        </w:tc>
      </w:tr>
      <w:tr>
        <w:trPr>
          <w:trHeight w:val="216"/>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Fellow of the Order of Certified Public</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with  Price  Waterhouse,  he  acted  as  Managing  Partner  for  the</w:t>
            </w:r>
          </w:p>
        </w:tc>
      </w:tr>
      <w:tr>
        <w:trPr>
          <w:trHeight w:val="21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(1996).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Montreal office of PricewaterhouseCoopers LLP from 1998 to 2001.</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Since 2003, Mr. Seccareccia has acted as a full-time independent</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director for various public and private entities.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8"/>
              </w:rPr>
              <w:t>Bachelor</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Commerce</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from</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Mr. Howlett is currently the President, Chief Executive Officer and</w:t>
            </w:r>
          </w:p>
        </w:tc>
      </w:tr>
      <w:tr>
        <w:trPr>
          <w:trHeight w:val="216"/>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Concordia  University  (1982).  CMA</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of Hemlo Explorers Inc. Mr. Howlett also serves on the</w:t>
            </w:r>
          </w:p>
        </w:tc>
      </w:tr>
      <w:tr>
        <w:trPr>
          <w:trHeight w:val="21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designation (1989).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for several junior mining companies. Mr. Howlett recently</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President, Chief Executive Officer and a Director of</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Dundee Sustainable Technologies Inc. He also formerly served as the</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  of  Superior  Copper</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Prior to that, Mr. Howlett spent twelve years with ELI</w:t>
            </w: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Eco Logic Inc., including six years as Chief Financial Officer.</w:t>
            </w:r>
          </w:p>
        </w:tc>
      </w:tr>
      <w:tr>
        <w:trPr>
          <w:trHeight w:val="216"/>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Bachelor  of  Economics  from  Bard</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Mr. Finkielsztain is the Founding Managing Partner of FinkWald</w:t>
            </w:r>
          </w:p>
        </w:tc>
      </w:tr>
      <w:tr>
        <w:trPr>
          <w:trHeight w:val="21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College, New York (1999)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LLC, a private investment office specializing in private equity, real</w:t>
            </w:r>
          </w:p>
        </w:tc>
      </w:tr>
      <w:tr>
        <w:trPr>
          <w:trHeight w:val="234"/>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estate, media, and technology. He is also the co-head of the Special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-410845</wp:posOffset>
            </wp:positionV>
            <wp:extent cx="7132320" cy="1920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jc w:val="both"/>
        <w:ind w:left="2920"/>
        <w:spacing w:after="0" w:line="251" w:lineRule="auto"/>
        <w:rPr>
          <w:sz w:val="20"/>
          <w:szCs w:val="20"/>
          <w:color w:val="auto"/>
        </w:rPr>
      </w:pPr>
      <w:r>
        <w:rPr>
          <w:rFonts w:ascii="Times New Roman" w:cs="Times New Roman" w:eastAsia="Times New Roman" w:hAnsi="Times New Roman"/>
          <w:sz w:val="18"/>
          <w:szCs w:val="18"/>
          <w:color w:val="auto"/>
        </w:rPr>
        <w:t>Situations division at Banco Industrial in Argentina, where he analyzes and provides financing solutions to Argentinean-based companies and institutions. Mr. Finkielsztain previously served as a financial advisor for SBI,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92"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hanging="455"/>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Audit Committee Oversight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the commencement of the Company’s most recently completed financial year, there has not been a recommendation of the Audit Committee to nominate or compensate an external auditor which was not adopted by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pre-approve all audit and non-audit services not prohibited by law to be provided by the independent auditors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External Auditor Service Fees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in respect of audit, audit related, tax and other fees billed by the Company’s external auditor, in US$, during the fiscal years ended December 31,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510,000</w:t>
            </w:r>
          </w:p>
        </w:tc>
        <w:tc>
          <w:tcPr>
            <w:tcW w:w="0" w:type="dxa"/>
            <w:vAlign w:val="bottom"/>
          </w:tcPr>
          <w:p>
            <w:pPr>
              <w:spacing w:after="0"/>
              <w:rPr>
                <w:sz w:val="1"/>
                <w:szCs w:val="1"/>
                <w:color w:val="auto"/>
              </w:rPr>
            </w:pPr>
          </w:p>
        </w:tc>
      </w:tr>
      <w:tr>
        <w:trPr>
          <w:trHeight w:val="283"/>
        </w:trPr>
        <w:tc>
          <w:tcPr>
            <w:tcW w:w="8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189,000</w:t>
            </w:r>
          </w:p>
        </w:tc>
        <w:tc>
          <w:tcPr>
            <w:tcW w:w="0" w:type="dxa"/>
            <w:vAlign w:val="bottom"/>
          </w:tcPr>
          <w:p>
            <w:pPr>
              <w:spacing w:after="0"/>
              <w:rPr>
                <w:sz w:val="1"/>
                <w:szCs w:val="1"/>
                <w:color w:val="auto"/>
              </w:rPr>
            </w:pPr>
          </w:p>
        </w:tc>
      </w:tr>
      <w:tr>
        <w:trPr>
          <w:trHeight w:val="283"/>
        </w:trPr>
        <w:tc>
          <w:tcPr>
            <w:tcW w:w="8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0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984,000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745,000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for the audit of the Company’s annual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and consisted primarily of file quality review fees and fees for the review of quarterly financial statements, related documents and consent letters.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relying on any exemptions of NI 52-110.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Nominating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maintains a governance and nominating committee (the “</w:t>
      </w:r>
      <w:r>
        <w:rPr>
          <w:rFonts w:ascii="Times New Roman" w:cs="Times New Roman" w:eastAsia="Times New Roman" w:hAnsi="Times New Roman"/>
          <w:sz w:val="18"/>
          <w:szCs w:val="18"/>
          <w:b w:val="1"/>
          <w:bCs w:val="1"/>
          <w:color w:val="auto"/>
        </w:rPr>
        <w:t>Governance and Nominating Committee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and Nominating Committee is responsible for: (i) assisting management in developing responsible corporate governance policies and practices for the Company; (ii) overseeing adherence to corporate governance rules, policies and principles; (iii) identifying individuals qualified to be nominated as directors; (iv) evaluating the performance and effectiveness of the Board and its committees; and (v) overseeing compliance with the Company’s Code of Business Conduct and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Compensation Committee is responsible for ensuring that Bitfarms Canada has in place an appropriate plan for executive compensation and for making recommendations with respect to the compensation of the Company’s executive officers. The Board ensures that compensation paid to NEOs and executives is fair, reasonable, and consistent with Bitfarms Canada’s compensation policies and best practices.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Board reviews, and may approve, recommendations regarding compensation for senior management and directors. A combination of fixed and variable compensation is used to motivate executive officers and to achieve overall corporate goals. The three basic components of Bitfarms Canada’s executive compensation program are:</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payments;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 restricted share unit-based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Social Responsibility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recently created an Environmental and Social Responsibility Committee, responsible for assisting the Board in overseeing the Company’s programs, policies and practices relating to health and safety, environmental sustainability and corporate social responsibility.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Strategic Advisory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recently appointed a Strategic Advisory Committee for the purposes of assisting the Board of Directors in discharging its duties with respect to the development and implementation of the Company’s strategic plans and the risks associated with such plans. While it is Management’s responsibility to develop the Company’s strategic plans, the Strategic Advisory Committee fosters a cooperative, interactive and strategic planning process between the Board and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Conflicts of Interest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directors of Bitfarms Canada are required by law to act honestly and in good faith with a view to the best interests of Bitfarms Canada and to disclose any interests which they may have in any project or opportunity outside of Bitfarms Canada. If a conflict of interest arises, any director in a conflict will disclose his interest and abstain from voting on such matter at a meeting of the Board. To the best of Bitfarms Canada’s knowledge, and other than as disclosed in this AIF, there are no known existing or potential conflicts of interest among Bitfarms Canada, its directors and officers or other members of management of the Company or any proposed director, officer or other member of management as a result of their outside business interests, except that certain of the directors and officers serve as directors and officers of other companies, and therefore it is possible that a conflict may arise between their duties to Bitfarms Canada and their duties as a director or officer of such other companies.</w:t>
      </w:r>
    </w:p>
    <w:p>
      <w:pPr>
        <w:spacing w:after="0" w:line="1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INTEREST OF MANAGEMENT AND OTHERS IN MATERIAL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herein and elsewhere in this AIF, no directors, officers, principal shareholders of the Company, nor any Associate or Affiliate of the foregoing, have had any material interest, direct or indirect, in any transactions in which the Company has participated prior to March 20, 2023 that have materially affected or are reasonably expected to materially affect the Company or any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transactions with related parties other than as disclosed below.</w:t>
      </w:r>
    </w:p>
    <w:p>
      <w:pPr>
        <w:spacing w:after="0" w:line="225" w:lineRule="exact"/>
        <w:rPr>
          <w:sz w:val="20"/>
          <w:szCs w:val="20"/>
          <w:color w:val="auto"/>
        </w:rPr>
      </w:pPr>
    </w:p>
    <w:p>
      <w:pPr>
        <w:jc w:val="both"/>
        <w:ind w:left="660" w:hanging="328"/>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consulting agreements with two of the directors, Emiliano Joel Grodzki and Nicolas Bonta. The consulting fees charged by these directors totaled approximately $1,267,000 for the year ended December 31, 2022 ((year ended December 31, 2021 - $625,000; year ended December 31, 2020 - $379,000). As of December 31, 2022, Messrs. Grodzki and Bonta have resigned to their executive positions in the Company, the consulting agreements were terminated, and they only retain their positions of non-executive Directors, resulting in a total termination package $1,466,000.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charged rent expense of approximately $273,000 for the year ended December 31, 2022 (year ended December 31, 2021 - $475,000; the year ended December 31, 2020: $440,000) to companies controlled by certain directors. The above transactions were incurred in the normal course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set forth in this AIF, the management of Bitfarms Canada is not aware of any material interest, direct or indirect, of any director, executive officer, any Person or Company beneficially owning, controlling or directing, directly or indirectly, more than ten (10%) percent of Bitfarms Canada’s outstanding voting securities, or any Associate or Affiliate of the foregoing Persons, in any transaction in which Bitfarms Canada has participated within the three years before March 20, 2023, that has materially affected or is reasonably expected to materially affect Bitfarms Canada or any of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pending legal material proceedings to which the Company is or was party to, or that any of its property is or was the subject of, and Bitfarms Canada is not aware of any such proceedings known to be contemplated.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penalties or sanctions were imposed against the Company by a court relating to provincial and territorial securities legislation or by a securities regulatory authority since incorporation. No other penalties or sanctions have been imposed by a court or regulatory body against the Company necessary for this AIF to contain full, true and plain disclosure of all material facts. The Company has not entered into any settlement agreements before a court relating to provincial and territorial securities legislation or with a securities regulatory authority since incorporation.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Canada’s registrar and transfer agent is TSX Trust Company, located at 100 Adelaide Street West, Suite 301, Toronto, Ontario M5H 4H1.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for contracts made in the ordinary course of business, the following are the only material contracts entered into by Bitfarms Canada which are currently in effect and considered to be material.</w:t>
      </w:r>
    </w:p>
    <w:p>
      <w:pPr>
        <w:spacing w:after="0" w:line="158" w:lineRule="exact"/>
        <w:rPr>
          <w:sz w:val="20"/>
          <w:szCs w:val="20"/>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custodial services agreement between the Company and Coinbase Custody Trust Company, LLC (“</w:t>
      </w:r>
      <w:r>
        <w:rPr>
          <w:rFonts w:ascii="Times New Roman" w:cs="Times New Roman" w:eastAsia="Times New Roman" w:hAnsi="Times New Roman"/>
          <w:sz w:val="18"/>
          <w:szCs w:val="18"/>
          <w:b w:val="1"/>
          <w:bCs w:val="1"/>
          <w:color w:val="auto"/>
        </w:rPr>
        <w:t>Coinbase</w:t>
      </w:r>
      <w:r>
        <w:rPr>
          <w:rFonts w:ascii="Times New Roman" w:cs="Times New Roman" w:eastAsia="Times New Roman" w:hAnsi="Times New Roman"/>
          <w:sz w:val="18"/>
          <w:szCs w:val="18"/>
          <w:color w:val="auto"/>
        </w:rPr>
        <w:t>”) pursuant to which the Company appointed Coinbase to act as its provider of custodial services for the purpose of storing digital assets.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contract entered on July 3, 2021 between the Company and Inchigle Technology Hong Kong Limited, an affiliate of MicroBT, pursuant to which the Company purchased 12,000 Miners for total consideration of US$51,072,000, and its amendments signed on August 13, 2022 and December 28, 2022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contract entered on July 3, 2021 between the Company and SuperAcme Technology (Hong Kong) Limited, an affiliate of MicroBT, pursuant to which the Company purchased 24,000 Miners for total consideration of US$89,808,000, and its amendments signed on August 13, 2022 and December 28, 2022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contract entered on July between the Company and Shenzhen DJ Technology Co., Ltd, an affiliate of MicroBT. Pursuant to which the Company purchased 12,000 Miners for total consideration of US$48,571,200, and its amendments signed on August 13, 2022 and December 28, 2022.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eight-year power purchase agreement between the Company and Generacion Mediterranea S.A. (GMSA) pursuant to which the Company secured up to 210 MW of natural gas-powered energy. The agreement establishes that GMSA will supply the Company with power at a rate of $0.02 per kilowatt hour for the first four years, up to a maximum amount of 1,103,760 megawatt hours, subject to certain pro-rata adjustments and requiring the Company and GMSA to negotiate in good faith the price of any energy that is excluded from the 1,103,760 megawatt hours, or the amount of megawatt hours determined after the pro-rata adjustments. The pricing on the remaining four years of the eight-year energy contract will be determined by a formula that is largely dependent on natural gas prices.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master equipment finance agreement between the Company and NYDIG to which NYDIG agreed to loan for gross proceeds of $36.9 million collateralized by 10,395 MicroBT WhatsMiner M30S Miners. As part of the agreement, the Company must maintain in an identified wallet an approximate quantity of BTC whose value equates to one month of interest and principal payments on the outstanding loan.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for the years ended December 31, 2022 and 2021 have been audited by PricewaterhouseCoopers LLP. As at December 31, 2022 and 2021, PricewaterhouseCoopers LLP has advised that they are independent with respect to the Company within the meaning of the Chartered Professional Accountants of Ontario CPA Code of Professional Conduct and the rules of the US Securities and Exchange Commission and the requirements of the Public Company Accounting Oversight Board Rule 3520, Auditor Independence.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person or company whose profession or business gives authority to a report, valuation, statement or opinion and who is named as having prepared or certified a part of this AIF or as having prepared or certified a report or valuation described or included in this AIF holds or is to hold any beneficial or registered interest, direct or indirect, in any securities or property of Bitfarms Canada or any associate or affiliate of Bitfarms Canada or any subsidiaries thereof.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Additional information relating to the Company, including financial information in the Company’s Financial Statements and MD&amp;A for Fiscal 2022, is available on SEDAR at www.sedar.com. Moreover, additional information, including directors’ and officers’ remuneration and indebtedness, principal holders of the Company’s securities and securities authorized for issuance under equity compensation plans, if applicable, is contained in the Company’s information circular for its most recent annual meeting of securityholders.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03" w:lineRule="exact"/>
        <w:rPr>
          <w:sz w:val="20"/>
          <w:szCs w:val="20"/>
          <w:color w:val="auto"/>
        </w:rPr>
      </w:pPr>
    </w:p>
    <w:p>
      <w:pPr>
        <w:ind w:firstLine="647"/>
        <w:spacing w:after="0" w:line="286" w:lineRule="auto"/>
        <w:rPr>
          <w:sz w:val="20"/>
          <w:szCs w:val="20"/>
          <w:color w:val="auto"/>
        </w:rPr>
      </w:pPr>
      <w:r>
        <w:rPr>
          <w:rFonts w:ascii="Times New Roman" w:cs="Times New Roman" w:eastAsia="Times New Roman" w:hAnsi="Times New Roman"/>
          <w:sz w:val="18"/>
          <w:szCs w:val="18"/>
          <w:color w:val="auto"/>
        </w:rPr>
        <w:t>This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sets forth the purpose, composition, responsibilities and authority of the Audit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Bitfarms Ltd. (“</w:t>
      </w:r>
      <w:r>
        <w:rPr>
          <w:rFonts w:ascii="Times New Roman" w:cs="Times New Roman" w:eastAsia="Times New Roman" w:hAnsi="Times New Roman"/>
          <w:sz w:val="18"/>
          <w:szCs w:val="18"/>
          <w:b w:val="1"/>
          <w:bCs w:val="1"/>
          <w:color w:val="auto"/>
        </w:rPr>
        <w:t>Bitfarms Canada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Mandate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shall:</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its oversight role with respect to the quality and integrity of the financial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effectiveness of the Corporation’s risk management and compliance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independent auditor’s performance, qualifications and independence;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the Corporation’s internal audit function;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Corporation’s compliance with legal and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such reports of the Committee required to be included in any Management Information Circular in accordance with applicable laws or the rules of applicable securities regulatory authorities.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 Composition and Membership</w:t>
      </w:r>
    </w:p>
    <w:p>
      <w:pPr>
        <w:spacing w:after="0" w:line="229"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The committee shall be composed of not less than three members, each of whom shall be a director of the Corporation. A majority of the members of the Committee shall not be an officer or employee of the Corporation. All members shall satisfy the applicable independence and experience requirements of the laws governing the Corporation, the applicable stock exchanges on which the Corporation’s securities are listed and applicable securities regulatory authorities.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member of the Committee shall be financially literate as such qualification is interpreted by the Board of Directors in its business judgment.</w:t>
      </w:r>
    </w:p>
    <w:p>
      <w:pPr>
        <w:spacing w:after="0" w:line="22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or ceases to be a Director. The Board of Directors may fill a vacancy that occurs in the Committee at any time.</w:t>
      </w:r>
    </w:p>
    <w:p>
      <w:pPr>
        <w:spacing w:after="0" w:line="17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Board of Directors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firstLine="647"/>
        <w:spacing w:after="0" w:line="282" w:lineRule="auto"/>
        <w:rPr>
          <w:sz w:val="20"/>
          <w:szCs w:val="20"/>
          <w:color w:val="auto"/>
        </w:rPr>
      </w:pPr>
      <w:r>
        <w:rPr>
          <w:rFonts w:ascii="Times New Roman" w:cs="Times New Roman" w:eastAsia="Times New Roman" w:hAnsi="Times New Roman"/>
          <w:sz w:val="18"/>
          <w:szCs w:val="18"/>
          <w:color w:val="auto"/>
        </w:rPr>
        <w:t>The time and place of meetings of the Committee and the procedure at such meetings shall be determined from time to time by the members therefore provided that:</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meetings shall be at least three members;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meet at least quarterly;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directors entitled to vote on that resolution at a meeting of the Committee is as valid as if it had been passed at a meeting of the Committee.</w:t>
      </w:r>
    </w:p>
    <w:p>
      <w:pPr>
        <w:spacing w:after="0" w:line="162"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The Committee shall report to the Board of Directors on its activities after each of its meetings. The Committee shall review and assess the adequacy of this charter annually and, where necessary, will recommend changes to the Board of Directors for its approval. The Committee shall undertake and review with the Board of Directors an annual performance evaluation of the Committee, which shall compare the performance of the Committee with the requirements of this charter and set forth the goals and objectives of the Committee for the upcoming year.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4.0 Duties and Responsibilities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Oversight of the Independent Auditor</w:t>
      </w:r>
    </w:p>
    <w:p>
      <w:pPr>
        <w:spacing w:after="0" w:line="229" w:lineRule="exact"/>
        <w:rPr>
          <w:sz w:val="20"/>
          <w:szCs w:val="20"/>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appoint or replace the independent auditor (subject to shareholder ratification) and responsibility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deal with any such issues; and all relationships between the independent auditor and the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prior to the annual audit the scope, planning and staffing of the annual audit.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rotation of the lead (or coordinating) audit partner having primary responsibility for the audit and the audit partner responsible for reviewing the audit as required by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as necessary policies for the Corporation’s hiring of partners, employees or former partners and employees of the independent auditor.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Financial Reporting</w:t>
      </w:r>
    </w:p>
    <w:p>
      <w:pPr>
        <w:spacing w:after="0" w:line="229"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the annual audited financial statements prior to the publication of earnings.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annual and quarterly disclosures made in Management’s Discussion and Analysis. The Committee shall approve any reports for inclusion in the Corporation’s Annual Report, as required by applicable legislation.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management’s report on its assessment of internal controls over financial reporting and the independent auditor’s attestation report on management’s assessment.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quarterly financial statements prior to the publication of earnings.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at least annually any “Management” or “internal control” letters issued or proposed to be issued by the independent auditor to the Corporation.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any significant changes to the Corporation’s accounting principles and practices suggested by the independent auditor, internal audit personnel or Management.</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the Corporation’s earnings press releases, including the use of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or “adjusted” non-GAAP information, as well as financial information and earnings guidance (if any) provided to analysts and rating agencies.</w:t>
      </w:r>
    </w:p>
    <w:p>
      <w:pPr>
        <w:spacing w:after="0" w:line="16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the effect of regulatory and accounting initiatives as well as off-balance sheet structures on the Corporation’s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Corporation’s General Counsel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Oversight of Risk Management</w:t>
      </w:r>
    </w:p>
    <w:p>
      <w:pPr>
        <w:spacing w:after="0" w:line="229"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periodically Management’s risk philosophy and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at least annually reports demonstrating compliance with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quality and competence of Management appointed to administer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 independent auditor at least annually relating to the adequacy of the Corporation’s risk management practices together with Management’s responses.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at least annually the Corporation’s major financial risk exposures and steps Management has taken to monitor and control exposures including the Corporation’s risk assessment and risk management policies.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4.4 Oversight of Regulatory Compliance</w:t>
      </w:r>
    </w:p>
    <w:p>
      <w:pPr>
        <w:spacing w:after="0" w:line="229" w:lineRule="exact"/>
        <w:rPr>
          <w:sz w:val="20"/>
          <w:szCs w:val="20"/>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Corporation’s regulators, according to applicable law.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such other powers and perform such other duties and responsibilities as are incidental to the purposes, duties and responsibilities specified herein and as may from time to time be delegated to the Committee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Funding for the Independent Auditor and Retention of Other Independent Advisors</w:t>
      </w:r>
    </w:p>
    <w:p>
      <w:pPr>
        <w:spacing w:after="0" w:line="229"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Canada’s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 Procedures for Receipt of Complaints and Submissions Relating to Accounting Matters</w:t>
      </w:r>
    </w:p>
    <w:p>
      <w:pPr>
        <w:spacing w:after="0" w:line="229"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establish a Whistleblower Policy to allow for the submission anonymously and otherwise, accounting related complaints which shall be reviewed annually by the Audit Committee.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ensure the Whistleblower Policy provides review procedures for: (a) the receipt, retention and treatment of complaints received by the listed issuer regarding accounting, internal accounting controls, or auditing matters; and (b) The confidential,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report from through the Whistleblower reporting mechanism, the Committee shall discuss the report and take such steps as the Committee may deem appropriate.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inform the Board of Directors of the filed complaints or concerns at regularly scheduled meetings (unless they are unfounded or unless the materiality of the complaint requires earlier action).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7.0 Procedures for Approval of Non-Audit Services</w:t>
      </w:r>
    </w:p>
    <w:p>
      <w:pPr>
        <w:spacing w:after="0" w:line="229"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external auditors shall be prohibited from performing for the Corporation the following categories of non-audit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bookkeeping or other services related to the Corporation’s accounting records or financial statements;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systems design and implementation;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or valuation services, fairness opinion or contributions-in-kind reports;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outsourcing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functions;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 investment adviser or investment banking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services unrelated to the audit;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 that the Canadian Public Accountability Board determines is impermissible.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 of the Corporation shall maintain a record of non-audit services approved by the Chair of the Committee or the Committee for each fiscal year and provide a report to the Committee no less frequently than on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 Reporting</w:t>
      </w:r>
    </w:p>
    <w:p>
      <w:pPr>
        <w:spacing w:after="0" w:line="22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 Access to Information and Authority</w:t>
      </w:r>
    </w:p>
    <w:p>
      <w:pPr>
        <w:spacing w:after="0" w:line="229"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The Committee will be granted unrestricted access to all information regarding Bitfarms Canada that is necessary or desirable to fulfill its duties and all directors, officers and employees will be directed to cooperate as requested by Members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 Review of Charter</w:t>
      </w:r>
    </w:p>
    <w:p>
      <w:pPr>
        <w:spacing w:after="0" w:line="229" w:lineRule="exact"/>
        <w:rPr>
          <w:sz w:val="20"/>
          <w:szCs w:val="20"/>
          <w:color w:val="auto"/>
        </w:rPr>
      </w:pPr>
    </w:p>
    <w:p>
      <w:pPr>
        <w:ind w:right="1060" w:firstLine="647"/>
        <w:spacing w:after="0" w:line="282" w:lineRule="auto"/>
        <w:rPr>
          <w:sz w:val="20"/>
          <w:szCs w:val="20"/>
          <w:color w:val="auto"/>
        </w:rPr>
      </w:pPr>
      <w:r>
        <w:rPr>
          <w:rFonts w:ascii="Times New Roman" w:cs="Times New Roman" w:eastAsia="Times New Roman" w:hAnsi="Times New Roman"/>
          <w:sz w:val="18"/>
          <w:szCs w:val="18"/>
          <w:color w:val="auto"/>
        </w:rPr>
        <w:t>The Committee will annually review and assess the adequacy of this Charter and recommend any proposed changes to the Board for consideration.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24, 2022</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Approved by:</w:t>
            </w: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65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67 | Page</w:t>
            </w: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1254125</wp:posOffset>
            </wp:positionV>
            <wp:extent cx="2040255"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062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rPr>
              <w:t>Management’s Report for Financial Reporting</w:t>
            </w:r>
          </w:p>
        </w:tc>
        <w:tc>
          <w:tcPr>
            <w:tcW w:w="620" w:type="dxa"/>
            <w:vAlign w:val="bottom"/>
            <w:gridSpan w:val="2"/>
            <w:shd w:val="clear" w:color="auto" w:fill="CCEEFF"/>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identification #271)</w:t>
            </w:r>
          </w:p>
        </w:tc>
        <w:tc>
          <w:tcPr>
            <w:tcW w:w="620" w:type="dxa"/>
            <w:vAlign w:val="bottom"/>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Financial Position</w:t>
            </w:r>
          </w:p>
        </w:tc>
        <w:tc>
          <w:tcPr>
            <w:tcW w:w="620" w:type="dxa"/>
            <w:vAlign w:val="bottom"/>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Profit or Loss and Comprehensive Profit or Loss</w:t>
            </w:r>
          </w:p>
        </w:tc>
        <w:tc>
          <w:tcPr>
            <w:tcW w:w="620" w:type="dxa"/>
            <w:vAlign w:val="bottom"/>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Changes in Equity</w:t>
            </w:r>
          </w:p>
        </w:tc>
        <w:tc>
          <w:tcPr>
            <w:tcW w:w="620" w:type="dxa"/>
            <w:vAlign w:val="bottom"/>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620" w:type="dxa"/>
            <w:vAlign w:val="bottom"/>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30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37"/>
        </w:trPr>
        <w:tc>
          <w:tcPr>
            <w:tcW w:w="1062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620" w:type="dxa"/>
            <w:vAlign w:val="bottom"/>
            <w:tcBorders>
              <w:bottom w:val="single" w:sz="8" w:color="auto"/>
            </w:tcBorders>
            <w:gridSpan w:val="2"/>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9-62</w:t>
            </w:r>
          </w:p>
        </w:tc>
      </w:tr>
      <w:tr>
        <w:trPr>
          <w:trHeight w:val="439"/>
        </w:trPr>
        <w:tc>
          <w:tcPr>
            <w:tcW w:w="3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70"/>
        </w:trPr>
        <w:tc>
          <w:tcPr>
            <w:tcW w:w="10620" w:type="dxa"/>
            <w:vAlign w:val="bottom"/>
            <w:gridSpan w:val="7"/>
          </w:tcPr>
          <w:p>
            <w:pPr>
              <w:ind w:left="105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23"/>
                <w:szCs w:val="23"/>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FOR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jc w:val="both"/>
        <w:ind w:right="20" w:hanging="4"/>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presentation of the accompanying consolidated financial statements, which includes making significant accounting judgments and estimates in accordance with International Financial Reporting Standards, selecting appropriate accounting principles and methods, and making decisions that affect the measurement of transactions.</w:t>
      </w:r>
    </w:p>
    <w:p>
      <w:pPr>
        <w:spacing w:after="0" w:line="176"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 xml:space="preserve">Management, under the supervision of the Company’s Chief Executive Officer (the “CEO”) and Chief Financial Officer (the “CFO”), is responsible for establishing and maintaining adequate internal controls over financial reporting (“ICFR”). Management, under the supervision of the CEO and CFO, has evaluated the effectiveness of the Company’s ICFR, as at December 31, 2022, in accordance with the criteria established in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under the supervision of the CEO and CFO, has concluded that the Company’s ICFR, as at December 31, 2022, were effective to provide reasonable assurance regarding the reliability of the Company’s financial reporting and the preparation of its financial statements for external purposes in accordance with International Financial Reporting Standards.</w:t>
      </w:r>
    </w:p>
    <w:p>
      <w:pPr>
        <w:spacing w:after="0" w:line="18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and the Audit Committee of the Board are composed of a majority of independent directors who are neither management nor employees of the Company. The Board is responsible for overseeing management in the performance of its financial reporting responsibilities, and for approving the financial information included in the consolidated financial statements.</w:t>
      </w:r>
    </w:p>
    <w:p>
      <w:pPr>
        <w:spacing w:after="0" w:line="17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Board fulfills these responsibilities by reviewing the financial information prepared by management and discussing relevant matters with management and independent auditors. The Audit Committee has the responsibility of meeting with management and independent auditors to discuss the internal controls over the financial reporting process, auditing matters and financial reporting issues. The Audit Committee is also responsible for recommending the appointment of the Company’s independent auditors.</w:t>
      </w:r>
    </w:p>
    <w:p>
      <w:pPr>
        <w:spacing w:after="0" w:line="180"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of the Company, has been appointed by the shareholders to audit the consolidated financial statements as of December 31, 2022 and 2021 and for the years then ended and report directly to them. Their report follows. The independent auditors have full and free access to, and meet periodically and separately with, both the Audit Committee and management to discuss their audit findings.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jc w:val="center"/>
              <w:ind w:right="3800"/>
              <w:spacing w:after="0"/>
              <w:rPr>
                <w:sz w:val="20"/>
                <w:szCs w:val="20"/>
                <w:color w:val="auto"/>
              </w:rPr>
            </w:pPr>
            <w:r>
              <w:rPr>
                <w:rFonts w:ascii="Times New Roman" w:cs="Times New Roman" w:eastAsia="Times New Roman" w:hAnsi="Times New Roman"/>
                <w:sz w:val="18"/>
                <w:szCs w:val="18"/>
                <w:b w:val="1"/>
                <w:bCs w:val="1"/>
                <w:i w:val="1"/>
                <w:iCs w:val="1"/>
                <w:color w:val="auto"/>
                <w:w w:val="99"/>
              </w:rPr>
              <w:t>/s/ Geoffrey Morphy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232"/>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tc>
        <w:tc>
          <w:tcPr>
            <w:tcW w:w="38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3</w:t>
        <w:tab/>
        <w:t>Page</w:t>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(PCAOB IDENTIFICATION #271)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814070" cy="608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the Board of Directors and Shareholders of Bitfarms Ltd.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Bitfarms Ltd. and its subsidiaries (together, the Company) as of December 31, 2022 and 2021, and the related consolidated statements of profit or loss and comprehensive profit or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its financial performance and its cash flows for the years then ended in conformity with International Financial Reporting Standards as issued by the International Accounting Standards Board.</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Oakville, Canada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20, 2023</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Centre, 354 Davis Road, Suite 600, Oakville, Ontario, Canada L6J 0C5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+1 905 815 6300, F: +1 905 815 6499</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refers to PricewaterhouseCoopers LLP, an Ontario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4</w:t>
        <w:tab/>
        <w:t>Page</w:t>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56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4,512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expenses</w:t>
            </w:r>
          </w:p>
        </w:tc>
        <w:tc>
          <w:tcPr>
            <w:tcW w:w="226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12,921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12,142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4,635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66,031</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9, 16, 17</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86,825</w:t>
            </w:r>
          </w:p>
        </w:tc>
      </w:tr>
      <w:tr>
        <w:trPr>
          <w:trHeight w:val="243"/>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r>
      <w:tr>
        <w:trPr>
          <w:trHeight w:val="210"/>
        </w:trPr>
        <w:tc>
          <w:tcPr>
            <w:tcW w:w="56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69,088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287,127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12, 29</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219,428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16,364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38,185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86,681</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5, 11</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16,955</w:t>
            </w:r>
          </w:p>
        </w:tc>
      </w:tr>
      <w:tr>
        <w:trPr>
          <w:trHeight w:val="243"/>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3,896</w:t>
            </w:r>
          </w:p>
        </w:tc>
      </w:tr>
      <w:tr>
        <w:trPr>
          <w:trHeight w:val="24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343,098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43,054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4,346</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r>
      <w:tr>
        <w:trPr>
          <w:trHeight w:val="243"/>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12,093</w:t>
            </w:r>
          </w:p>
        </w:tc>
      </w:tr>
      <w:tr>
        <w:trPr>
          <w:trHeight w:val="209"/>
        </w:trPr>
        <w:tc>
          <w:tcPr>
            <w:tcW w:w="56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67,244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101,178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14,215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9,227</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8,451</w:t>
            </w:r>
          </w:p>
        </w:tc>
      </w:tr>
      <w:tr>
        <w:trPr>
          <w:trHeight w:val="24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87,531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429,120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378,893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26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65,512</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43,704</w:t>
            </w:r>
          </w:p>
        </w:tc>
      </w:tr>
      <w:tr>
        <w:trPr>
          <w:trHeight w:val="24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(239,065)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255,567</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422,582</w:t>
            </w:r>
          </w:p>
        </w:tc>
      </w:tr>
      <w:tr>
        <w:trPr>
          <w:trHeight w:val="244"/>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343,098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tc>
        <w:tc>
          <w:tcPr>
            <w:tcW w:w="2680" w:type="dxa"/>
            <w:vAlign w:val="bottom"/>
          </w:tcPr>
          <w:p>
            <w:pPr>
              <w:spacing w:after="0"/>
              <w:rPr>
                <w:sz w:val="20"/>
                <w:szCs w:val="20"/>
                <w:color w:val="auto"/>
              </w:rPr>
            </w:pPr>
          </w:p>
        </w:tc>
      </w:tr>
      <w:tr>
        <w:trPr>
          <w:trHeight w:val="432"/>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20, 2023</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/s/ Nicolas Bonta</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/s/ Geoffrey Morphy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87"/>
        </w:trPr>
        <w:tc>
          <w:tcPr>
            <w:tcW w:w="2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Chairman of the Board of</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President &amp; Chief Executive</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5</w:t>
        <w:tab/>
        <w:t>Page</w:t>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30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9, 29</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169,491</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131,910</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58,371</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10,518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111,120</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51,506</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43,238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150,810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(2,166)</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1,277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198"/>
        </w:trPr>
        <w:tc>
          <w:tcPr>
            <w:tcW w:w="7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equipment and construction prepayments, property, plant and equipment and</w:t>
            </w:r>
          </w:p>
        </w:tc>
        <w:tc>
          <w:tcPr>
            <w:tcW w:w="14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75,213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4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(284,022)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63,640</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(27,560)</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21,003</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(256,462)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42,637</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(17,412)</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20,507</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and total comprehensive (loss) income</w:t>
            </w:r>
          </w:p>
        </w:tc>
        <w:tc>
          <w:tcPr>
            <w:tcW w:w="1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w:t>
            </w: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w:t>
      </w:r>
    </w:p>
    <w:p>
      <w:pPr>
        <w:spacing w:after="0" w:line="31" w:lineRule="exact"/>
        <w:rPr>
          <w:sz w:val="20"/>
          <w:szCs w:val="20"/>
          <w:color w:val="auto"/>
        </w:rPr>
      </w:pPr>
    </w:p>
    <w:p>
      <w:pPr>
        <w:jc w:val="both"/>
        <w:ind w:left="6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207,776,000</w:t>
      </w:r>
      <w:r>
        <w:rPr>
          <w:sz w:val="20"/>
          <w:szCs w:val="20"/>
          <w:color w:val="auto"/>
        </w:rPr>
        <w:tab/>
      </w:r>
      <w:r>
        <w:rPr>
          <w:rFonts w:ascii="Times New Roman" w:cs="Times New Roman" w:eastAsia="Times New Roman" w:hAnsi="Times New Roman"/>
          <w:sz w:val="18"/>
          <w:szCs w:val="18"/>
          <w:color w:val="auto"/>
        </w:rPr>
        <w:t>157,652,000</w:t>
      </w:r>
    </w:p>
    <w:p>
      <w:pPr>
        <w:spacing w:after="0" w:line="14" w:lineRule="exact"/>
        <w:rPr>
          <w:sz w:val="20"/>
          <w:szCs w:val="20"/>
          <w:color w:val="auto"/>
        </w:rPr>
      </w:pPr>
    </w:p>
    <w:p>
      <w:pPr>
        <w:jc w:val="both"/>
        <w:ind w:left="6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207,776,000</w:t>
      </w:r>
      <w:r>
        <w:rPr>
          <w:sz w:val="20"/>
          <w:szCs w:val="20"/>
          <w:color w:val="auto"/>
        </w:rPr>
        <w:tab/>
      </w:r>
      <w:r>
        <w:rPr>
          <w:rFonts w:ascii="Times New Roman" w:cs="Times New Roman" w:eastAsia="Times New Roman" w:hAnsi="Times New Roman"/>
          <w:sz w:val="18"/>
          <w:szCs w:val="18"/>
          <w:color w:val="auto"/>
        </w:rPr>
        <w:t>169,392,000</w:t>
      </w:r>
    </w:p>
    <w:p>
      <w:pPr>
        <w:spacing w:after="0" w:line="200" w:lineRule="exact"/>
        <w:rPr>
          <w:sz w:val="20"/>
          <w:szCs w:val="20"/>
          <w:color w:val="auto"/>
        </w:rPr>
      </w:pPr>
    </w:p>
    <w:p>
      <w:pPr>
        <w:sectPr>
          <w:pgSz w:w="11900" w:h="16838" w:orient="portrait"/>
          <w:cols w:equalWidth="0" w:num="2">
            <w:col w:w="7560" w:space="720"/>
            <w:col w:w="2960"/>
          </w:cols>
          <w:pgMar w:left="320" w:top="873"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6</w:t>
        <w:tab/>
        <w:t>Page</w:t>
      </w:r>
    </w:p>
    <w:p>
      <w:pPr>
        <w:sectPr>
          <w:pgSz w:w="11900" w:h="16838" w:orient="portrait"/>
          <w:cols w:equalWidth="0" w:num="1">
            <w:col w:w="11240"/>
          </w:cols>
          <w:pgMar w:left="320" w:top="87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number of shares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194,806,000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378,893</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43,704</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422,582</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w:t>
            </w:r>
          </w:p>
        </w:tc>
        <w:tc>
          <w:tcPr>
            <w:tcW w:w="1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21,788</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21,788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29,324,000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54,086</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54,121</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expense related to equity</w:t>
            </w:r>
          </w:p>
        </w:tc>
        <w:tc>
          <w:tcPr>
            <w:tcW w:w="11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c>
          <w:tcPr>
            <w:tcW w:w="15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(3,895)</w:t>
            </w:r>
          </w:p>
        </w:tc>
        <w:tc>
          <w:tcPr>
            <w:tcW w:w="1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70,000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224,200,000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429,120</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65,512</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(239,065)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255,567</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88,939,000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32,004</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5,588</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(22,145)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22,130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22,585</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64,526,000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229,712</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30,228</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259,940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long-term debt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8,475,000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recovery related to equity</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4,287</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32,866,000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107,780</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(14,587)</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93,193</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194,806,000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378,893</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43,704</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422,582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7</w:t>
        <w:tab/>
        <w:t>Page</w:t>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91"/>
        </w:trPr>
        <w:tc>
          <w:tcPr>
            <w:tcW w:w="7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(Revised - Note</w:t>
            </w:r>
          </w:p>
        </w:tc>
        <w:tc>
          <w:tcPr>
            <w:tcW w:w="0" w:type="dxa"/>
            <w:vAlign w:val="bottom"/>
          </w:tcPr>
          <w:p>
            <w:pPr>
              <w:spacing w:after="0"/>
              <w:rPr>
                <w:sz w:val="1"/>
                <w:szCs w:val="1"/>
                <w:color w:val="auto"/>
              </w:rPr>
            </w:pPr>
          </w:p>
        </w:tc>
      </w:tr>
      <w:tr>
        <w:trPr>
          <w:trHeight w:val="234"/>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3e)</w:t>
            </w:r>
          </w:p>
        </w:tc>
        <w:tc>
          <w:tcPr>
            <w:tcW w:w="0" w:type="dxa"/>
            <w:vAlign w:val="bottom"/>
          </w:tcPr>
          <w:p>
            <w:pPr>
              <w:spacing w:after="0"/>
              <w:rPr>
                <w:sz w:val="1"/>
                <w:szCs w:val="1"/>
                <w:color w:val="auto"/>
              </w:rPr>
            </w:pPr>
          </w:p>
        </w:tc>
      </w:tr>
      <w:tr>
        <w:trPr>
          <w:trHeight w:val="216"/>
        </w:trPr>
        <w:tc>
          <w:tcPr>
            <w:tcW w:w="73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72,420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24,476</w:t>
            </w:r>
          </w:p>
        </w:tc>
        <w:tc>
          <w:tcPr>
            <w:tcW w:w="0" w:type="dxa"/>
            <w:vAlign w:val="bottom"/>
          </w:tcPr>
          <w:p>
            <w:pPr>
              <w:spacing w:after="0"/>
              <w:rPr>
                <w:sz w:val="1"/>
                <w:szCs w:val="1"/>
                <w:color w:val="auto"/>
              </w:rPr>
            </w:pPr>
          </w:p>
        </w:tc>
      </w:tr>
      <w:tr>
        <w:trPr>
          <w:trHeight w:val="198"/>
        </w:trPr>
        <w:tc>
          <w:tcPr>
            <w:tcW w:w="73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equipment and construction prepayments, property, plant and equipment and</w:t>
            </w:r>
          </w:p>
        </w:tc>
        <w:tc>
          <w:tcPr>
            <w:tcW w:w="13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75,213</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(27,560)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21,003</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mined</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(138,985)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mined</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158,674</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150,810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(2,166)</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21,788</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22,585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(17,412)</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8,842</w:t>
            </w:r>
          </w:p>
        </w:tc>
        <w:tc>
          <w:tcPr>
            <w:tcW w:w="0" w:type="dxa"/>
            <w:vAlign w:val="bottom"/>
          </w:tcPr>
          <w:p>
            <w:pPr>
              <w:spacing w:after="0"/>
              <w:rPr>
                <w:sz w:val="1"/>
                <w:szCs w:val="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1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1,277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financial expenses paid</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(17,724)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(14,957)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(3,978)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15,390</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36,250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(153,138)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10,500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(150,730)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202,379</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 purchased</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21,055</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through business combination</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 and other</w:t>
            </w:r>
          </w:p>
        </w:tc>
        <w:tc>
          <w:tcPr>
            <w:tcW w:w="1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(41,840)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(85,095)</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(155,011)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(208,998)</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54,086</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259,174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21, 27</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(6,077)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(31,221)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67,201</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14,227</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24,010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371,986</w:t>
            </w:r>
          </w:p>
        </w:tc>
        <w:tc>
          <w:tcPr>
            <w:tcW w:w="0" w:type="dxa"/>
            <w:vAlign w:val="bottom"/>
          </w:tcPr>
          <w:p>
            <w:pPr>
              <w:spacing w:after="0"/>
              <w:rPr>
                <w:sz w:val="1"/>
                <w:szCs w:val="1"/>
                <w:color w:val="auto"/>
              </w:rPr>
            </w:pPr>
          </w:p>
        </w:tc>
      </w:tr>
      <w:tr>
        <w:trPr>
          <w:trHeight w:val="209"/>
        </w:trPr>
        <w:tc>
          <w:tcPr>
            <w:tcW w:w="7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(94,751)</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119,669</w:t>
            </w: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year</w:t>
            </w:r>
          </w:p>
        </w:tc>
        <w:tc>
          <w:tcPr>
            <w:tcW w:w="1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125,595</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8</w:t>
        <w:tab/>
        <w:t>Page</w:t>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 owned subsidiaries (together referred to as the “Company” or “Bitfarms”). The activities of the Company mainly consist of cryptocurrency mining and are divided into multiple jurisdictions described in Note 29 “Geographical Information”. The Company’s operations are currently predominantly in Canada and the United States, with new operations having commenced in Paraguay and Argentina in 2022. 9159-9290 Quebec Inc. (“Volta”), a wholly owned subsidiary, assists the Company in building and maintaining its server farms and provides electrician services to both commercial and residential customers in Quebec. Bitfarms owns and operates server farms comprised of computers (referred to as “Miners”) designed for the purpose of validating transactions on the BTC Blockchain (referred to as “Mining”). Bitfarms generally operates Miners 24 hours a day producing Computational power (measured by hashrate) which it sells to Mining Pools, for a formula driven rate commonly known in the industry as Full Pay Per Share (“FPPS”).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are purchasing hashrate and take on risk with the aim to mine more blocks than they should in a given time period in seek of profit. The common shares of the Company are listed under the trading symbol BITF on the Nasdaq and Toronto Stock Exchange exchanges.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8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Volta</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Argentina</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Paraguay</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Mining</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BTC</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BVVE</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Blockchain Verification and Validation Equipment</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CAD</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USD</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U.S. Dollars</w:t>
            </w:r>
          </w:p>
        </w:tc>
      </w:tr>
      <w:tr>
        <w:trPr>
          <w:trHeight w:val="216"/>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2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ARS</w:t>
            </w:r>
          </w:p>
        </w:tc>
        <w:tc>
          <w:tcPr>
            <w:tcW w:w="78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500"/>
        <w:spacing w:after="0"/>
        <w:tabs>
          <w:tab w:leader="none" w:pos="10760" w:val="left"/>
        </w:tabs>
        <w:rPr>
          <w:sz w:val="20"/>
          <w:szCs w:val="20"/>
          <w:color w:val="auto"/>
        </w:rPr>
      </w:pPr>
      <w:r>
        <w:rPr>
          <w:rFonts w:ascii="Times New Roman" w:cs="Times New Roman" w:eastAsia="Times New Roman" w:hAnsi="Times New Roman"/>
          <w:sz w:val="18"/>
          <w:szCs w:val="18"/>
          <w:color w:val="auto"/>
        </w:rPr>
        <w:t>9</w:t>
        <w:tab/>
        <w:t>Page</w:t>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cryptocurrency mining industry, a highly volatile market with significant inherent risk. Declines in the market prices of cryptocurrencies, an increase in the difficulty of cryptocurrency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83" w:lineRule="exact"/>
        <w:rPr>
          <w:sz w:val="20"/>
          <w:szCs w:val="20"/>
          <w:color w:val="auto"/>
        </w:rPr>
      </w:pPr>
    </w:p>
    <w:p>
      <w:pPr>
        <w:jc w:val="both"/>
        <w:ind w:hanging="4"/>
        <w:spacing w:after="0" w:line="258"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for the twelve-month period, based on BTC market factors, including price, difficulty and network hashrate, as of the date these consolidated financial statements were authorized for issuance, indicate that it will generate positive cash flow in excess of required interest and principal payments due within the twelve-month period on its long-term debt. In December 2022, the Company renegotiated its 48,000 unit purchase agreements, extinguishing any future commitment related to the delivery and payment of BVVE, without penalty. Any prepaid deposits will be carryforward until the end of 2023 and be applied against future purchase agreements.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2022, Backbone Mining entered into a $32,000 equipment financing facility with BlockFi Lending LLC (“BlockFi”). Backbone Mining owns or leases the assets of Bitfarms’ 20-megawatt active crypto mining facilities in the State of Washington. The loan is secured by certain assets of Backbone Mining, including its Miners and certain BTC produced by those Miners and is recourse only against Backbone Mining.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fair value of the assets collateralizing the loan is estimated by Backbone Mining to be approximately $5,000, while the outstanding principal and interest is approximately $20,000.</w:t>
      </w:r>
    </w:p>
    <w:p>
      <w:pPr>
        <w:spacing w:after="0" w:line="162"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During December 2022, the Company ceased making installment payments, which constituted a default under the loan agreement and entitled BlockFi to exercise various rights and remedies against Backbone Mining and in respect of the collateral. As of December 31, 2022, BlockFi did not exercise rights or remedies against the Company as a result of the default and the loan was classified as current.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for cash consideration of $7,750, discharging Backbone Mining of all further obligations and resulting in a gain on extinguishment of long-term debt of $12,578. Upon settlement, all of Backbone Mining’s assets, including 6,100 Miners, were unencumbered.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any sale of its treasury and mined BTC will not be sufficient to fund its capital investments to support its growth objectives. If the BTC price does not increase,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may be diluted. If the Company was unable to obtain such financing, or if funds from operations and proceeds from any sale of the Company’s BTC holdings continue to be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10</w:t>
        <w:tab/>
        <w:t>Page</w:t>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consolidated financial statements for all periods presented unless otherwise stated.</w:t>
      </w:r>
    </w:p>
    <w:p>
      <w:pPr>
        <w:spacing w:after="0" w:line="221"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of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International Financial Reporting Standards as issued by the International Accounting Standards Board (“IFRS”). These consolidated financial statements were approved and authorized for issue by the Board of Directors on March 20,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cost basis, except for derivative financial instruments and digital assets that are measured at fair value. The consolidated financial statements are presented in U.S. dollars and all values are rounded to the nearest thousand, except where otherwise indicated.</w:t>
      </w:r>
    </w:p>
    <w:p>
      <w:pPr>
        <w:spacing w:after="0" w:line="17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present the profit or loss items using the function of expense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cycle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cycle of the Company is to mine digital assets and then routinely deposit them into custody, or convert them to fiat currency as needed. The Company’s activities have a one year operating cycle. Accordingly, the assets and liabilities are classified in the statement of financial position as current assets and liabilities based on the Company’s operating 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consists of cash at banks, cash held in trust and short-term deposits with a maturity of less than three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Acquisition-related costs are expensed as incurred and included in general and administrative expenses. The Company determines that it has acquired a business when the acquired set of activities and assets include an input and a substantive process that together significantly contribute to the ability to create outputs.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420"/>
        <w:spacing w:after="0"/>
        <w:tabs>
          <w:tab w:leader="none" w:pos="10760" w:val="left"/>
        </w:tabs>
        <w:rPr>
          <w:sz w:val="20"/>
          <w:szCs w:val="20"/>
          <w:color w:val="auto"/>
        </w:rPr>
      </w:pPr>
      <w:r>
        <w:rPr>
          <w:rFonts w:ascii="Times New Roman" w:cs="Times New Roman" w:eastAsia="Times New Roman" w:hAnsi="Times New Roman"/>
          <w:sz w:val="18"/>
          <w:szCs w:val="18"/>
          <w:color w:val="auto"/>
        </w:rPr>
        <w:t>11</w:t>
        <w:tab/>
        <w:t>Page</w:t>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of the consideration transferred and the amount recognised for non-controlling interests and any previous interest held over the net identifiable assets acquired and liabilities assumed).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For the purpose of impairment testing, goodwill acquired in a business combination is, from the acquisition date, allocated to each of the Company’s cash-generating units (“CGUs”) or group of CGUs that are expected to benefit from the combination, irrespective of whether other assets or liabilities of the acquiree are assigned to those units.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CGU or group of CGUs to which goodwill has been allocated are tested for impairment annually, or more frequently when there is an indication that the CGU or group of CGUs may be impaired. If the recoverable amount of the CGU or group of CGUs is less than its carrying amount, the impairment loss is allocated first to reduce the carrying amount of any goodwill allocated to the CGU or group of CGUs and then to the other assets of the CGU or group of CGUs on a pro-rata basis of the carrying amount of each asset in the CGU or group of CGUs. An impairment loss recognized for goodwill is not reversed in a subsequent period. The Company has designated December 31 as the date for its annual impairment test.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Functional currency and presentation currency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are presented in U.S. Dollars, which is the functional currency of the parent company, as well as the functional currency of Backbone, Backbone Argentina, Backbone Paraguay and Backbone Mining. The functional currency is the currency that best reflects the economic environment in which the Company operates and conducts its transactions. The functional currency of Volta, a Canadian subsidiary, is the Canadian dollar.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functional currency of each subsidiary. Volta has a Canadian functional currency, and, as such, assets and liabilities are translated using the exchange rate in effect at each reporting date. Revenues and expenses are translated using the average exchange rates in effect for all periods presented. The resulting translation differences are included in other comprehensive income. The translation differences on foreign currency translation of Volta were immaterial for the years ended December 31, 2022 and December 31, 2021.</w:t>
      </w:r>
    </w:p>
    <w:p>
      <w:pPr>
        <w:spacing w:after="0" w:line="17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Transactions, assets and liabilities in foreign currency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12</w:t>
        <w:tab/>
        <w:t>Page</w:t>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cryptocurrency mining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entered into contracts with mining pools and has undertaken the performance obligation of providing computing power to the mining pool in exchange for non-cash consideration in the form of cryptocurrency. Revenues from cryptocurrency mining are recognized when the computing power is provided to the mining pool. The Company measures the non-cash consideration received at the fair market value of the cryptocurrency received. Management estimates fair value on a daily basis as the quantity of cryptocurrency received multiplied by the price quoted on www.coinmarketcap.com (“Coinmarketcap”) on the day it was received. Management considers the prices quoted on Coinmarketcap to be a level 2 input under IFRS 13 Fair Value Measurement. Any difference between the fair value of cryptocurrency recorded upon receipt from mining activities and the actual realized price upon disposal are recorded as a gain or loss on disposition of cryptocurrency.</w:t>
      </w:r>
    </w:p>
    <w:p>
      <w:pPr>
        <w:spacing w:after="0" w:line="186"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hosting cryptocurrency mining equipment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hosting contracts where it operates mining equipment on behalf of third parties within its facilities. Revenue from hosting contracts is recognized as the Company meets its obligation of operating the hosted equipment over time. These contracts have been terminated as of December 31, 2021.</w:t>
      </w:r>
    </w:p>
    <w:p>
      <w:pPr>
        <w:spacing w:after="0" w:line="18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from electrical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through Volta, sells electrical components and provides electrician installation for those components as well as repair and maintenance services. Revenues are recognized according to the stage of completion of the transaction as of the balance sheet date. The stage of completion is estimated based on the costs incurred for the transaction compared to the estimated cost of completion for the project. According to this method, revenues are recognized in the reporting period in which the services are provided. In the event that the outcome of the contract cannot be measured reliably, the revenues are recognized to the extent of the recoverable expenses incurred.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amounts received in advance for future services to be provided are recorded as deferred revenues (contract liability), grouped with trade payables and accrued liabilities, and recognized as revenue in profit or loss when the services are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13</w:t>
        <w:tab/>
        <w:t>Page</w:t>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Cryptocurrency on hand at the end of a reporting period, if any, is classified as digital assets, and is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as an intangible asset with an indefinite useful life initially measured at cost, deemed to be the fair value upon receipt as described above, and subsequently measured under the revaluation model. Under the revaluation model, increases in the cryptocurrency’s carrying amount is recognized in other comprehensive income. Increases are recognized in profit or loss to the extent that they reverse a revaluation decrease of cryptocurrency previously recognized in profit or loss. The fair value of cryptocurrency on hand at the end of the reporting period is calculated as the quantity of cryptocurrency on hand multiplied by the price quoted on Coinmarketcap as of the reporting date.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The Company presents cryptocurrency pledged as collateral separate from unencumbered cryptocurrency.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year comprises current and deferred taxes. These taxes are recognized in profit or loss, except to the extent that they relate to items which are recognized in other comprehensive income or loss or directly in shareholders’ equity.</w:t>
      </w:r>
    </w:p>
    <w:p>
      <w:pPr>
        <w:spacing w:after="0" w:line="17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taxes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by the reporting date as well as adjustments required in connection with tax liabilities in respect of previous years.</w:t>
      </w:r>
    </w:p>
    <w:p>
      <w:pPr>
        <w:spacing w:after="0" w:line="17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that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the disposal of investments in investees have not been taken into account in computing deferred taxes as long as the disposal of the investments in investees is not probable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14</w:t>
        <w:tab/>
        <w:t>Page</w:t>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The determination is based on whether the contract conveys the right to control the use of an identified asset for a period of time in exchange for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a lessee applies a single recognition and measurement approach for all leases except for short-term leases and leases of low-value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liabilities to make lease payments and right-of-use assets (“ROU assets”) representing the right to use the underlying assets.</w:t>
      </w:r>
    </w:p>
    <w:p>
      <w:pPr>
        <w:spacing w:after="0" w:line="20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ROU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ROU assets at the commencement date of the lease (i.e., the date the underlying asset is available for use). ROU assets are measured at cost, less any accumulated depreciation and impairment losses, and adjusted for any remeasurement of lease liabilities. The cost of ROU assets includes the amount of lease liabilities recognized, initial direct costs incurred, and lease payments made at or before the commencement date less any lease incentives received. ROU assets are depreciated over the shorter of the lease term and the estimated useful lives of the assets,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3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4-10 years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 and Electrical components</w:t>
            </w:r>
          </w:p>
        </w:tc>
        <w:tc>
          <w:tcPr>
            <w:tcW w:w="33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Sum of years</w:t>
            </w:r>
          </w:p>
        </w:tc>
        <w:tc>
          <w:tcPr>
            <w:tcW w:w="47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ownership of the leased asset transfers to the Company at the end of the lease term or the cost reflects the exercise of a purchase option, depreciation is calculated using the estimated useful life of the asset and is classified with property plant and equipment. Refer to the accounting policies of Property, plant and equipment in this note. The ROU assets are also subject to impairment. Refer to the accounting policies of Impairment of non-financial assets in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15</w:t>
        <w:tab/>
        <w:t>Page</w:t>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liabilities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commencement date of the lease, the Company recognizes lease liabilities measured at the present value of lease payments to be made over the lease term. The lease payments include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leases and leases of low value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to its short-term leases of machinery, equipment and farming facilities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expense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these assets are no longer depreciated and are presented separately as current assets at the lower of their carrying amount and fair value less costs to sell. The gain or loss on disposition of assets held for sale will only be presented separately in other comprehensive income (loss) when it qualifies as part of discontinued operations.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16</w:t>
        <w:tab/>
        <w:t>Page</w:t>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includes the initial estimate of the costs of dismantling and removing the item and restoring the site on which the item is located.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6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w:t>
            </w:r>
          </w:p>
        </w:tc>
        <w:tc>
          <w:tcPr>
            <w:tcW w:w="36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Sum of years</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Mineral assets *</w:t>
            </w:r>
          </w:p>
        </w:tc>
        <w:tc>
          <w:tcPr>
            <w:tcW w:w="36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equipment</w:t>
            </w:r>
          </w:p>
        </w:tc>
        <w:tc>
          <w:tcPr>
            <w:tcW w:w="36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Sum of years</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6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w:t>
            </w:r>
          </w:p>
        </w:tc>
      </w:tr>
      <w:tr>
        <w:trPr>
          <w:trHeight w:val="234"/>
        </w:trPr>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improvement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6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Declining balance</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6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Declining balance</w:t>
            </w:r>
          </w:p>
        </w:tc>
        <w:tc>
          <w:tcPr>
            <w:tcW w:w="4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Since the acquisition of mineral assets in 2018, there has been no production.</w:t>
      </w:r>
    </w:p>
    <w:p>
      <w:pPr>
        <w:spacing w:after="0" w:line="225"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depreciation method is calculated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6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6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7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6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1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24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5/15</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4/15</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3/15</w:t>
            </w:r>
          </w:p>
        </w:tc>
        <w:tc>
          <w:tcPr>
            <w:tcW w:w="17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2/15</w:t>
            </w:r>
          </w:p>
        </w:tc>
        <w:tc>
          <w:tcPr>
            <w:tcW w:w="16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33.33%</w:t>
            </w:r>
          </w:p>
        </w:tc>
        <w:tc>
          <w:tcPr>
            <w:tcW w:w="1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26.67%</w:t>
            </w:r>
          </w:p>
        </w:tc>
        <w:tc>
          <w:tcPr>
            <w:tcW w:w="1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20.00%</w:t>
            </w: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13.33%</w:t>
            </w: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consist of acquired software and a below market lease acquired in a business combination used in the Company’s cryptocurrency mining operations. Intangible assets acquired separately are initially measured at cost plus direct acquisition costs. Intangible assets acquired in business combinations are measured at their fair value as of the acquisition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a finite useful life are amortized over their useful lives using the sum of years method and are reviewed for impairment whenever there is an indication that the asset may be impaired. The amortization period and the amortization method for an intangible asset are reviewed at least at each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17</w:t>
        <w:tab/>
        <w:t>Page</w:t>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8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8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Sum of years</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Favorable lease</w:t>
            </w:r>
          </w:p>
        </w:tc>
        <w:tc>
          <w:tcPr>
            <w:tcW w:w="38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19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Software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depreciation method for computer software is calculated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6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6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7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6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0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24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5/15</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4/15</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3/15</w:t>
            </w:r>
          </w:p>
        </w:tc>
        <w:tc>
          <w:tcPr>
            <w:tcW w:w="17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2/15</w:t>
            </w:r>
          </w:p>
        </w:tc>
        <w:tc>
          <w:tcPr>
            <w:tcW w:w="16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33.33%</w:t>
            </w:r>
          </w:p>
        </w:tc>
        <w:tc>
          <w:tcPr>
            <w:tcW w:w="1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26.67%</w:t>
            </w:r>
          </w:p>
        </w:tc>
        <w:tc>
          <w:tcPr>
            <w:tcW w:w="1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20.00%</w:t>
            </w: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13.33%</w:t>
            </w: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Favorable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favorable lease acquired during the business acquisition is described in Note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decision-maker, who is responsible for allocating resources and assessing the performance of the operating segments, and which has been identified as the management team that makes strategic decisions.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CGU to which the asset belongs. Impairment losses are recognized in profit or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impairment loss of an asset, other than goodwill, is reversed only if there have been changes in the estimates used to determine the asset’s recoverable amount since the last impairment loss was recognized. Reversal of an impairment loss, as noted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18</w:t>
        <w:tab/>
        <w:t>Page</w:t>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3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assets are initially measured at fair value plus transaction costs that can be directly attributed to the acquisition of the financial asset, except in the case of a financial asset measured at fair value through profit or loss in respect of which transaction costs are charged to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presented at amortized cost are subsequently measured using the effective interest rate method and are subject to impairment. Gains and losses are recognized in profit or loss when the asset is derecognized, modified or impaired. The Company’s financial assets at amortized cost includes trade receivables and certain items included in other assets. Net changes in financial assets measured at fair value are recognized in the statement of profit or loss.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Embedded derivatives are measured at fair value with changes in fair value recognized in profit or loss. This category includes the 2021 embedded derivative arising from the repayment terms of the Dominion loan described in Note 17. Reassessment only occurs if there is either a change in the terms of the contract that significantly modifies the cash flows that would otherwise be required or a reclassification of a financial asset out of the fair value through the profit or loss category.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trade receivables and contract assets, the Company applies a simplified approach in calculating ECLs. Therefore, the Company does not track changes in credit risk, but instead recognizes a loss allowance based on lifetime ECLs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a provision matrix that is based on its historical credit loss experience, adjusted for forward-looking factors specific to the debtors and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19</w:t>
        <w:tab/>
        <w:t>Page</w:t>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and accrued liabilities, credit facility and long-term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liabilities are either measured at fair value through profit or loss or at amortized cost. Financial liabilities measured at fair value through profit or loss included a warrant liability, subject to the amendment of the warrant terms as described in Note 17 and the warrants issued in the private placements described in Note 21. After initial recognition, interest-bearing loans and borrowings are subsequently measured at amortized cost using the effective interest rate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spacing w:after="0" w:line="186"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receive the cash flows from the financial asset expire, or when the Company transfers the contractual rights to a third party to receive the cash flows from the financial asset or assumes an obligation to pay the cash flows received in full to a third party without significant delay.</w:t>
      </w:r>
    </w:p>
    <w:p>
      <w:pPr>
        <w:spacing w:after="0" w:line="184"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liabilities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liabilities are derecognized when they are extinguished, which occurs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20</w:t>
        <w:tab/>
        <w:t>Page</w:t>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or whose fair value is disclosed are classified into categories within the fair value hierarchy, based on the lowest level input that is significant to the overall fair value 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3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3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0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Unadjusted quoted prices in an active market of identical assets and liabilities</w:t>
            </w:r>
          </w:p>
        </w:tc>
      </w:tr>
      <w:tr>
        <w:trPr>
          <w:trHeight w:val="23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Non-quoted prices included in Level 1 that are either directly or indirectly observable</w:t>
            </w:r>
          </w:p>
        </w:tc>
      </w:tr>
      <w:tr>
        <w:trPr>
          <w:trHeight w:val="243"/>
        </w:trPr>
        <w:tc>
          <w:tcPr>
            <w:tcW w:w="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0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that is not based on observable market information, such as valuation techniques without the use of observable market data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provisions relate to Backbone and Backbone Argentina’s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21</w:t>
        <w:tab/>
        <w:t>Page</w:t>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Shared-based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settled with equity instruments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cost of employee services paid in equity instruments is measured at the fair value of the equity instruments as of the grant date. The fair value is determined using a generally accepted option pricing model. Equity settled transactions with other services providers are measured at the fair value of the goods or services received in return for the equity instruments. The cost of equity-settled transactions is recognized in profit or loss together with a corresponding increase in contributed surplus during the period in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related to grants that do not vest are not recognized. Grants where the fair value is determined at the date of the grant based on non-vesting market conditions are treated as vested, assuming all other vesting conditions (service and/or performance) were met.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modifies the terms of equity-settled transactions, an additional expense is recognized on the date of the modification and is calculated as the increase in the fair value of the compensation granted in excess of the original expense.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issue of a unit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 represents the amount received on the issuance of shares, less issuance costs (net of tax).</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Fair value is then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22</w:t>
        <w:tab/>
        <w:t>Page</w:t>
      </w:r>
    </w:p>
    <w:p>
      <w:pPr>
        <w:sectPr>
          <w:pgSz w:w="11900" w:h="16838" w:orient="portrait"/>
          <w:cols w:equalWidth="0" w:num="1">
            <w:col w:w="11240"/>
          </w:cols>
          <w:pgMar w:left="320" w:top="90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as of January 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IFRS 3, </w:t>
      </w: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 xml:space="preserve"> (’‘IFRS 3’’)</w:t>
      </w:r>
    </w:p>
    <w:p>
      <w:pPr>
        <w:spacing w:after="0" w:line="31"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 xml:space="preserve">Amendments to IFRS 3 are designed to: i) update its reference to the 2018 Conceptual Framework instead of the 1989 Framework; ii) add a requirement that, for obligations within the scope of IAS 37, </w:t>
      </w:r>
      <w:r>
        <w:rPr>
          <w:rFonts w:ascii="Times New Roman" w:cs="Times New Roman" w:eastAsia="Times New Roman" w:hAnsi="Times New Roman"/>
          <w:sz w:val="18"/>
          <w:szCs w:val="18"/>
          <w:i w:val="1"/>
          <w:iCs w:val="1"/>
          <w:color w:val="auto"/>
        </w:rPr>
        <w:t>Provisions, Contingent Liabilities and Contingent Assets</w:t>
      </w:r>
      <w:r>
        <w:rPr>
          <w:rFonts w:ascii="Times New Roman" w:cs="Times New Roman" w:eastAsia="Times New Roman" w:hAnsi="Times New Roman"/>
          <w:sz w:val="18"/>
          <w:szCs w:val="18"/>
          <w:color w:val="auto"/>
        </w:rPr>
        <w:t xml:space="preserve"> (“IAS 37”), an acquirer applies IAS 37 to determine whether at the acquisition date a present obligation exists as a result of past events. For a levy that would be within the scope of IFRIC Interpretation 21, </w:t>
      </w:r>
      <w:r>
        <w:rPr>
          <w:rFonts w:ascii="Times New Roman" w:cs="Times New Roman" w:eastAsia="Times New Roman" w:hAnsi="Times New Roman"/>
          <w:sz w:val="18"/>
          <w:szCs w:val="18"/>
          <w:i w:val="1"/>
          <w:iCs w:val="1"/>
          <w:color w:val="auto"/>
        </w:rPr>
        <w:t>Levies</w:t>
      </w:r>
      <w:r>
        <w:rPr>
          <w:rFonts w:ascii="Times New Roman" w:cs="Times New Roman" w:eastAsia="Times New Roman" w:hAnsi="Times New Roman"/>
          <w:sz w:val="18"/>
          <w:szCs w:val="18"/>
          <w:color w:val="auto"/>
        </w:rPr>
        <w:t xml:space="preserve"> (“IFRIC 21”), the acquirer applies IFRIC 21 to determine whether the obligating event that gives rise to a liability to pay the levy has occurred by the acquisition date; and iii) add an explicit statement that an acquirer does not recognize contingent assets acquired in a business combination.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16, </w:t>
      </w:r>
      <w:r>
        <w:rPr>
          <w:rFonts w:ascii="Times New Roman" w:cs="Times New Roman" w:eastAsia="Times New Roman" w:hAnsi="Times New Roman"/>
          <w:sz w:val="18"/>
          <w:szCs w:val="18"/>
          <w:b w:val="1"/>
          <w:bCs w:val="1"/>
          <w:i w:val="1"/>
          <w:iCs w:val="1"/>
          <w:color w:val="auto"/>
        </w:rPr>
        <w:t>Property, Plant and Equipment</w:t>
      </w:r>
      <w:r>
        <w:rPr>
          <w:rFonts w:ascii="Times New Roman" w:cs="Times New Roman" w:eastAsia="Times New Roman" w:hAnsi="Times New Roman"/>
          <w:sz w:val="18"/>
          <w:szCs w:val="18"/>
          <w:b w:val="1"/>
          <w:bCs w:val="1"/>
          <w:color w:val="auto"/>
        </w:rPr>
        <w:t xml:space="preserve"> (’‘IAS 16’’)</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Amendments to IAS 16 prohibit deducting from the cost of an item of property, plant and equipment any proceeds from selling items produced before that asset is available for use (i.e., proceeds received while bringing the asset to the location and condition necessary for it to be capable of operating in the manner intended by management). Instead, an entity recognizes the proceeds from selling such items, and the cost of producing those items, in profit or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Amendments to IFRS 9 clarify which fees an entity includes when it applies the “10 per cent” test in assessing whether to derecognize a financial liability. An entity includes only fees paid or received between the entity (the borrower) and the lender, including fees paid or received by either the entity or the lender on the other’s behalf.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18"/>
          <w:szCs w:val="18"/>
          <w:color w:val="auto"/>
        </w:rPr>
        <w:t>Amendments to IFRS 16 remove the illustration of the reimbursement of leasehold improvements included in the Illustrative Example 13 of IFRS 16 since it does not explain clearly enough the conclusion as to whether the reimbursement would meet the definition of a lease incentive in IFRS 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the amendments listed above did not have a significant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23</w:t>
        <w:tab/>
        <w:t>Page</w:t>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to be adopted at a later date</w:t>
      </w:r>
    </w:p>
    <w:p>
      <w:pPr>
        <w:spacing w:after="0" w:line="229"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2023 and thereafter,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IAS 1, Presentation of Financial Statements (“IAS 1”)</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Amendments to IAS 1 change the requirements in IAS 1 with regard to disclosure of accounting policies. Applying the amendments, an entity discloses its material accounting policies, instead of its significant accounting policies. Further amendments to IAS 1 are made to explain how an entity can identify a material accounting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8, </w:t>
      </w:r>
      <w:r>
        <w:rPr>
          <w:rFonts w:ascii="Times New Roman" w:cs="Times New Roman" w:eastAsia="Times New Roman" w:hAnsi="Times New Roman"/>
          <w:sz w:val="18"/>
          <w:szCs w:val="18"/>
          <w:b w:val="1"/>
          <w:bCs w:val="1"/>
          <w:i w:val="1"/>
          <w:iCs w:val="1"/>
          <w:color w:val="auto"/>
        </w:rPr>
        <w:t>Accounting Policies, Changes in Accounting Estimates and Errors</w:t>
      </w:r>
      <w:r>
        <w:rPr>
          <w:rFonts w:ascii="Times New Roman" w:cs="Times New Roman" w:eastAsia="Times New Roman" w:hAnsi="Times New Roman"/>
          <w:sz w:val="18"/>
          <w:szCs w:val="18"/>
          <w:b w:val="1"/>
          <w:bCs w:val="1"/>
          <w:color w:val="auto"/>
        </w:rPr>
        <w:t xml:space="preserve"> (“IAS 8”)</w:t>
      </w:r>
    </w:p>
    <w:p>
      <w:pPr>
        <w:spacing w:after="0" w:line="31"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1"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2024 and thereafter,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IAS 1</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consolidated financial statements, debt and other liabilities with an uncertain settlement date should be classified as current (due or potentially due to be settled within one year) or non-current. The amendments also include clarifying the classification requirements for debt an entity might settle by converting it into equity.</w:t>
      </w:r>
    </w:p>
    <w:p>
      <w:pPr>
        <w:spacing w:after="0" w:line="189"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to disclose information about these covenants in the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Comparative figures revised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figures in the comparative period of the consolidated financial statements have been revised to conform to the current presentation. Specifically, within the consolidated statements of cash flows, cash flows related to the purchase and disposal of marketable securities were amended to be presented on a gross basis within investing activities, and as such, the financial statement line items “Purchase of marketable securities” and “Proceeds from disposition of marketable securities” were added in the current and comparative year, all within investing activities. Previously, such amounts were classified as a net cash flow within “Net financial (income) expenses” under operating activities. The revision between operating and investing activities was $6,149.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24</w:t>
        <w:tab/>
        <w:t>Page</w:t>
      </w:r>
    </w:p>
    <w:p>
      <w:pPr>
        <w:sectPr>
          <w:pgSz w:w="11900" w:h="16838" w:orient="portrait"/>
          <w:cols w:equalWidth="0" w:num="1">
            <w:col w:w="11240"/>
          </w:cols>
          <w:pgMar w:left="320" w:top="90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undertake several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 Information about the significant judgments, estimates and assumptions that have the most significant effect on the recognition and measurement of assets, liabilities, income and expenses are discussed below.</w:t>
      </w:r>
    </w:p>
    <w:p>
      <w:pPr>
        <w:spacing w:after="0" w:line="176"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Judgements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Going concern</w:t>
      </w:r>
    </w:p>
    <w:p>
      <w:pPr>
        <w:spacing w:after="0" w:line="9"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exercised judgment and used assumptions to determine that it will continue to operate as a going concern. Judgments and estimates were used in determining the Company’s future estimated cash flows for the twelve-month period following December 31, 2022, based on BTC market factors, including price, difficulty and network hashrate. Due to the sensitivity of cash flows to market conditions, small changes in these assumptions may give rise to the determination that there are material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currently no specific definitive guidance in IFRS or alternative accounting frameworks for accounting for the revenue recognition from cryptocurrency mining as well as subsequent measurement of cryptocurrency held. Management has determined that revenues should be recognized as the fair value of cryptocurrencies received in exchange for mining services on the date that cryptocurrencies are received and subsequently measured as an intangible asset. Management has exercised significant judgement in determining the appropriate accounting treatment. In the event authoritative guidance is issued by the International Accounting Standards Board, the Company may be required to change its accounting policies, which could have a material effect on the Company’s financial statements.</w:t>
      </w:r>
    </w:p>
    <w:p>
      <w:pPr>
        <w:spacing w:after="0" w:line="18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Estimates and assumptions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9"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application of IFRS 16 requires the Company to make judgments and estimates that affect the valuation of the lease liabilities and the valuation of ROU assets. These include the determination of contracts in scope of IFRS 16, the lease term and the interest rate used for discounting future cash flows.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lease liability at the present value of the lease payments using the implicit interest rate in the lease at the commencement of a new lease or when a lease is modified. If the rate cannot be readily determined, the Company evaluates its incremental borrowing cost using assumptions and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and it considers all relevant factors that create an economic incentive for it to exercise the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25</w:t>
        <w:tab/>
        <w:t>Page</w:t>
      </w:r>
    </w:p>
    <w:p>
      <w:pPr>
        <w:sectPr>
          <w:pgSz w:w="11900" w:h="16838" w:orient="portrait"/>
          <w:cols w:equalWidth="0" w:num="1">
            <w:col w:w="11240"/>
          </w:cols>
          <w:pgMar w:left="320" w:top="90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SIGNIFICANT ACCOUNTING JUDGMENTS AND ESTIMATES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right="7580" w:firstLine="8"/>
        <w:spacing w:after="0" w:line="263" w:lineRule="auto"/>
        <w:tabs>
          <w:tab w:leader="none" w:pos="64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included the renewal period as part of the lease term for leases of most farming facilities due to the significance of these assets to its operations. The Company has not included renewal periods for farming facilities beginning 10 years from the commencement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and intangible assets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Determining whether goodwill is impaired requires an estimation of the recoverable amount of the CGU or group of CGUs. Such recoverable amount corresponds, for the purpose of impairment assessment, to the higher of the value in use or the fair value less costs of disposal of the CGU or group of CGUs to which goodwill has been allocated.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in use calculation requires management to estimate future cash flows expected to arise from the CGU or group of CGUs and a suitable discount rate in order to calculate present value. The key assumptions required for the value in use estimation are the revenue per terahash, energy prices, discount rate and the terminal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value in use approach, the values assigned to key assumptions reflect past experience and external sources of information that are deemed accurate and reliable. The value in use is categorized as Level 3 in the fair value hierarchy described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 one or more key assumption used is based on unobservable data requiring the use of judgement.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using the value in use approach, cash flows for each CGU or group of CGUs are derived from the budget for the upcoming year, which is approved on an annual basis by members of the Company’s Board of Directors, and a long-term forecast prepared by management, which covers an additional period from 4 to 5 years. The discount rate is derived from the Company’s pre-tax weighted average cost of capital and is adjusted, where applicable, to take into account any specific risks. When applicable, management estimated the terminal value of the Miners included in the CGU for the purposes of the impairment testing to be the daily revenue per Terahash in effect at the end of the value in use calculation multiplied by the ending hashrate for a period of time. The main assumptions used for the goodwill impairment testing are disclosed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26</w:t>
        <w:tab/>
        <w:t>Page</w:t>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SIGNIFICANT ACCOUNTING JUDGMENTS AND ESTIMATES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reversal of impairment of non-financial assets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the need for recording impairment of mineral assets, as detailed in Note 11, for which purpose it engaged an independent external appraiser to assist in determining the value of the assets. The fair value was determined through use of the market approach, which includes analyzing similar and comparable mineral properties and making adjustments for differences between those properties and the subject among certain identifiable parameters.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exercised significant judgement in estimating the inputs used to determine the value in use of its equipment and construction prepayments, property, plant and equipment, right-of-use assets and intangible assets. When there is any indication that any tangible and intangible assets other than goodwill have incurred an impairment loss, the determination of the recoverable amount of such tangible and intangible assets other than goodwill requires management to estimate cash flows expected to arise from these assets and a suitable discount rate in order to calculate the present value in a manner described above for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secured debt financing facility with Dominion Capital LLC consisting of four equal loan tranches in 2020. Upon the drawdown of each loan tranche, management exercised significant judgement in determining the effective interest rates and the fair market value of the warrants issued in connection with each tranche. Management also exercised significant judgement in determining the fair market value of the embedded derivative, which was derecognized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27</w:t>
        <w:tab/>
        <w:t>Page</w:t>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w:t>
      </w:r>
    </w:p>
    <w:p>
      <w:pPr>
        <w:spacing w:after="0" w:line="229" w:lineRule="exact"/>
        <w:rPr>
          <w:sz w:val="20"/>
          <w:szCs w:val="20"/>
          <w:color w:val="auto"/>
        </w:rPr>
      </w:pPr>
    </w:p>
    <w:p>
      <w:pPr>
        <w:jc w:val="both"/>
        <w:ind w:hanging="9"/>
        <w:spacing w:after="0" w:line="256" w:lineRule="auto"/>
        <w:rPr>
          <w:sz w:val="20"/>
          <w:szCs w:val="20"/>
          <w:color w:val="auto"/>
        </w:rPr>
      </w:pPr>
      <w:r>
        <w:rPr>
          <w:rFonts w:ascii="Times New Roman" w:cs="Times New Roman" w:eastAsia="Times New Roman" w:hAnsi="Times New Roman"/>
          <w:sz w:val="18"/>
          <w:szCs w:val="18"/>
          <w:color w:val="auto"/>
        </w:rPr>
        <w:t>On November 9, 2021, the Company acquired a cryptocurrency mining facility in Washington State through its wholly-owned subsidiary, Backbone Mining, comprising land, buildings, 17 megawatts of electrical infrastructure, power purchase agreements totaling 12 megawatts and in-process power purchase agreement applications totaling 12 megawatts with a local hydro-electric utility producer. The consideration transferred was $26,676, including $23,000 of cash consideration and 415,000 common shares with a value of $3,676 on the closing date. The seller entered into a two-year consulting agreement with the Company in the amount of $2,000 for services relating to the operation of the facility. The Company also entered into a one-year lease agreement with the seller for a 5 megawatt cryptocurrency mining facility with monthly payments of $110.</w:t>
      </w:r>
    </w:p>
    <w:p>
      <w:pPr>
        <w:spacing w:after="0" w:line="187"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The primary reason for the acquisition was to expand the Company’s energy portfolio with existing infrastructure and to accommodate the Company’s expected delivery schedule of mining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fair values of the identifiable assets as of the date of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November 9,</w:t>
            </w:r>
          </w:p>
        </w:tc>
      </w:tr>
      <w:tr>
        <w:trPr>
          <w:trHeight w:val="237"/>
        </w:trPr>
        <w:tc>
          <w:tcPr>
            <w:tcW w:w="70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42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160" w:type="dxa"/>
            <w:vAlign w:val="bottom"/>
          </w:tcPr>
          <w:p>
            <w:pPr>
              <w:spacing w:after="0"/>
              <w:rPr>
                <w:sz w:val="24"/>
                <w:szCs w:val="24"/>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4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r>
      <w:tr>
        <w:trPr>
          <w:trHeight w:val="24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of 415,000 common shares transferred at closing</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3,676</w:t>
            </w:r>
          </w:p>
        </w:tc>
      </w:tr>
      <w:tr>
        <w:trPr>
          <w:trHeight w:val="244"/>
        </w:trPr>
        <w:tc>
          <w:tcPr>
            <w:tcW w:w="7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4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26,676</w:t>
            </w:r>
          </w:p>
        </w:tc>
      </w:tr>
      <w:tr>
        <w:trPr>
          <w:trHeight w:val="216"/>
        </w:trPr>
        <w:tc>
          <w:tcPr>
            <w:tcW w:w="70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w:t>
            </w:r>
          </w:p>
        </w:tc>
        <w:tc>
          <w:tcPr>
            <w:tcW w:w="4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favorable lease</w:t>
            </w:r>
          </w:p>
        </w:tc>
        <w:tc>
          <w:tcPr>
            <w:tcW w:w="4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36"/>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8,776</w:t>
            </w:r>
          </w:p>
        </w:tc>
      </w:tr>
      <w:tr>
        <w:trPr>
          <w:trHeight w:val="244"/>
        </w:trPr>
        <w:tc>
          <w:tcPr>
            <w:tcW w:w="7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r>
    </w:tbl>
    <w:p>
      <w:pPr>
        <w:spacing w:after="0" w:line="198"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Goodwill consists mainly of the benefit the Company expects to receive from acquiring a turnkey facility with active power purchase agreements compared to the timeline and process the Company would undertake to procure new power purchase agreements, the materials and equipment required to build a facility and complete the construction process in order to increase the Company’s share of the BTC network hashrate. The entire amount of goodwill is deductible for tax purposes.</w:t>
      </w:r>
    </w:p>
    <w:p>
      <w:pPr>
        <w:spacing w:after="0" w:line="180" w:lineRule="exact"/>
        <w:rPr>
          <w:sz w:val="20"/>
          <w:szCs w:val="20"/>
          <w:color w:val="auto"/>
        </w:rPr>
      </w:pPr>
    </w:p>
    <w:p>
      <w:pPr>
        <w:jc w:val="both"/>
        <w:ind w:hanging="4"/>
        <w:spacing w:after="0" w:line="256" w:lineRule="auto"/>
        <w:rPr>
          <w:sz w:val="20"/>
          <w:szCs w:val="20"/>
          <w:color w:val="auto"/>
        </w:rPr>
      </w:pPr>
      <w:r>
        <w:rPr>
          <w:rFonts w:ascii="Times New Roman" w:cs="Times New Roman" w:eastAsia="Times New Roman" w:hAnsi="Times New Roman"/>
          <w:sz w:val="18"/>
          <w:szCs w:val="18"/>
          <w:color w:val="auto"/>
        </w:rPr>
        <w:t>In May 2022, the valuation was finalized, resulting in measurement period adjustments. The acquisition date fair value of the electrical components was $5,954, a decrease of $1,127 compared to the provisional value. In addition, the fair value at the acquisition date of buildings decreased by $7, land decreased by $11 and intangible assets (favorable lease) increased by $200. The cumulative impact of these measurement period adjustments was recognized in the consolidated financial statements during the first quarter of 2022. The impact on the prior period was considered insignificant. As a result, there was a corresponding increase in goodwill of $945, resulting in $17,900 of total goodwill arising from the acquisition which is reflected in the table above.</w:t>
      </w:r>
    </w:p>
    <w:p>
      <w:pPr>
        <w:spacing w:after="0" w:line="187"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The Company generated $7,690 of revenues mainly from using the S19j pros installed at the Washington State facility, from November 9, 2021 to December 31, 2021. Prior to the acquisition, the Company incurred hosting fees of $3,907 during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2022, the goodwill was subject to an impairment. Refer to Note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28</w:t>
        <w:tab/>
        <w:t>Page</w:t>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CASH</w:t>
            </w:r>
          </w:p>
        </w:tc>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4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48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USD</w:t>
            </w:r>
          </w:p>
        </w:tc>
        <w:tc>
          <w:tcPr>
            <w:tcW w:w="4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24,596</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120,846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in USD held in trust</w:t>
            </w:r>
          </w:p>
        </w:tc>
        <w:tc>
          <w:tcPr>
            <w:tcW w:w="4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CAD</w:t>
            </w:r>
          </w:p>
        </w:tc>
        <w:tc>
          <w:tcPr>
            <w:tcW w:w="4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4,916</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in CAD held in trust</w:t>
            </w:r>
          </w:p>
        </w:tc>
        <w:tc>
          <w:tcPr>
            <w:tcW w:w="4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ARS</w:t>
            </w:r>
          </w:p>
        </w:tc>
        <w:tc>
          <w:tcPr>
            <w:tcW w:w="4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r>
      <w:tr>
        <w:trPr>
          <w:trHeight w:val="244"/>
        </w:trPr>
        <w:tc>
          <w:tcPr>
            <w:tcW w:w="486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TRADE RECEIVABLES</w:t>
      </w:r>
    </w:p>
    <w:p>
      <w:pPr>
        <w:spacing w:after="0" w:line="229"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 owned subsidiary, Volta. Trade receivables are non-interest bearing and are generally on terms of 30 to 90 days.</w:t>
      </w:r>
    </w:p>
    <w:p>
      <w:pPr>
        <w:spacing w:after="0" w:line="176"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Information about the credit risk exposure of the Company’s trade receivables as of December 31, 2022 and December 31, 2021 is detailed in the trade receivables aging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5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1 - 30 days</w:t>
            </w:r>
          </w:p>
        </w:tc>
        <w:tc>
          <w:tcPr>
            <w:tcW w:w="4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31 - 60 days</w:t>
            </w:r>
          </w:p>
        </w:tc>
        <w:tc>
          <w:tcPr>
            <w:tcW w:w="4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61 - 90 days</w:t>
            </w:r>
          </w:p>
        </w:tc>
        <w:tc>
          <w:tcPr>
            <w:tcW w:w="4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&gt; 91 days</w:t>
            </w:r>
          </w:p>
        </w:tc>
        <w:tc>
          <w:tcPr>
            <w:tcW w:w="4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85</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ECL</w:t>
            </w:r>
          </w:p>
        </w:tc>
        <w:tc>
          <w:tcPr>
            <w:tcW w:w="4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4"/>
        </w:trPr>
        <w:tc>
          <w:tcPr>
            <w:tcW w:w="532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53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5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4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588</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3,816</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refund and other receivables</w:t>
            </w:r>
          </w:p>
        </w:tc>
        <w:tc>
          <w:tcPr>
            <w:tcW w:w="4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532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4,512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 to Note 28b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29</w:t>
        <w:tab/>
        <w:t>Page</w:t>
      </w:r>
    </w:p>
    <w:p>
      <w:pPr>
        <w:sectPr>
          <w:pgSz w:w="11900" w:h="16838" w:orient="portrait"/>
          <w:cols w:equalWidth="0" w:num="1">
            <w:col w:w="11240"/>
          </w:cols>
          <w:pgMar w:left="320" w:top="900" w:right="339" w:bottom="1440" w:gutter="0" w:footer="0" w:header="0"/>
        </w:sectPr>
      </w:pPr>
    </w:p>
    <w:bookmarkStart w:id="109" w:name="page110"/>
    <w:bookmarkEnd w:id="109"/>
    <w:p>
      <w:pPr>
        <w:ind w:left="2"/>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NOTE 9: DIGITAL ASSETS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BTC transactions and the corresponding values for the years ended December 31, 2022 and December 31, 2021 were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6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39"/>
        </w:trPr>
        <w:tc>
          <w:tcPr>
            <w:tcW w:w="6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Quantity</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r>
      <w:tr>
        <w:trPr>
          <w:trHeight w:val="191"/>
        </w:trPr>
        <w:tc>
          <w:tcPr>
            <w:tcW w:w="6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1"/>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3,301</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152,856</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mined*</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5,167</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138,985</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3,453</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164,393</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purchased</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(9,063)</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(179,729)</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long-term debt repayment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(150,810)</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2,166</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3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as of December 31,</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6,705</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3,301</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152,856</w:t>
            </w:r>
          </w:p>
        </w:tc>
      </w:tr>
      <w:tr>
        <w:trPr>
          <w:trHeight w:val="237"/>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December 31,**</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(2,070)</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(86,825)</w:t>
            </w:r>
          </w:p>
        </w:tc>
      </w:tr>
      <w:tr>
        <w:trPr>
          <w:trHeight w:val="187"/>
        </w:trPr>
        <w:tc>
          <w:tcPr>
            <w:tcW w:w="6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2"/>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280</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4,635</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1,426</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66,031</w:t>
            </w:r>
          </w:p>
        </w:tc>
      </w:tr>
    </w:tbl>
    <w:p>
      <w:pPr>
        <w:spacing w:after="0" w:line="198" w:lineRule="exact"/>
        <w:rPr>
          <w:sz w:val="20"/>
          <w:szCs w:val="20"/>
          <w:color w:val="auto"/>
        </w:rPr>
      </w:pPr>
    </w:p>
    <w:p>
      <w:pPr>
        <w:jc w:val="both"/>
        <w:ind w:left="2" w:right="20" w:hanging="2"/>
        <w:spacing w:after="0" w:line="266" w:lineRule="auto"/>
        <w:tabs>
          <w:tab w:leader="none" w:pos="1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mined on a daily basis as the quantity of cryptocurrency received multiplied by the price quoted on Coinmarketcap on the day it was received. Management considers the prices quoted on Coinmarketcap to be a level 2 input under IFRS 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Refer to Note 16 and 17 for details of the Company’s credit facility and long-term debt, respectively,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291465</wp:posOffset>
            </wp:positionV>
            <wp:extent cx="713232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2"/>
        <w:spacing w:after="0"/>
        <w:tabs>
          <w:tab w:leader="none" w:pos="10761" w:val="left"/>
        </w:tabs>
        <w:rPr>
          <w:sz w:val="20"/>
          <w:szCs w:val="20"/>
          <w:color w:val="auto"/>
        </w:rPr>
      </w:pPr>
      <w:r>
        <w:rPr>
          <w:rFonts w:ascii="Times New Roman" w:cs="Times New Roman" w:eastAsia="Times New Roman" w:hAnsi="Times New Roman"/>
          <w:sz w:val="18"/>
          <w:szCs w:val="18"/>
          <w:color w:val="auto"/>
        </w:rPr>
        <w:t>30</w:t>
        <w:tab/>
        <w:t>Page</w:t>
      </w:r>
    </w:p>
    <w:p>
      <w:pPr>
        <w:sectPr>
          <w:pgSz w:w="11900" w:h="16838" w:orient="portrait"/>
          <w:cols w:equalWidth="0" w:num="1">
            <w:col w:w="11242"/>
          </w:cols>
          <w:pgMar w:left="318" w:top="90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movement of assets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Innosilicon T2T, Canaan</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Avalon A10, Antminer</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T15 &amp; Antminer S15</w:t>
            </w:r>
          </w:p>
        </w:tc>
        <w:tc>
          <w:tcPr>
            <w:tcW w:w="2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MicroBT Whatsminer</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8"/>
        </w:trPr>
        <w:tc>
          <w:tcPr>
            <w:tcW w:w="28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Antminer S9 Miners (a)</w:t>
            </w:r>
          </w:p>
        </w:tc>
        <w:tc>
          <w:tcPr>
            <w:tcW w:w="10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Miners (b)</w:t>
            </w:r>
          </w:p>
        </w:tc>
        <w:tc>
          <w:tcPr>
            <w:tcW w:w="2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M20S Miners (c)</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tcPr>
          <w:p>
            <w:pPr>
              <w:spacing w:after="0"/>
              <w:rPr>
                <w:sz w:val="20"/>
                <w:szCs w:val="20"/>
                <w:color w:val="auto"/>
              </w:rPr>
            </w:pPr>
          </w:p>
        </w:tc>
      </w:tr>
      <w:tr>
        <w:trPr>
          <w:trHeight w:val="236"/>
        </w:trPr>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7"/>
        </w:trPr>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6,318</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371</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6,318</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(258)</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reversal</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890</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r>
      <w:tr>
        <w:trPr>
          <w:trHeight w:val="237"/>
        </w:trPr>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6,060</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1,211</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6,060</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1,211</w:t>
            </w: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2,051</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325</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4,071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6,122</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2,103</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(3,982)</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(779)</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(207)</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(1,559)</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(748)</w:t>
            </w:r>
          </w:p>
        </w:tc>
        <w:tc>
          <w:tcPr>
            <w:tcW w:w="1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(5,748)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r>
      <w:tr>
        <w:trPr>
          <w:trHeight w:val="24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(2,078)</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(432)</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(572)</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(2,650)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37"/>
        </w:trPr>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1,272</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190</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2,512</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1,030</w:t>
            </w: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3,784</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w:t>
            </w:r>
          </w:p>
        </w:tc>
      </w:tr>
    </w:tbl>
    <w:p>
      <w:pPr>
        <w:spacing w:after="0" w:line="19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Antminer S9 Miners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ceased using its Antminer S9 Miners and planned to dispose of them within the next 12 months. During the year ended December 31, 2021, 258 Antminer S9 Miners with a carrying amount of $50 were disposed for net proceeds of $75 resulting in a gain of $25.</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3,982 Antminer S9 Miners with a carrying amount of $779 were disposed for net proceeds of $101 resulting in a loss of $678. The remaining Antminer S9 Miners were not sold within 12 months since being classified as held for sale in 2021 due to the decline of the BTC price during the year ended December 31, 2022. As a result, these Miners were written off and an impairment loss of $432 was recognized. Refer to Note 11.</w:t>
      </w:r>
    </w:p>
    <w:p>
      <w:pPr>
        <w:spacing w:after="0" w:line="176"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Innosilicon T2T, Canaan Avalon A10, Antminer T15 and Antminer S15 Miners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ceased using Innosilicon T2T Miners, Canaan Avalon A10 Miners, Antminer T15 Miners and Antminer S15 Miners with plans to dispose of them within the next 12 months. During the year ended December 31, 2022, 207 Antminer T15 Miners with a carrying amount of $22 were disposed for net proceeds of $31 resulting in a gain of $9. In addition, due to the decline of the BTC price during the year ended December 31, 2022, the remaining Canaan Avalon A10 Miners, Antminer T15 Miners and Antminer S15 Miners were written off and an impairment loss of $113 was recognized. Refer to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31</w:t>
        <w:tab/>
        <w:t>Page</w:t>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MicroBT Whatsminer M20S Miners</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ceased using its MicroBT Whatsminer M20S Miners and plans to dispose of them within the next 12 months. The Company sold 1,559 MicroBT Whatsminer M20S Miners with a carrying amount of $748 and disposed of them for net proceeds of $896 resulting in a gain of $148. Management determined that the remaining MicroBT Whatsminer M20S Miners continue to meet the criteria to be classified as held for sale as of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IMPAIRMENT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impairment loss (reversal) in the consolidated statements of profit or loss and comprehensive profit or loss:</w:t>
      </w:r>
    </w:p>
    <w:p>
      <w:pPr>
        <w:spacing w:after="0" w:line="24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8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equipment and construction prepayments, property, plant and equipment and right-of-use assets</w:t>
            </w:r>
          </w:p>
        </w:tc>
        <w:tc>
          <w:tcPr>
            <w:tcW w:w="17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75,213</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1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93,113</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32"/>
        </w:trPr>
        <w:tc>
          <w:tcPr>
            <w:tcW w:w="2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8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Equipment</w:t>
            </w: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held for</w:t>
            </w:r>
          </w:p>
        </w:tc>
        <w:tc>
          <w:tcPr>
            <w:tcW w:w="134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plant and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Washington State</w:t>
            </w:r>
          </w:p>
        </w:tc>
        <w:tc>
          <w:tcPr>
            <w:tcW w:w="7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mining CGU</w:t>
            </w:r>
          </w:p>
        </w:tc>
        <w:tc>
          <w:tcPr>
            <w:tcW w:w="74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306</w:t>
            </w:r>
          </w:p>
        </w:tc>
        <w:tc>
          <w:tcPr>
            <w:tcW w:w="14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6,208</w:t>
            </w:r>
          </w:p>
        </w:tc>
        <w:tc>
          <w:tcPr>
            <w:tcW w:w="176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66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24,414</w:t>
            </w: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(“Washington CGU”)</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a, c</w:t>
            </w:r>
          </w:p>
        </w:tc>
        <w:tc>
          <w:tcPr>
            <w:tcW w:w="16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760" w:type="dxa"/>
            <w:vAlign w:val="bottom"/>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Argentina cryptocurrency</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CGU (“Argentina</w:t>
            </w:r>
          </w:p>
        </w:tc>
        <w:tc>
          <w:tcPr>
            <w:tcW w:w="740" w:type="dxa"/>
            <w:vAlign w:val="bottom"/>
          </w:tcPr>
          <w:p>
            <w:pPr>
              <w:spacing w:after="0"/>
              <w:rPr>
                <w:sz w:val="18"/>
                <w:szCs w:val="18"/>
                <w:color w:val="auto"/>
              </w:rPr>
            </w:pPr>
          </w:p>
        </w:tc>
        <w:tc>
          <w:tcPr>
            <w:tcW w:w="16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50,326</w:t>
            </w: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1,728</w:t>
            </w: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32,027</w:t>
            </w:r>
          </w:p>
        </w:tc>
        <w:tc>
          <w:tcPr>
            <w:tcW w:w="17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84,081</w:t>
            </w: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CGU”)</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 c</w:t>
            </w:r>
          </w:p>
        </w:tc>
        <w:tc>
          <w:tcPr>
            <w:tcW w:w="16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Quebec cryptocurrency mining</w:t>
            </w:r>
          </w:p>
        </w:tc>
        <w:tc>
          <w:tcPr>
            <w:tcW w:w="74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(11,641)</w:t>
            </w:r>
          </w:p>
        </w:tc>
        <w:tc>
          <w:tcPr>
            <w:tcW w:w="12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(11,641)</w:t>
            </w: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CGU (“Quebec CGU”)</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760" w:type="dxa"/>
            <w:vAlign w:val="bottom"/>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Paraguay cryptocurrency</w:t>
            </w: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CGU (“Paraguay</w:t>
            </w:r>
          </w:p>
        </w:tc>
        <w:tc>
          <w:tcPr>
            <w:tcW w:w="740" w:type="dxa"/>
            <w:vAlign w:val="bottom"/>
          </w:tcPr>
          <w:p>
            <w:pPr>
              <w:spacing w:after="0"/>
              <w:rPr>
                <w:sz w:val="18"/>
                <w:szCs w:val="18"/>
                <w:color w:val="auto"/>
              </w:rPr>
            </w:pPr>
          </w:p>
        </w:tc>
        <w:tc>
          <w:tcPr>
            <w:tcW w:w="1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(8,486)</w:t>
            </w: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(8,486)</w:t>
            </w: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CGU”)</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545</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4,200</w:t>
            </w: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4,200</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30,199</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545</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2,034</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42,435</w:t>
            </w:r>
          </w:p>
        </w:tc>
        <w:tc>
          <w:tcPr>
            <w:tcW w:w="17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6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93,113</w:t>
            </w:r>
          </w:p>
        </w:tc>
        <w:tc>
          <w:tcPr>
            <w:tcW w:w="0" w:type="dxa"/>
            <w:vAlign w:val="bottom"/>
          </w:tcPr>
          <w:p>
            <w:pPr>
              <w:spacing w:after="0"/>
              <w:rPr>
                <w:sz w:val="1"/>
                <w:szCs w:val="1"/>
                <w:color w:val="auto"/>
              </w:rPr>
            </w:pPr>
          </w:p>
        </w:tc>
      </w:tr>
      <w:tr>
        <w:trPr>
          <w:trHeight w:val="432"/>
        </w:trPr>
        <w:tc>
          <w:tcPr>
            <w:tcW w:w="2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Quebec CGU</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d</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(970)</w:t>
            </w:r>
          </w:p>
        </w:tc>
        <w:tc>
          <w:tcPr>
            <w:tcW w:w="17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(890)</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1,800</w:t>
            </w:r>
          </w:p>
        </w:tc>
        <w:tc>
          <w:tcPr>
            <w:tcW w:w="17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6"/>
        </w:trPr>
        <w:tc>
          <w:tcPr>
            <w:tcW w:w="2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(890)</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830</w:t>
            </w: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33"/>
        </w:trPr>
        <w:tc>
          <w:tcPr>
            <w:tcW w:w="2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23"/>
                <w:szCs w:val="23"/>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Washington CGU’s impairment during the second quarter of 2022</w:t>
      </w:r>
    </w:p>
    <w:p>
      <w:pPr>
        <w:spacing w:after="0" w:line="31"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decline in the BTC price during the second quarter of 2022, the Company performed an evaluation of the recoverable amount of the property, plant and equipment and intangible assets for the Washington State cryptocurrency mining facility CGU as of June 30, 2022. As these groups of assets do not generate cash inflows that are independent of each other, the recoverable amount was calculated for the CGU comprised of the assets of BVVE and electrical equipment, long-term electricity deposits, land, building and favorable lease used in the cryptocurrency mining facility in Washington State.</w:t>
      </w:r>
    </w:p>
    <w:p>
      <w:pPr>
        <w:spacing w:after="0" w:line="18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recoverable amount was calculated using the value in use model, which calculated the present value of the future cash flows expected to be derived from the Washington CGU, which was determined to be lower than its carrying amount. Based on its calculation, the Company recorded an impairment loss on its Washington CGU resulting in an impairment charge to goodwill of $17,900 during the second quarter.</w:t>
      </w:r>
    </w:p>
    <w:p>
      <w:pPr>
        <w:spacing w:after="0" w:line="182"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CGU’s impairment during the third quarter of 2022</w:t>
      </w:r>
    </w:p>
    <w:p>
      <w:pPr>
        <w:spacing w:after="0" w:line="31"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as a result of the decline in the BTC price, the Company performed an evaluation of the recoverable amount of the assets for operating the cryptocurrency mining facilities in Quebec, Washington State and Argentina separately. As the group of assets for each CGU do not generate cash inflows that are independent of each other, the recoverable amount was calculated for each CGU comprised of the property, plant and equipment, ROU assets, long-term electricity deposits, long-term construction and equipment prepayments and favorable lease used in the operating cryptocurrency mining facilities in Quebec, Washington State and Argentina.</w:t>
      </w:r>
    </w:p>
    <w:p>
      <w:pPr>
        <w:spacing w:after="0" w:line="18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recoverable amount was calculated using the value in use model, which calculated the present value of the future cash flows expected to be derived from the Argentina CGU, which was determined to be lower than its carrying amount. Based on its calculation, the Company determined that an impairment loss should only be recorded on its operating Argentina CGU in the amount of $79,484 during the third quarter of 2022, of which $48,865 was allocated to equipment and construction prepayments, $1,648 to ROU assets and $28,971 to property, plant and equipment. The impairment loss was recognized in profit or loss under Impairment on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33</w:t>
        <w:tab/>
        <w:t>Page</w:t>
      </w:r>
    </w:p>
    <w:p>
      <w:pPr>
        <w:sectPr>
          <w:pgSz w:w="11900" w:h="16838" w:orient="portrait"/>
          <w:cols w:equalWidth="0" w:num="1">
            <w:col w:w="11240"/>
          </w:cols>
          <w:pgMar w:left="320" w:top="9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right="20" w:hanging="652"/>
        <w:spacing w:after="0" w:line="263" w:lineRule="auto"/>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Washington CGU and Argentina CGU’s impairment and Quebec CGU and Paraguay CGU’s impairment reversal during the fourth quarter of 2022</w:t>
      </w:r>
    </w:p>
    <w:p>
      <w:pPr>
        <w:spacing w:after="0" w:line="1"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2022, as a result of the decline in the BTC price, the Company performed an evaluation of the recoverable amount of the assets for operating the cryptocurrency mining facilities in Quebec, Washington State, Argentina and Paraguay separately. As the group of assets for each CGU do not generate cash inflows that are independent of each other, the recoverable amount was calculated for each CGU comprised of the property, plant and equipment, ROU assets, long-term electricity deposits, long-term construction and equipment prepayments and favorable lease used in the operating cryptocurrency mining facilities in Quebec, Washington State, Argentina and Paraguay.</w:t>
      </w:r>
    </w:p>
    <w:p>
      <w:pPr>
        <w:spacing w:after="0" w:line="18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recoverable amount was calculated using the value in use model, which calculated the present value of the future cash flows expected to be derived from the Washington CGU and Argentina CGU, which were determined to be lower than their carrying amount. Based on its calculation, the Company determined that an impairment loss should be recorded on its Washington CGU and Argentina CGU in the amount of $6,514 and $4,597, respectively, during the fourth quarter of 2022, of which nil and $1,461, respectively, were allocated to equipment and construction prepayments, $306 and $80, respectively, were allocated to ROU assets and $6,208 and $3,056, respectively, were allocated to property, plant and equipment. The impairment losses were recognized in profit or loss under Impairment on equipment and construction prepayments, property, plant and equipment and right-of-use assets.</w:t>
      </w:r>
    </w:p>
    <w:p>
      <w:pPr>
        <w:spacing w:after="0" w:line="188"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Reversal of impairment loss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renegotiation of the 48,000 unit purchase agreements, as described in Note 14b, allowed the deployment of Miners intended for the Argentina CGU to be reassigned to the Quebec CGU and Paraguay CGU. As a result, a portion of the equipment prepayments in the Argentina CGU that were impaired during the third quarter of 2022 was allocated to the Quebec CGU and Paraguay CGU. The deposits were transferred to the Quebec CGU and Paraguay CGU at the impaired amount. After performing the evaluation of the recoverable amount of the assets for these CGUs, the impairment losses previously recognized on these deposits were reversed into the Quebec CGU and Paraguay CGU by $11,641 and $8,486, respectively. The impairment reversals were recognized in profit or loss under Impairment on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34</w:t>
        <w:tab/>
        <w:t>Page</w:t>
      </w:r>
    </w:p>
    <w:p>
      <w:pPr>
        <w:sectPr>
          <w:pgSz w:w="11900" w:h="16838" w:orient="portrait"/>
          <w:cols w:equalWidth="0" w:num="1">
            <w:col w:w="11240"/>
          </w:cols>
          <w:pgMar w:left="320"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right="20" w:hanging="652"/>
        <w:spacing w:after="0" w:line="263" w:lineRule="auto"/>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Washington CGU and Argentina CGU’s impairment and Quebec CGU and Paraguay CGU’s impairment reversal during the fourth quarter of 2022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Sensitivity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following assumptions would result in further impairment on the Washington CGU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of 1%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of 1% in the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 increase of 1% in energy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 in impairment loss</w:t>
      </w:r>
    </w:p>
    <w:p>
      <w:pPr>
        <w:spacing w:after="0" w:line="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460</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145</w:t>
      </w:r>
    </w:p>
    <w:p>
      <w:pPr>
        <w:spacing w:after="0" w:line="200" w:lineRule="exact"/>
        <w:rPr>
          <w:sz w:val="20"/>
          <w:szCs w:val="20"/>
          <w:color w:val="auto"/>
        </w:rPr>
      </w:pPr>
    </w:p>
    <w:p>
      <w:pPr>
        <w:sectPr>
          <w:pgSz w:w="11900" w:h="16838" w:orient="portrait"/>
          <w:cols w:equalWidth="0" w:num="2">
            <w:col w:w="8300" w:space="720"/>
            <w:col w:w="2220"/>
          </w:cols>
          <w:pgMar w:left="320" w:top="90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following assumptions would result in further impairment on the Argentina CGU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 in impairment loss</w:t>
            </w: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decrease of 1% in revenues</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An increase of 1% in the discount rate</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increase of 1% in energy prices</w:t>
            </w:r>
          </w:p>
        </w:tc>
        <w:tc>
          <w:tcPr>
            <w:tcW w:w="5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Quebec CGU, a 1% decrease in revenues, a 1% increase in the discount rate or a 2% increase in energy prices would result in the recoverable amount being equal to the carrying amount. Additional changes in the following assumptions would result in impairment on the Quebec CGU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decrease of 1%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increase of 1% in the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increase of 1% in energy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 in impairment loss</w:t>
      </w:r>
    </w:p>
    <w:p>
      <w:pPr>
        <w:spacing w:after="0" w:line="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2,861</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2,432</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1,184</w:t>
      </w:r>
    </w:p>
    <w:p>
      <w:pPr>
        <w:spacing w:after="0" w:line="200" w:lineRule="exact"/>
        <w:rPr>
          <w:sz w:val="20"/>
          <w:szCs w:val="20"/>
          <w:color w:val="auto"/>
        </w:rPr>
      </w:pPr>
    </w:p>
    <w:p>
      <w:pPr>
        <w:sectPr>
          <w:pgSz w:w="11900" w:h="16838" w:orient="portrait"/>
          <w:cols w:equalWidth="0" w:num="2">
            <w:col w:w="8300" w:space="720"/>
            <w:col w:w="2220"/>
          </w:cols>
          <w:pgMar w:left="320" w:top="900" w:right="339" w:bottom="1440" w:gutter="0" w:footer="0" w:header="0"/>
          <w:type w:val="continuous"/>
        </w:sectPr>
      </w:pP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Paraguay CGU, management conducted a sensitivity analysis and determined that a reasonably possible change in any of the key assumptions would not result in an 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35</w:t>
        <w:tab/>
        <w:t>Page</w:t>
      </w:r>
    </w:p>
    <w:p>
      <w:pPr>
        <w:sectPr>
          <w:pgSz w:w="11900" w:h="16838" w:orient="portrait"/>
          <w:cols w:equalWidth="0" w:num="1">
            <w:col w:w="11240"/>
          </w:cols>
          <w:pgMar w:left="320" w:top="900"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Quebec CGU’s reversal of impairment during the third quarter of 2021</w:t>
      </w:r>
    </w:p>
    <w:p>
      <w:pPr>
        <w:spacing w:after="0" w:line="31"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the Company recorded an impairment loss on its cryptocurrency mining CGU which resulted in $16,454 of impairment being allocated to BVVE and electrical components and leasehold improvements due to a significant decline in the BTC market price. As of September 30, 2021, the Company assessed whether there was an indication that the impairment loss recognized in 2018 may no longer exist or may have decreased, and concluded that there were observable indications that the CGU’s value had increased during the period.</w:t>
      </w:r>
    </w:p>
    <w:p>
      <w:pPr>
        <w:spacing w:after="0" w:line="187"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Reversal of impairment loss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estimated the recoverable amount of the CGU, using a value in use calculation based on the present value of the expected cash flows over the estimated remaining useful life of the previously impaired CGU assets of approximately 1.5 years. Based on management’s calculations, an impairment reversal of $970 relating to the CGU was recognized during the period. The increased carrying amount of the CGU assets reflects the carrying amount of the CGU assets that would have been determined, net of depreciation, had no impairment loss been recognized in 2018. Mining assets outside of Quebec and Antminer S9 Miners were not included in the CGU for the purposes of the impairment reversal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36</w:t>
        <w:tab/>
        <w:t>Page</w:t>
      </w:r>
    </w:p>
    <w:p>
      <w:pPr>
        <w:sectPr>
          <w:pgSz w:w="11900" w:h="16838" w:orient="portrait"/>
          <w:cols w:equalWidth="0" w:num="1">
            <w:col w:w="11240"/>
          </w:cols>
          <w:pgMar w:left="320" w:top="90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used in the value in use calculation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 and</w:t>
            </w:r>
          </w:p>
        </w:tc>
      </w:tr>
      <w:tr>
        <w:trPr>
          <w:trHeight w:val="216"/>
        </w:trPr>
        <w:tc>
          <w:tcPr>
            <w:tcW w:w="1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reversal of impairment</w:t>
            </w:r>
          </w:p>
        </w:tc>
      </w:tr>
      <w:tr>
        <w:trPr>
          <w:trHeight w:val="238"/>
        </w:trPr>
        <w:tc>
          <w:tcPr>
            <w:tcW w:w="1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 (d)</w:t>
            </w: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Impairment (a)</w:t>
            </w: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 (b)</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r>
      <w:tr>
        <w:trPr>
          <w:trHeight w:val="27"/>
        </w:trPr>
        <w:tc>
          <w:tcPr>
            <w:tcW w:w="1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4"/>
        </w:trPr>
        <w:tc>
          <w:tcPr>
            <w:tcW w:w="1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 of 2021</w:t>
            </w:r>
          </w:p>
        </w:tc>
        <w:tc>
          <w:tcPr>
            <w:tcW w:w="1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Second quarter of 2022</w:t>
            </w:r>
          </w:p>
        </w:tc>
        <w:tc>
          <w:tcPr>
            <w:tcW w:w="1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 of 2022</w:t>
            </w:r>
          </w:p>
        </w:tc>
        <w:tc>
          <w:tcPr>
            <w:tcW w:w="1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Fourth quarter of 2022</w:t>
            </w:r>
          </w:p>
        </w:tc>
      </w:tr>
      <w:tr>
        <w:trPr>
          <w:trHeight w:val="193"/>
        </w:trPr>
        <w:tc>
          <w:tcPr>
            <w:tcW w:w="1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340" w:type="dxa"/>
            <w:vAlign w:val="bottom"/>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color w:val="auto"/>
              </w:rPr>
              <w:t>Two optimistic and two</w:t>
            </w:r>
          </w:p>
        </w:tc>
        <w:tc>
          <w:tcPr>
            <w:tcW w:w="186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The weighted average</w:t>
            </w:r>
          </w:p>
        </w:tc>
        <w:tc>
          <w:tcPr>
            <w:tcW w:w="196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The weighted average</w:t>
            </w:r>
          </w:p>
        </w:tc>
        <w:tc>
          <w:tcPr>
            <w:tcW w:w="186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The weighted average</w:t>
            </w:r>
          </w:p>
        </w:tc>
        <w:tc>
          <w:tcPr>
            <w:tcW w:w="188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The weighted average</w:t>
            </w: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pessimistic scenarios</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daily revenue per</w:t>
            </w: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daily revenue per</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daily revenue per</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daily revenue per</w:t>
            </w: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one status quo</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Terahash used in the</w:t>
            </w: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Terahash used in the</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Terahash used in the</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Terahash used in the</w:t>
            </w: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scenario, each with an</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in use calculation</w:t>
            </w: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in use calculation</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in use calculation</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value in use calculation</w:t>
            </w: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estimated future BTC</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 $0.22/Terahash</w:t>
            </w: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 $0.12/Terahash</w:t>
            </w: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 $0.12/Terahash</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was $0.11/Terahash</w:t>
            </w: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price and network</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difficulty, were used to</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project revenues and</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associated cash flows</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from cryptocurrency</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mining. Management</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assigned probabilities to</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each scenario to</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calculate weighted</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expected</w:t>
            </w:r>
          </w:p>
        </w:tc>
        <w:tc>
          <w:tcPr>
            <w:tcW w:w="1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41"/>
        </w:trPr>
        <w:tc>
          <w:tcPr>
            <w:tcW w:w="134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outcomes.</w:t>
            </w:r>
          </w:p>
        </w:tc>
        <w:tc>
          <w:tcPr>
            <w:tcW w:w="18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46" w:gutter="0" w:footer="0" w:header="0"/>
        </w:sect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Discount</w:t>
            </w:r>
          </w:p>
        </w:tc>
        <w:tc>
          <w:tcPr>
            <w:tcW w:w="2380" w:type="dxa"/>
            <w:vAlign w:val="bottom"/>
          </w:tcPr>
          <w:p>
            <w:pPr>
              <w:ind w:left="600"/>
              <w:spacing w:after="0" w:line="194" w:lineRule="exact"/>
              <w:rPr>
                <w:sz w:val="20"/>
                <w:szCs w:val="20"/>
                <w:color w:val="auto"/>
              </w:rPr>
            </w:pPr>
            <w:r>
              <w:rPr>
                <w:rFonts w:ascii="Times New Roman" w:cs="Times New Roman" w:eastAsia="Times New Roman" w:hAnsi="Times New Roman"/>
                <w:sz w:val="18"/>
                <w:szCs w:val="18"/>
                <w:color w:val="auto"/>
              </w:rPr>
              <w:t>The discount rate</w:t>
            </w:r>
          </w:p>
        </w:tc>
        <w:tc>
          <w:tcPr>
            <w:tcW w:w="18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The discount pre-tax</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rate and</w:t>
            </w: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reflects management’s</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rate used was estimated</w:t>
            </w:r>
          </w:p>
        </w:tc>
      </w:tr>
      <w:tr>
        <w:trPr>
          <w:trHeight w:val="22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assumptions regarding</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 18.3%</w:t>
            </w: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unit’s specific risk.</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pre-tax discount</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rate used was estimated</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 some of the risk</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already being implicitly</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reflected through</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management’s</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allocation of</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probabilities to the</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various scenarios</w:t>
            </w:r>
          </w:p>
        </w:tc>
        <w:tc>
          <w:tcPr>
            <w:tcW w:w="18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included in the revenue</w:t>
            </w:r>
          </w:p>
        </w:tc>
        <w:tc>
          <w:tcPr>
            <w:tcW w:w="18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calculation.</w:t>
            </w: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The value in use of the CGU was determined based on the present value of the expected cash flows over a four-year period discounted at an annual pre-tax rate of 24.75% in varying scenarios</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Times New Roman" w:cs="Times New Roman" w:eastAsia="Times New Roman" w:hAnsi="Times New Roman"/>
          <w:sz w:val="18"/>
          <w:szCs w:val="18"/>
          <w:color w:val="auto"/>
        </w:rPr>
        <w:t>The value in use of the Quebec, Washington State and Argentina CGUs were determined based on the present value of the expected cash flows over five-year, four-year and five-year periods, respectively, discounted at annual pre-tax rates of 29.00%, 29.75% and</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38.25%, respectively, in varying scenarios</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Times New Roman" w:cs="Times New Roman" w:eastAsia="Times New Roman" w:hAnsi="Times New Roman"/>
          <w:sz w:val="18"/>
          <w:szCs w:val="18"/>
          <w:color w:val="auto"/>
        </w:rPr>
        <w:t>The value in use of the Quebec, Washington State, Paraguay and Argentina CGUs were determined based on the present value of the expected cash flows over five-year, four-year, five-year and five-year periods, respectively, discounted at annual pre-tax rates of 25.25%, 26.00%,</w:t>
      </w:r>
    </w:p>
    <w:p>
      <w:pPr>
        <w:spacing w:after="0" w:line="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30.75% and 34.75%, respectively, in varying scenarios</w:t>
      </w:r>
    </w:p>
    <w:p>
      <w:pPr>
        <w:spacing w:after="0" w:line="1" w:lineRule="exact"/>
        <w:rPr>
          <w:sz w:val="20"/>
          <w:szCs w:val="20"/>
          <w:color w:val="auto"/>
        </w:rPr>
      </w:pPr>
    </w:p>
    <w:p>
      <w:pPr>
        <w:sectPr>
          <w:pgSz w:w="11900" w:h="16838" w:orient="portrait"/>
          <w:cols w:equalWidth="0" w:num="4">
            <w:col w:w="5460" w:space="200"/>
            <w:col w:w="1720" w:space="180"/>
            <w:col w:w="1780" w:space="120"/>
            <w:col w:w="1780"/>
          </w:cols>
          <w:pgMar w:left="320" w:top="900" w:right="339" w:bottom="46"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30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Energy</w:t>
            </w:r>
          </w:p>
        </w:tc>
        <w:tc>
          <w:tcPr>
            <w:tcW w:w="2400" w:type="dxa"/>
            <w:vAlign w:val="bottom"/>
            <w:tcBorders>
              <w:top w:val="single" w:sz="8" w:color="auto"/>
            </w:tcBorders>
            <w:shd w:val="clear" w:color="auto" w:fill="CCEEFF"/>
          </w:tcPr>
          <w:p>
            <w:pPr>
              <w:ind w:left="580"/>
              <w:spacing w:after="0" w:line="202" w:lineRule="exact"/>
              <w:rPr>
                <w:sz w:val="20"/>
                <w:szCs w:val="20"/>
                <w:color w:val="auto"/>
              </w:rPr>
            </w:pPr>
            <w:r>
              <w:rPr>
                <w:rFonts w:ascii="Times New Roman" w:cs="Times New Roman" w:eastAsia="Times New Roman" w:hAnsi="Times New Roman"/>
                <w:sz w:val="18"/>
                <w:szCs w:val="18"/>
                <w:color w:val="auto"/>
              </w:rPr>
              <w:t>Management estimated</w:t>
            </w:r>
          </w:p>
        </w:tc>
        <w:tc>
          <w:tcPr>
            <w:tcW w:w="1860" w:type="dxa"/>
            <w:vAlign w:val="bottom"/>
            <w:tcBorders>
              <w:top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$0.04 per kilowatt hour</w:t>
            </w:r>
          </w:p>
        </w:tc>
        <w:tc>
          <w:tcPr>
            <w:tcW w:w="1940" w:type="dxa"/>
            <w:vAlign w:val="bottom"/>
            <w:tcBorders>
              <w:top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$0.027 per kilowatt hour</w:t>
            </w:r>
          </w:p>
        </w:tc>
        <w:tc>
          <w:tcPr>
            <w:tcW w:w="1900" w:type="dxa"/>
            <w:vAlign w:val="bottom"/>
            <w:tcBorders>
              <w:top w:val="single" w:sz="8" w:color="auto"/>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$0.046, $0.027 and</w:t>
            </w:r>
          </w:p>
        </w:tc>
        <w:tc>
          <w:tcPr>
            <w:tcW w:w="1840" w:type="dxa"/>
            <w:vAlign w:val="bottom"/>
            <w:tcBorders>
              <w:top w:val="single" w:sz="8" w:color="auto"/>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$0.048, $0.044, $0.038</w:t>
            </w:r>
          </w:p>
        </w:tc>
      </w:tr>
      <w:tr>
        <w:trPr>
          <w:trHeight w:val="22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24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that energy prices for</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Quebec CGU</w:t>
            </w:r>
          </w:p>
        </w:tc>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 the Washington State</w:t>
            </w:r>
          </w:p>
        </w:tc>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$0.030 per kilowatt hour</w:t>
            </w:r>
          </w:p>
        </w:tc>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$0.039 per kilowatt</w:t>
            </w:r>
          </w:p>
        </w:tc>
      </w:tr>
      <w:tr>
        <w:trPr>
          <w:trHeight w:val="216"/>
        </w:trPr>
        <w:tc>
          <w:tcPr>
            <w:tcW w:w="1300" w:type="dxa"/>
            <w:vAlign w:val="bottom"/>
            <w:shd w:val="clear" w:color="auto" w:fill="CCEEFF"/>
          </w:tcPr>
          <w:p>
            <w:pPr>
              <w:spacing w:after="0"/>
              <w:rPr>
                <w:sz w:val="18"/>
                <w:szCs w:val="18"/>
                <w:color w:val="auto"/>
              </w:rPr>
            </w:pPr>
          </w:p>
        </w:tc>
        <w:tc>
          <w:tcPr>
            <w:tcW w:w="24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the duration of the</w:t>
            </w: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CGU</w:t>
            </w:r>
          </w:p>
        </w:tc>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 the Quebec,</w:t>
            </w:r>
          </w:p>
        </w:tc>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hour for the Quebec,</w:t>
            </w:r>
          </w:p>
        </w:tc>
      </w:tr>
      <w:tr>
        <w:trPr>
          <w:trHeight w:val="216"/>
        </w:trPr>
        <w:tc>
          <w:tcPr>
            <w:tcW w:w="1300" w:type="dxa"/>
            <w:vAlign w:val="bottom"/>
            <w:shd w:val="clear" w:color="auto" w:fill="CCEEFF"/>
          </w:tcPr>
          <w:p>
            <w:pPr>
              <w:spacing w:after="0"/>
              <w:rPr>
                <w:sz w:val="18"/>
                <w:szCs w:val="18"/>
                <w:color w:val="auto"/>
              </w:rPr>
            </w:pPr>
          </w:p>
        </w:tc>
        <w:tc>
          <w:tcPr>
            <w:tcW w:w="24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forecasted years will be</w:t>
            </w: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Washington State and</w:t>
            </w:r>
          </w:p>
        </w:tc>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Washington State,</w:t>
            </w:r>
          </w:p>
        </w:tc>
      </w:tr>
      <w:tr>
        <w:trPr>
          <w:trHeight w:val="216"/>
        </w:trPr>
        <w:tc>
          <w:tcPr>
            <w:tcW w:w="1300" w:type="dxa"/>
            <w:vAlign w:val="bottom"/>
            <w:shd w:val="clear" w:color="auto" w:fill="CCEEFF"/>
          </w:tcPr>
          <w:p>
            <w:pPr>
              <w:spacing w:after="0"/>
              <w:rPr>
                <w:sz w:val="18"/>
                <w:szCs w:val="18"/>
                <w:color w:val="auto"/>
              </w:rPr>
            </w:pPr>
          </w:p>
        </w:tc>
        <w:tc>
          <w:tcPr>
            <w:tcW w:w="24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approximately:</w:t>
            </w: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Argentina CGUs,</w:t>
            </w:r>
          </w:p>
        </w:tc>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Paraguay and Argentina</w:t>
            </w:r>
          </w:p>
        </w:tc>
      </w:tr>
      <w:tr>
        <w:trPr>
          <w:trHeight w:val="266"/>
        </w:trPr>
        <w:tc>
          <w:tcPr>
            <w:tcW w:w="13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respectively</w:t>
            </w:r>
          </w:p>
        </w:tc>
        <w:tc>
          <w:tcPr>
            <w:tcW w:w="1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CGUs, respectively</w:t>
            </w:r>
          </w:p>
        </w:tc>
      </w:tr>
      <w:tr>
        <w:trPr>
          <w:trHeight w:val="187"/>
        </w:trPr>
        <w:tc>
          <w:tcPr>
            <w:tcW w:w="13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Terminal</w:t>
            </w:r>
          </w:p>
        </w:tc>
        <w:tc>
          <w:tcPr>
            <w:tcW w:w="2400" w:type="dxa"/>
            <w:vAlign w:val="bottom"/>
            <w:tcBorders>
              <w:top w:val="single" w:sz="8" w:color="auto"/>
            </w:tcBorders>
          </w:tcPr>
          <w:p>
            <w:pPr>
              <w:ind w:left="580"/>
              <w:spacing w:after="0" w:line="188" w:lineRule="exact"/>
              <w:rPr>
                <w:sz w:val="20"/>
                <w:szCs w:val="20"/>
                <w:color w:val="auto"/>
              </w:rPr>
            </w:pPr>
            <w:r>
              <w:rPr>
                <w:rFonts w:ascii="Times New Roman" w:cs="Times New Roman" w:eastAsia="Times New Roman" w:hAnsi="Times New Roman"/>
                <w:sz w:val="18"/>
                <w:szCs w:val="18"/>
                <w:color w:val="auto"/>
              </w:rPr>
              <w:t>Management estimated</w:t>
            </w:r>
          </w:p>
        </w:tc>
        <w:tc>
          <w:tcPr>
            <w:tcW w:w="186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Approximately 6</w:t>
            </w:r>
          </w:p>
        </w:tc>
        <w:tc>
          <w:tcPr>
            <w:tcW w:w="194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Approximately 6</w:t>
            </w:r>
          </w:p>
        </w:tc>
        <w:tc>
          <w:tcPr>
            <w:tcW w:w="190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Not applicable</w:t>
            </w:r>
          </w:p>
        </w:tc>
        <w:tc>
          <w:tcPr>
            <w:tcW w:w="18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Not applicable</w:t>
            </w:r>
          </w:p>
        </w:tc>
      </w:tr>
      <w:tr>
        <w:trPr>
          <w:trHeight w:val="22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values</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terminal value of the</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months</w:t>
            </w:r>
          </w:p>
        </w:tc>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months</w:t>
            </w:r>
          </w:p>
        </w:tc>
        <w:tc>
          <w:tcPr>
            <w:tcW w:w="1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Miners included in the</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CGU for the purposes</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the impairment</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testing to be the daily</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revenue per Terahash in</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effect at the end of the</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value in use calculation</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multiplied by the ending</w:t>
            </w: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hashrate for a period of:</w:t>
            </w:r>
          </w:p>
        </w:tc>
        <w:tc>
          <w:tcPr>
            <w:tcW w:w="1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10400" w:right="100" w:hanging="10392"/>
        <w:spacing w:after="0" w:line="877" w:lineRule="auto"/>
        <w:tabs>
          <w:tab w:leader="none" w:pos="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BTC price and BTC network difficulty that can lead to changes in expected revenues were considered in the various scenarios listed above. 37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1323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900" w:right="339" w:bottom="46"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Antminer S9 Miners were classified as assets held for sale since 2021. Refer to Note 10. During the year ended December 31, 2021, management has determined that the carrying amount of the Antminer S9, including the impairment recognized in 2018, was less than the estimated fair value less costs to sell. As a result, the Company recognized an impairment reversal of $890 relating to the impaired Antminer S9 Miners held for sale, reflecting the carrying amount that would have been determined, net of depreciation, had no impairment loss been recognized in 2018.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due to the decline of the BTC price, unsold Antminer S9 Miners were written off and an impairment loss of $432 was recognized in profit or loss under Impairment on equipment and construction prepayments, property, plant and equipment and right-of-use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due to the decline of the BTC price, unsold Canaan Avalon A10 Miners, Antminer T15 Miners and Antminer S15 Miners were written off and an impairment loss of $113 was recognized in profit or loss under Impairment on equipment and construction prepayments, property, plant and equipment and right-of-use assets.</w:t>
      </w:r>
    </w:p>
    <w:p>
      <w:pPr>
        <w:spacing w:after="0" w:line="172"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Suni mineral asset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the Company engaged an independent appraiser to determine the fair value as of the acquisition date, April 12, 2018, of Suni, an iron ore deposit located in Canada held by the acquiree. The appraiser’s valuation report was based on the market comparison method and the analysis of similar assets. Following certain adjustments resulting from changes in the price of iron ore, among other variables, Suni’s value at April 12, 2018 was estimated at $9,000.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independent appraiser was engaged also to determine Suni’s fair value as of December 31, 2021 and 2020. Using the same valuation techniques, the appraiser determined that the value of Suni was $7,700 on December 31, 2021, or $7,200 after reflecting estimated costs to sell, compared to $9,000 on December 31, 2020, which resulted in an impairment of $1,800 to Suni’s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independent appraiser was engaged to determine Suni’s fair value as of September 30, 2022 due to the decline in the iron ore price during the third quarter of 2022. Using the same method as the previous independent appraiser, the new appraiser determined that the fair value of Suni was $3,250, or $3,000 after reflecting estimated costs to sell, compared to $7,200 on December 31, 2021, which resulted in an impairment of $4,200 during the third quarter of 2022 to Suni’s mineral asset book value. There were no further impairment indicators as of December 31,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impairment losses were recognized in profit or loss under Impairment on equipment and construction prepayments, property, plant and equipment and ROU assets. The fair value measurement is categorized as level 2 in the fair value hierarchy. The Suni mineral asset was inactive during the reporting periods and as of the date of approval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38</w:t>
        <w:tab/>
        <w:t>Page</w:t>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December 31, 2021,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9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Land</w:t>
            </w: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156,647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4,549</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5,783</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176,526</w:t>
            </w:r>
          </w:p>
        </w:tc>
        <w:tc>
          <w:tcPr>
            <w:tcW w:w="0" w:type="dxa"/>
            <w:vAlign w:val="bottom"/>
          </w:tcPr>
          <w:p>
            <w:pPr>
              <w:spacing w:after="0"/>
              <w:rPr>
                <w:sz w:val="1"/>
                <w:szCs w:val="1"/>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Measurement period adjustment to business</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(1,127)</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(1,145)</w:t>
            </w:r>
          </w:p>
        </w:tc>
        <w:tc>
          <w:tcPr>
            <w:tcW w:w="0" w:type="dxa"/>
            <w:vAlign w:val="bottom"/>
          </w:tcPr>
          <w:p>
            <w:pPr>
              <w:spacing w:after="0"/>
              <w:rPr>
                <w:sz w:val="1"/>
                <w:szCs w:val="1"/>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0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164,437</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3,239</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39,495</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552</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207,723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(3,609)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(3,378)</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(7,004)</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(8,143)</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(8,143)</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308,205</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4,392</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45,278</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1,082</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367,957</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35,766</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286</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1,560</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39,676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66,319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193</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1,703</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124</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68,339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(2,562)</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(6,040)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24,820</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4,200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157</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13,107</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42,435</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1,794</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5,266</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7,060</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120,097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270</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21,636</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148,529</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2022</w:t>
            </w:r>
          </w:p>
        </w:tc>
        <w:tc>
          <w:tcPr>
            <w:tcW w:w="10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188,108</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4,122</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23,642</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219,428</w:t>
            </w:r>
          </w:p>
        </w:tc>
        <w:tc>
          <w:tcPr>
            <w:tcW w:w="0" w:type="dxa"/>
            <w:vAlign w:val="bottom"/>
          </w:tcPr>
          <w:p>
            <w:pPr>
              <w:spacing w:after="0"/>
              <w:rPr>
                <w:sz w:val="1"/>
                <w:szCs w:val="1"/>
                <w:color w:val="auto"/>
              </w:rPr>
            </w:pPr>
          </w:p>
        </w:tc>
      </w:tr>
      <w:tr>
        <w:trPr>
          <w:trHeight w:val="410"/>
        </w:trPr>
        <w:tc>
          <w:tcPr>
            <w:tcW w:w="3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94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Land</w:t>
            </w: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52,676</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3,263</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2,707</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448</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68,094</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7,081</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114,323</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3,265</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118,194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(6,146)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(11,287)</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156,647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9,000</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4,549</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5,783</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176,526</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30,042</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1,861</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32,301</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22,233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(5,172)</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(10,916)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reversal</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(421)</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(549)</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35,766</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286</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39,676</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as of December 31, 2021</w:t>
            </w:r>
          </w:p>
        </w:tc>
        <w:tc>
          <w:tcPr>
            <w:tcW w:w="10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120,881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4,263</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4,223</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39</w:t>
        <w:tab/>
        <w:t>Page</w:t>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PROPERTY, PLANT AND EQUIPMENT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are as follows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Canaan</w:t>
            </w:r>
          </w:p>
        </w:tc>
        <w:tc>
          <w:tcPr>
            <w:tcW w:w="98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4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T3</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Avalon</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840" w:type="dxa"/>
            <w:vAlign w:val="bottom"/>
          </w:tcPr>
          <w:p>
            <w:pPr>
              <w:spacing w:after="0"/>
              <w:rPr>
                <w:sz w:val="18"/>
                <w:szCs w:val="18"/>
                <w:color w:val="auto"/>
              </w:rPr>
            </w:pPr>
          </w:p>
        </w:tc>
      </w:tr>
      <w:tr>
        <w:trPr>
          <w:trHeight w:val="238"/>
        </w:trPr>
        <w:tc>
          <w:tcPr>
            <w:tcW w:w="2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&amp; T2T**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A10</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Antminers***</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2022</w:t>
            </w:r>
          </w:p>
        </w:tc>
        <w:tc>
          <w:tcPr>
            <w:tcW w:w="8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18,675</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6,446</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1,024</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8,073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41,390</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28,499</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801</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29,300</w:t>
            </w:r>
          </w:p>
        </w:tc>
      </w:tr>
      <w:tr>
        <w:trPr>
          <w:trHeight w:val="24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(1,799)</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(735)</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(1,024)</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(801)</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(8,073)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(12,432)</w:t>
            </w:r>
          </w:p>
        </w:tc>
      </w:tr>
      <w:tr>
        <w:trPr>
          <w:trHeight w:val="187"/>
        </w:trPr>
        <w:tc>
          <w:tcPr>
            <w:tcW w:w="26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Quantity as of December 31,</w:t>
            </w: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2"/>
        </w:trPr>
        <w:tc>
          <w:tcPr>
            <w:tcW w:w="2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45,375</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5,711</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58,258</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(2,512)</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(1,272)</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(3,784)</w:t>
            </w:r>
          </w:p>
        </w:tc>
      </w:tr>
      <w:tr>
        <w:trPr>
          <w:trHeight w:val="24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ROU asset****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191"/>
        </w:trPr>
        <w:tc>
          <w:tcPr>
            <w:tcW w:w="2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Presented as property, plant and</w:t>
            </w:r>
          </w:p>
        </w:tc>
        <w:tc>
          <w:tcPr>
            <w:tcW w:w="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68"/>
        </w:trPr>
        <w:tc>
          <w:tcPr>
            <w:tcW w:w="2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39,863</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4,439</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51,474</w:t>
            </w:r>
          </w:p>
        </w:tc>
      </w:tr>
    </w:tbl>
    <w:p>
      <w:pPr>
        <w:spacing w:after="0" w:line="198" w:lineRule="exact"/>
        <w:rPr>
          <w:sz w:val="20"/>
          <w:szCs w:val="20"/>
          <w:color w:val="auto"/>
        </w:rPr>
      </w:pPr>
    </w:p>
    <w:p>
      <w:pPr>
        <w:ind w:right="2500" w:firstLine="8"/>
        <w:spacing w:after="0" w:line="500" w:lineRule="auto"/>
        <w:tabs>
          <w:tab w:leader="none" w:pos="1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2,512 M20S classified as assets held for sale as described in Note 10, 30,210 M30S and 12,653 M31S Miners. ** Includes 4,439 T3 and 1,272 T2T Miners classified as assets held for sale as described in Note 10.</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Included Antminer T15 and Antminer S15 Miners classified as assets held for sale and written off as described in Note 10.</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3,000 Whatsminer M31S+ with a net book value of approximately $3,330 as described in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40</w:t>
        <w:tab/>
        <w:t>Page</w:t>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INTANGIBLE ASSETS</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0"/>
        </w:trPr>
        <w:tc>
          <w:tcPr>
            <w:tcW w:w="5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540" w:type="dxa"/>
            <w:vAlign w:val="bottom"/>
          </w:tcPr>
          <w:p>
            <w:pPr>
              <w:spacing w:after="0"/>
              <w:rPr>
                <w:sz w:val="24"/>
                <w:szCs w:val="24"/>
                <w:color w:val="auto"/>
              </w:rPr>
            </w:pPr>
          </w:p>
        </w:tc>
      </w:tr>
      <w:tr>
        <w:trPr>
          <w:trHeight w:val="238"/>
        </w:trPr>
        <w:tc>
          <w:tcPr>
            <w:tcW w:w="5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940" w:type="dxa"/>
            <w:vAlign w:val="bottom"/>
            <w:tcBorders>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1,800</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6,950</w:t>
            </w:r>
          </w:p>
        </w:tc>
      </w:tr>
      <w:tr>
        <w:trPr>
          <w:trHeight w:val="216"/>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Measurement period adjustment to business combination</w:t>
            </w: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200</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10"/>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94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7,150</w:t>
            </w:r>
          </w:p>
        </w:tc>
      </w:tr>
      <w:tr>
        <w:trPr>
          <w:trHeight w:val="209"/>
        </w:trPr>
        <w:tc>
          <w:tcPr>
            <w:tcW w:w="5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06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5,008</w:t>
            </w: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261</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5,269</w:t>
            </w: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109</w:t>
            </w:r>
          </w:p>
        </w:tc>
        <w:tc>
          <w:tcPr>
            <w:tcW w:w="194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1,739</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1,848</w:t>
            </w:r>
          </w:p>
        </w:tc>
      </w:tr>
      <w:tr>
        <w:trPr>
          <w:trHeight w:val="20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7,117</w:t>
            </w:r>
          </w:p>
        </w:tc>
      </w:tr>
      <w:tr>
        <w:trPr>
          <w:trHeight w:val="209"/>
        </w:trPr>
        <w:tc>
          <w:tcPr>
            <w:tcW w:w="54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2022</w:t>
            </w:r>
          </w:p>
        </w:tc>
        <w:tc>
          <w:tcPr>
            <w:tcW w:w="20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410"/>
        </w:trPr>
        <w:tc>
          <w:tcPr>
            <w:tcW w:w="5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540" w:type="dxa"/>
            <w:vAlign w:val="bottom"/>
          </w:tcPr>
          <w:p>
            <w:pPr>
              <w:spacing w:after="0"/>
              <w:rPr>
                <w:sz w:val="24"/>
                <w:szCs w:val="24"/>
                <w:color w:val="auto"/>
              </w:rPr>
            </w:pPr>
          </w:p>
        </w:tc>
      </w:tr>
      <w:tr>
        <w:trPr>
          <w:trHeight w:val="238"/>
        </w:trPr>
        <w:tc>
          <w:tcPr>
            <w:tcW w:w="5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1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5,150</w:t>
            </w:r>
          </w:p>
        </w:tc>
        <w:tc>
          <w:tcPr>
            <w:tcW w:w="1940" w:type="dxa"/>
            <w:vAlign w:val="bottom"/>
            <w:tcBorders>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r>
      <w:tr>
        <w:trPr>
          <w:trHeight w:val="23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5,150</w:t>
            </w:r>
          </w:p>
        </w:tc>
        <w:tc>
          <w:tcPr>
            <w:tcW w:w="194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6,950</w:t>
            </w:r>
          </w:p>
        </w:tc>
      </w:tr>
      <w:tr>
        <w:trPr>
          <w:trHeight w:val="210"/>
        </w:trPr>
        <w:tc>
          <w:tcPr>
            <w:tcW w:w="5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right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206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4,773</w:t>
            </w: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r>
      <w:tr>
        <w:trPr>
          <w:trHeight w:val="243"/>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235</w:t>
            </w:r>
          </w:p>
        </w:tc>
        <w:tc>
          <w:tcPr>
            <w:tcW w:w="1940" w:type="dxa"/>
            <w:vAlign w:val="bottom"/>
            <w:tcBorders>
              <w:bottom w:val="single" w:sz="8" w:color="auto"/>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261</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r>
      <w:tr>
        <w:trPr>
          <w:trHeight w:val="23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5,008</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261</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5,269</w:t>
            </w:r>
          </w:p>
        </w:tc>
      </w:tr>
      <w:tr>
        <w:trPr>
          <w:trHeight w:val="236"/>
        </w:trPr>
        <w:tc>
          <w:tcPr>
            <w:tcW w:w="54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5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2021</w:t>
            </w:r>
          </w:p>
        </w:tc>
        <w:tc>
          <w:tcPr>
            <w:tcW w:w="20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142</w:t>
            </w: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1,539</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439"/>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70"/>
        </w:trPr>
        <w:tc>
          <w:tcPr>
            <w:tcW w:w="54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9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LONG-TERM DEPOSITS, EQUIPMENT PREPAYMENTS, OTHER AND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5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22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a</w:t>
            </w:r>
          </w:p>
        </w:tc>
        <w:tc>
          <w:tcPr>
            <w:tcW w:w="2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2,083</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3,872</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r>
      <w:tr>
        <w:trPr>
          <w:trHeight w:val="24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260" w:type="dxa"/>
            <w:vAlign w:val="bottom"/>
            <w:tcBorders>
              <w:bottom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b</w:t>
            </w:r>
          </w:p>
        </w:tc>
        <w:tc>
          <w:tcPr>
            <w:tcW w:w="2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32,230</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83,059</w:t>
            </w:r>
          </w:p>
        </w:tc>
      </w:tr>
      <w:tr>
        <w:trPr>
          <w:trHeight w:val="244"/>
        </w:trPr>
        <w:tc>
          <w:tcPr>
            <w:tcW w:w="5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38,185</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86,681</w:t>
            </w:r>
          </w:p>
        </w:tc>
      </w:tr>
    </w:tbl>
    <w:p>
      <w:pPr>
        <w:spacing w:after="0" w:line="194"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Refundable Argentine value-added tax (“VAT”)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28 for details about the discount expense applied to the Argentine VAT receivable.</w:t>
      </w:r>
    </w:p>
    <w:p>
      <w:pPr>
        <w:spacing w:after="0" w:line="203"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has deposits on BVVE and electrical components in the amount of $23,450, which includes the $22,376 credit for future purchase agreements as described below. In addition, the Company has deposits for construction work and materials in the amount of $8,780, mainly for the Argentina expansion.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loss of $30,199 on the equipment and construction prepayments. Refer to Note 11 for more details. A portion of the impairment was transferred to PPE along with the original amount of the deposits when the assets were received. Refer to Note 12 for more details.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Company renegotiated its 48,000 unit purchase agreements by extinguishing the outstanding commitments of $45,350 without penalty and establishing a $22,376 credit for deposits previously made which will be carried forward until the end of 2023 and applied against future purchase agreements. As of December 31, 2022, the Company no longer had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TRADE PAYABLES AND ACCRUED LIABILITIES</w:t>
            </w:r>
          </w:p>
        </w:tc>
        <w:tc>
          <w:tcPr>
            <w:tcW w:w="3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0"/>
        </w:trPr>
        <w:tc>
          <w:tcPr>
            <w:tcW w:w="6880" w:type="dxa"/>
            <w:vAlign w:val="bottom"/>
          </w:tcPr>
          <w:p>
            <w:pPr>
              <w:spacing w:after="0"/>
              <w:rPr>
                <w:sz w:val="24"/>
                <w:szCs w:val="24"/>
                <w:color w:val="auto"/>
              </w:rPr>
            </w:pP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w:t>
            </w:r>
          </w:p>
        </w:tc>
      </w:tr>
      <w:tr>
        <w:trPr>
          <w:trHeight w:val="216"/>
        </w:trPr>
        <w:tc>
          <w:tcPr>
            <w:tcW w:w="6880" w:type="dxa"/>
            <w:vAlign w:val="bottom"/>
          </w:tcPr>
          <w:p>
            <w:pPr>
              <w:spacing w:after="0"/>
              <w:rPr>
                <w:sz w:val="18"/>
                <w:szCs w:val="18"/>
                <w:color w:val="auto"/>
              </w:rPr>
            </w:pP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 December</w:t>
            </w:r>
          </w:p>
        </w:tc>
      </w:tr>
      <w:tr>
        <w:trPr>
          <w:trHeight w:val="238"/>
        </w:trPr>
        <w:tc>
          <w:tcPr>
            <w:tcW w:w="68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68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12,897</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9,873</w:t>
            </w:r>
          </w:p>
        </w:tc>
      </w:tr>
      <w:tr>
        <w:trPr>
          <w:trHeight w:val="243"/>
        </w:trPr>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7,644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4,607</w:t>
            </w:r>
          </w:p>
        </w:tc>
      </w:tr>
      <w:tr>
        <w:trPr>
          <w:trHeight w:val="243"/>
        </w:trPr>
        <w:tc>
          <w:tcPr>
            <w:tcW w:w="6880" w:type="dxa"/>
            <w:vAlign w:val="bottom"/>
            <w:tcBorders>
              <w:bottom w:val="single" w:sz="8" w:color="auto"/>
            </w:tcBorders>
            <w:shd w:val="clear" w:color="auto" w:fill="CCEEFF"/>
          </w:tcPr>
          <w:p>
            <w:pPr>
              <w:spacing w:after="0"/>
              <w:rPr>
                <w:sz w:val="21"/>
                <w:szCs w:val="21"/>
                <w:color w:val="auto"/>
              </w:rPr>
            </w:pPr>
          </w:p>
        </w:tc>
        <w:tc>
          <w:tcPr>
            <w:tcW w:w="3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42</w:t>
        <w:tab/>
        <w:t>Page</w:t>
      </w:r>
    </w:p>
    <w:p>
      <w:pPr>
        <w:sectPr>
          <w:pgSz w:w="11900" w:h="16838" w:orient="portrait"/>
          <w:cols w:equalWidth="0" w:num="1">
            <w:col w:w="11240"/>
          </w:cols>
          <w:pgMar w:left="320" w:top="90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CREDIT FACILITY</w:t>
            </w:r>
          </w:p>
        </w:tc>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55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55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r>
      <w:tr>
        <w:trPr>
          <w:trHeight w:val="24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payable on revolving credit facility</w:t>
            </w: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500" w:type="dxa"/>
            <w:vAlign w:val="bottom"/>
            <w:tcBorders>
              <w:bottom w:val="single" w:sz="8" w:color="auto"/>
            </w:tcBorders>
            <w:shd w:val="clear" w:color="auto" w:fill="CCEEFF"/>
          </w:tcPr>
          <w:p>
            <w:pPr>
              <w:spacing w:after="0"/>
              <w:rPr>
                <w:sz w:val="21"/>
                <w:szCs w:val="21"/>
                <w:color w:val="auto"/>
              </w:rPr>
            </w:pPr>
          </w:p>
        </w:tc>
        <w:tc>
          <w:tcPr>
            <w:tcW w:w="4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terms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30, 2021, the Company entered into a secured revolving credit facility up to $100,000 (the “Credit Facility” or the “Facility”) for a term of 6 months with Galaxy Digital LLC (the “Facility Lender”). The Credit Facility bore interest at a rate of 10.75% per annum with a commitment fee of 0.75% per annum charged on the unused portion of the $100,000 Facility. The Facility was secured by BTC, with the value of BTC pledged as collateral calculated as a percentage of the amount borrowed. As of December 31, 2021, the Company had drawn $60,000 of the Facility and pledged 1,875 BTC as collateral with a fair market value of $86,825.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the Company drew an additional $40,000 on the Credit Facility, bringing the total amount drawn to $100,000 as of March 31, 2022.</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2022, the Company amended its Credit Facility and extended its maturity date to October 1, 2022. Under the new terms, the maximum limit of the amended Facility is $40,000, bears interest at 11.25% per annum and has a commitment fee of 0.25% per annum charged on the unused portion of the Facility. The amended Facility also includes a provision which allows the Company to repay up to $15,000 of the Facility prior to July 30, 2022, without incurring any prepayment penalty.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2022, the Company amended its Credit Facility and extended its maturity date from October 1, 2022 to December 29, 2022. Under the new terms, the maximum limit of the amended Facility is $40,000, bears interest at 11.25% per annum and has a commitment fee of 0.25% per annum charged on the unused portion of the Facility. The amended Facility also includes a provision which allows the Company to prepay the Credit Facility with a prepayment fee of 50% of the remaining interest that would be owed if the Facility was held to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Company seeks to transfer or convert the Credit Facility prior to the scheduled maturity date in order to enter into a new transaction with the Facility Lender or its affiliates, the early termination fee shall be waived for the Company for any portion of the Facility subject to such transfer or conversion.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repayment of the 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fully repaid the Credit Facility for an amount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43</w:t>
        <w:tab/>
        <w:t>Page</w:t>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LONG-TERM DEBT</w:t>
            </w:r>
          </w:p>
        </w:tc>
        <w:tc>
          <w:tcPr>
            <w:tcW w:w="2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7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2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47,020</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11,039</w:t>
            </w:r>
          </w:p>
        </w:tc>
      </w:tr>
      <w:tr>
        <w:trPr>
          <w:trHeight w:val="24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 note payable</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47,147</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11,167</w:t>
            </w:r>
          </w:p>
        </w:tc>
      </w:tr>
      <w:tr>
        <w:trPr>
          <w:trHeight w:val="24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(43,054)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w:t>
            </w:r>
          </w:p>
        </w:tc>
      </w:tr>
      <w:tr>
        <w:trPr>
          <w:trHeight w:val="24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4,093</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43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for the years ending December 31, 2022 and 2021 is as follows:</w:t>
            </w: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7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7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11,167</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17,345</w:t>
            </w: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lease liabilities</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2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67,201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14,227</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(38,532)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7,311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long-term debt and loan modification</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 of embedded derivative</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r>
      <w:tr>
        <w:trPr>
          <w:trHeight w:val="24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47,147</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11,167</w:t>
            </w:r>
          </w:p>
        </w:tc>
      </w:tr>
    </w:tbl>
    <w:p>
      <w:pPr>
        <w:spacing w:after="0" w:line="194" w:lineRule="exact"/>
        <w:rPr>
          <w:sz w:val="20"/>
          <w:szCs w:val="20"/>
          <w:color w:val="auto"/>
        </w:rPr>
      </w:pPr>
    </w:p>
    <w:p>
      <w:pPr>
        <w:ind w:right="8600" w:firstLine="8"/>
        <w:spacing w:after="0" w:line="263" w:lineRule="auto"/>
        <w:tabs>
          <w:tab w:leader="none" w:pos="64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2022 equipment financing </w:t>
      </w:r>
      <w:r>
        <w:rPr>
          <w:rFonts w:ascii="Times New Roman" w:cs="Times New Roman" w:eastAsia="Times New Roman" w:hAnsi="Times New Roman"/>
          <w:sz w:val="18"/>
          <w:szCs w:val="18"/>
          <w:b w:val="1"/>
          <w:bCs w:val="1"/>
          <w:i w:val="1"/>
          <w:iCs w:val="1"/>
          <w:color w:val="auto"/>
        </w:rPr>
        <w:t>BlockFi Loan</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2022, the Company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December 2022, the Company ceased making installment payments, which constituted a default under the loan agreement and the loan was classified as current.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for cash consideration of $7,750, discharging Backbone Mining of all further obligations and resulting in a gain on extinguishment of long-term debt of $12,578.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44</w:t>
        <w:tab/>
        <w:t>Page</w:t>
      </w:r>
    </w:p>
    <w:p>
      <w:pPr>
        <w:sectPr>
          <w:pgSz w:w="11900" w:h="16838" w:orient="portrait"/>
          <w:cols w:equalWidth="0" w:num="1">
            <w:col w:w="11240"/>
          </w:cols>
          <w:pgMar w:left="320" w:top="90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2022 equipment financing </w:t>
      </w:r>
      <w:r>
        <w:rPr>
          <w:rFonts w:ascii="Times New Roman" w:cs="Times New Roman" w:eastAsia="Times New Roman" w:hAnsi="Times New Roman"/>
          <w:sz w:val="18"/>
          <w:szCs w:val="18"/>
          <w:color w:val="auto"/>
        </w:rPr>
        <w:t>(Continued)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NYDIG Loan</w:t>
      </w:r>
    </w:p>
    <w:p>
      <w:pPr>
        <w:spacing w:after="0" w:line="9" w:lineRule="exact"/>
        <w:rPr>
          <w:rFonts w:ascii="Times New Roman" w:cs="Times New Roman" w:eastAsia="Times New Roman" w:hAnsi="Times New Roman"/>
          <w:sz w:val="18"/>
          <w:szCs w:val="18"/>
          <w:b w:val="1"/>
          <w:bCs w:val="1"/>
          <w:color w:val="auto"/>
        </w:rPr>
      </w:pPr>
    </w:p>
    <w:p>
      <w:pPr>
        <w:jc w:val="both"/>
        <w:ind w:left="20" w:hanging="5"/>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the Company entered into an equipment financing agreement for gross proceeds of $36,860 collateralized by 10,395 Whatsminer M30S Miners referred to as the “NYDIG Loan”. The net proceeds received by the Company were $36,123 net of origination and closing fees of $737. As part of the agreement, the Company must maintain in an identified wallet an approximate quantity of BTC whose value equates to one month of interest and principal payments on the outstanding loan. The Company pledged 125 BTC as collateral with a fair market value of $2,070 as of December 31, 2022. The pledged BTC is held in a segregated Coinbase Custody account owned by the Company unless there is an event of default.</w:t>
      </w:r>
    </w:p>
    <w:p>
      <w:pPr>
        <w:spacing w:after="0" w:line="18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equipment financing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Foundry Loans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As of December 31, 2022, the Foundry Loan #1 matured and was fully repaid. Subsequently, in January 2023, the principal amount of the remaining Foundry Loans #2, #3 and #4 were fully repaid before their maturity date without prepayment penalty.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Blockfills Loans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the Company modified the terms of three lease agreements with its lender, Blockfills, for 4,000 Whatsminer Miners to convert them to loan agreements. The key terms, such as interest rates, term and payment schedules remain unchanged. A total of $3,904 was reclassified from lease liabilities to long-term debt as a result of the modification. The ROU assets related to the three leases were classified in property, plant and equipment and as a result no reclassification was made. As of December 31, 2022, all of the Blockfills loans matured and were fully repaid.</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equipment financing</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Details of the equipment financing and the balance of the loans and the net book value (“NBV”) of their related collateral, as of December 31, 2022,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Long-</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NBV of</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5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Stated rate</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repayment ($)</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 ($)</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Foundry Loan #2</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March 2023</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94</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1,254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Foundry Loan #3</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April 2023</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88</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257</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Foundry Loan #4</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May 2023</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387</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Blockfi Loan</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2024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14.5%</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19,952</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28,360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6,100</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NYDIG Loan</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February 2024</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26,239</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34,852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10,395</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3,780</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47,020</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66,741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17,495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the implied interest rate after capitalizing financing and origination fees.</w:t>
      </w:r>
    </w:p>
    <w:p>
      <w:pPr>
        <w:spacing w:after="0" w:line="225" w:lineRule="exact"/>
        <w:rPr>
          <w:sz w:val="20"/>
          <w:szCs w:val="20"/>
          <w:color w:val="auto"/>
        </w:rPr>
      </w:pPr>
    </w:p>
    <w:p>
      <w:pPr>
        <w:ind w:firstLine="8"/>
        <w:spacing w:after="0" w:line="282" w:lineRule="auto"/>
        <w:tabs>
          <w:tab w:leader="none" w:pos="23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quantity of Whatsminers and Bitmain S19j Pros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45</w:t>
        <w:tab/>
        <w:t>Page</w:t>
      </w:r>
    </w:p>
    <w:p>
      <w:pPr>
        <w:sectPr>
          <w:pgSz w:w="11900" w:h="16838" w:orient="portrait"/>
          <w:cols w:equalWidth="0" w:num="1">
            <w:col w:w="11240"/>
          </w:cols>
          <w:pgMar w:left="320" w:top="90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Dominion Capital Loan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repaid its remaining debt obligation with Dominion Capital LLC (“Dominion Capital”) in its entirety in February 2021. As a result of the early repayment, the Company incurred losses in 2021 as described below.</w:t>
      </w:r>
    </w:p>
    <w:p>
      <w:pPr>
        <w:spacing w:after="0" w:line="179"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2019, the Company entered into a secured debt financing facility for up to $20,000 with Dominion Capital. The debt facility was structured into four separate loan tranches of $5,000 per tranche. Each loan tranche bore interest at 10% per annum and the term of each loan tranche was 24 months with a balloon payment for any remaining outstanding balance at the end of the term.</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features resulted in a loan liability measured at amortized cost, a warrant component recorded as equity, a warrant component recorded as a liability measured at fair value through profit or loss, and an embedded derivative measured at fair value through profit or loss.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an agreement with Dominion Capital to amend the maturity date of tranche #2 from April 2021 to November 2021. In addition, a conversion feature was added to tranche #3, maturing in June 2021, providing Dominion Capital with the option to convert all or a portion of the loan tranche into shares.</w:t>
      </w:r>
    </w:p>
    <w:p>
      <w:pPr>
        <w:spacing w:after="0" w:line="174"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of warrants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2021, Dominion Capital exercised their option to convert $5,000 of debt into 8,475,000 Common Shares. In January and February 2021, Dominion Capital exercised all of their remaining outstanding warrants resulting in the issuance of 5,251,000 common shares for proceeds of approximately $1,500. The warrant exercises described above include the cashless exercise of 1,667,000 warrants resulting in the issuance of 1,501,000 common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Dominion Capital loan was fully repaid by the Company in February 2021.</w:t>
      </w:r>
    </w:p>
    <w:p>
      <w:pPr>
        <w:spacing w:after="0" w:line="223"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Accounting impact for the year ended December 31,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financial expenses for the year ended December 31, 2021 is $472 of interest expense related to the loan.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loan modifications described above, a cashless exercise feature was authorized for the warrants issued in connection with tranche #2 and tranche #3 which resulted in these warrants being reclassified from equity to a warrant liability measured at fair value through profit or loss. The derecognition of warrants containing the authorized cashless exercise feature resulted in a non-cash loss on revaluation of warrants of $2,466 included in net financial expenses for the year ended December 31, 2021. Refer to Note 28.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early repayment of the loan resulted in the company recording a loss on embedded derivative for the year ended December 31, 2021 of $2,641 included in net financial expenses. Refer to Note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46</w:t>
        <w:tab/>
        <w:t>Page</w:t>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out below are the carrying amounts of the Company’s ROU assets and lease liabilities and their activity during the years ended December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37"/>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2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9,038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9,397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13,573</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9,526</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118</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11,337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11,354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(1,975)</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(129)</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(2,225)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(791)</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(2,034)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(7,528)</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1,451</w:t>
            </w:r>
          </w:p>
        </w:tc>
      </w:tr>
      <w:tr>
        <w:trPr>
          <w:trHeight w:val="24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r>
      <w:tr>
        <w:trPr>
          <w:trHeight w:val="236"/>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17,864</w:t>
            </w:r>
          </w:p>
        </w:tc>
      </w:tr>
      <w:tr>
        <w:trPr>
          <w:trHeight w:val="23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(3,649)</w:t>
            </w:r>
          </w:p>
        </w:tc>
      </w:tr>
      <w:tr>
        <w:trPr>
          <w:trHeight w:val="243"/>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0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14,215</w:t>
            </w:r>
          </w:p>
        </w:tc>
      </w:tr>
      <w:tr>
        <w:trPr>
          <w:trHeight w:val="410"/>
        </w:trPr>
        <w:tc>
          <w:tcPr>
            <w:tcW w:w="4140" w:type="dxa"/>
            <w:vAlign w:val="bottom"/>
          </w:tcPr>
          <w:p>
            <w:pPr>
              <w:spacing w:after="0"/>
              <w:rPr>
                <w:sz w:val="24"/>
                <w:szCs w:val="24"/>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36"/>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2021</w:t>
            </w:r>
          </w:p>
        </w:tc>
        <w:tc>
          <w:tcPr>
            <w:tcW w:w="2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5,129</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180</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5,393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11,023</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5,713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205</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5,939</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(1,040)</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(1,168)</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(764)</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converted to long-term debt</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r>
      <w:tr>
        <w:trPr>
          <w:trHeight w:val="24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20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9,038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9,397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13,573</w:t>
            </w:r>
          </w:p>
        </w:tc>
      </w:tr>
      <w:tr>
        <w:trPr>
          <w:trHeight w:val="23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43"/>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0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9,227</w:t>
            </w:r>
          </w:p>
        </w:tc>
      </w:tr>
    </w:tbl>
    <w:p>
      <w:pPr>
        <w:spacing w:after="0" w:line="194"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lease activity</w:t>
      </w:r>
    </w:p>
    <w:p>
      <w:pPr>
        <w:spacing w:after="0" w:line="31" w:lineRule="exact"/>
        <w:rPr>
          <w:sz w:val="20"/>
          <w:szCs w:val="20"/>
          <w:color w:val="auto"/>
        </w:rPr>
      </w:pPr>
    </w:p>
    <w:p>
      <w:pPr>
        <w:ind w:hanging="9"/>
        <w:spacing w:after="0" w:line="260" w:lineRule="auto"/>
        <w:rPr>
          <w:sz w:val="20"/>
          <w:szCs w:val="20"/>
          <w:color w:val="auto"/>
        </w:rPr>
      </w:pPr>
      <w:r>
        <w:rPr>
          <w:rFonts w:ascii="Times New Roman" w:cs="Times New Roman" w:eastAsia="Times New Roman" w:hAnsi="Times New Roman"/>
          <w:sz w:val="18"/>
          <w:szCs w:val="18"/>
          <w:color w:val="auto"/>
        </w:rPr>
        <w:t>The Company maintains one lease agreement for mining hardware, consisting of 3,000 Whatsminer M31S+ Miners, with a net book value of approximately $3,330, classified as property, plant and equipment under BVVE and electrical equipment as described in Note 12.</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loss of $2,034 on the Company’s ROU assets. Refer to Note 11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47</w:t>
        <w:tab/>
        <w:t>Page</w:t>
      </w:r>
    </w:p>
    <w:p>
      <w:pPr>
        <w:sectPr>
          <w:pgSz w:w="11900" w:h="16838" w:orient="portrait"/>
          <w:cols w:equalWidth="0" w:num="1">
            <w:col w:w="11240"/>
          </w:cols>
          <w:pgMar w:left="320" w:top="90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LEASES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lease activity</w:t>
      </w:r>
    </w:p>
    <w:p>
      <w:pPr>
        <w:spacing w:after="0" w:line="31" w:lineRule="exact"/>
        <w:rPr>
          <w:sz w:val="20"/>
          <w:szCs w:val="20"/>
          <w:color w:val="auto"/>
        </w:rPr>
      </w:pPr>
    </w:p>
    <w:p>
      <w:pPr>
        <w:jc w:val="both"/>
        <w:ind w:hanging="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2021, the Company modified the terms of three two-year lease agreements for mining hardware, with a balance of $3,904 at the time of conversion, in June 2021, resulting in the lease liabilities being reclassified to long-term debt as described in Note 17b. No changes were made to the payment terms, interest rate or security interest of the former leases. As of December 31, 2021, the Company maintained one lease agreement for mining hardware, consisting of 3,000 Whatsminer M31S+, with a net book value of approximately $5,422, classified as property, plant and equipment under BVVE and electrical equipment.</w:t>
      </w:r>
    </w:p>
    <w:p>
      <w:pPr>
        <w:spacing w:after="0" w:line="187"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issued 468,000 warrants to the former lessor for a total cost of $2,160. The cost of these warrants was added to the cost of the leased assets which were recorded as an addition to property, plant and equipment and will be amortized over the useful life of the corresponding assets.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and deferred income tax expense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tax (recovery)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50"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39"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(9,030)</w:t>
      </w:r>
      <w:r>
        <w:rPr>
          <w:sz w:val="20"/>
          <w:szCs w:val="20"/>
          <w:color w:val="auto"/>
        </w:rPr>
        <w:tab/>
      </w:r>
      <w:r>
        <w:rPr>
          <w:rFonts w:ascii="Times New Roman" w:cs="Times New Roman" w:eastAsia="Times New Roman" w:hAnsi="Times New Roman"/>
          <w:sz w:val="18"/>
          <w:szCs w:val="18"/>
          <w:color w:val="auto"/>
        </w:rPr>
        <w:t>12,358</w:t>
      </w:r>
    </w:p>
    <w:p>
      <w:pPr>
        <w:spacing w:after="0" w:line="31" w:lineRule="exact"/>
        <w:rPr>
          <w:sz w:val="20"/>
          <w:szCs w:val="20"/>
          <w:color w:val="auto"/>
        </w:rPr>
      </w:pPr>
    </w:p>
    <w:p>
      <w:pPr>
        <w:ind w:left="1880" w:hanging="1171"/>
        <w:spacing w:after="0"/>
        <w:tabs>
          <w:tab w:leader="none" w:pos="18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(693)</w:t>
      </w:r>
    </w:p>
    <w:p>
      <w:pPr>
        <w:spacing w:after="0" w:line="36"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(8,962)</w:t>
      </w:r>
      <w:r>
        <w:rPr>
          <w:rFonts w:ascii="Times New Roman" w:cs="Times New Roman" w:eastAsia="Times New Roman" w:hAnsi="Times New Roman"/>
          <w:sz w:val="18"/>
          <w:szCs w:val="18"/>
          <w:color w:val="auto"/>
        </w:rPr>
        <w:t>11,665</w:t>
      </w: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(8,446)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r>
      <w:tr>
        <w:trPr>
          <w:trHeight w:val="257"/>
        </w:trPr>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6"/>
        </w:trPr>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(8,450)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65"/>
        </w:trPr>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(17,412)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20,507</w:t>
            </w:r>
          </w:p>
        </w:tc>
      </w:tr>
    </w:tbl>
    <w:p>
      <w:pPr>
        <w:spacing w:after="0" w:line="200" w:lineRule="exact"/>
        <w:rPr>
          <w:sz w:val="20"/>
          <w:szCs w:val="20"/>
          <w:color w:val="auto"/>
        </w:rPr>
      </w:pPr>
    </w:p>
    <w:p>
      <w:pPr>
        <w:sectPr>
          <w:pgSz w:w="11900" w:h="16838" w:orient="portrait"/>
          <w:cols w:equalWidth="0" w:num="2">
            <w:col w:w="8200" w:space="720"/>
            <w:col w:w="2320"/>
          </w:cols>
          <w:pgMar w:left="320" w:top="900"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2022 current tax recovery represents the expected tax refund as a result of losses realized in the current period that will be carried back to offset prior period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6"/>
        </w:trPr>
        <w:tc>
          <w:tcPr>
            <w:tcW w:w="4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at statutory rate of 26.5%</w:t>
            </w:r>
          </w:p>
        </w:tc>
        <w:tc>
          <w:tcPr>
            <w:tcW w:w="2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(67,962)</w:t>
            </w:r>
          </w:p>
        </w:tc>
        <w:tc>
          <w:tcPr>
            <w:tcW w:w="1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26.5%</w:t>
            </w:r>
          </w:p>
        </w:tc>
        <w:tc>
          <w:tcPr>
            <w:tcW w:w="17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11,299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1,070</w:t>
            </w:r>
          </w:p>
        </w:tc>
        <w:tc>
          <w:tcPr>
            <w:tcW w:w="16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(0.4)%</w:t>
            </w:r>
          </w:p>
        </w:tc>
        <w:tc>
          <w:tcPr>
            <w:tcW w:w="17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383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w:t>
            </w:r>
          </w:p>
        </w:tc>
        <w:tc>
          <w:tcPr>
            <w:tcW w:w="2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w:t>
            </w: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(516)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2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w:t>
            </w:r>
          </w:p>
        </w:tc>
        <w:tc>
          <w:tcPr>
            <w:tcW w:w="1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12,996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2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49,508</w:t>
            </w: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(19.3)%</w:t>
            </w: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(3,655)</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4860" w:type="dxa"/>
            <w:vAlign w:val="bottom"/>
            <w:tcBorders>
              <w:bottom w:val="single" w:sz="8" w:color="auto"/>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(17,412)</w:t>
            </w:r>
          </w:p>
        </w:tc>
        <w:tc>
          <w:tcPr>
            <w:tcW w:w="1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6.8%</w:t>
            </w:r>
          </w:p>
        </w:tc>
        <w:tc>
          <w:tcPr>
            <w:tcW w:w="17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20,507</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r>
      <w:tr>
        <w:trPr>
          <w:trHeight w:val="439"/>
        </w:trPr>
        <w:tc>
          <w:tcPr>
            <w:tcW w:w="48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70"/>
        </w:trPr>
        <w:tc>
          <w:tcPr>
            <w:tcW w:w="48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right w:val="single" w:sz="8" w:color="auto"/>
            </w:tcBorders>
          </w:tcPr>
          <w:p>
            <w:pPr>
              <w:spacing w:after="0"/>
              <w:rPr>
                <w:sz w:val="23"/>
                <w:szCs w:val="23"/>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19:INCOME TAXES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Movement in deferred tax asset for the years ending December 31, 2022 and 2021, without taking into consideration the offsetting of balances within the same tax jurisdiction, is as follows:</w:t>
      </w:r>
    </w:p>
    <w:tbl>
      <w:tblPr>
        <w:tblLayout w:type="fixed"/>
        <w:tblInd w:w="0" w:type="dxa"/>
        <w:tblCellMar>
          <w:top w:w="0" w:type="dxa"/>
          <w:left w:w="0" w:type="dxa"/>
          <w:bottom w:w="0" w:type="dxa"/>
          <w:right w:w="0" w:type="dxa"/>
        </w:tblCellMar>
      </w:tblPr>
      <w:tr>
        <w:trPr>
          <w:trHeight w:val="194"/>
        </w:trPr>
        <w:tc>
          <w:tcPr>
            <w:tcW w:w="2040" w:type="dxa"/>
            <w:vAlign w:val="bottom"/>
          </w:tcPr>
          <w:p>
            <w:pPr>
              <w:spacing w:after="0"/>
              <w:rPr>
                <w:sz w:val="16"/>
                <w:szCs w:val="16"/>
                <w:color w:val="auto"/>
              </w:rPr>
            </w:pPr>
          </w:p>
        </w:tc>
        <w:tc>
          <w:tcPr>
            <w:tcW w:w="1460" w:type="dxa"/>
            <w:vAlign w:val="bottom"/>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20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PPE</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2021</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663</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2,905</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214</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191"/>
        </w:trPr>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Credited (charged) to</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of profit or</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(4,318)</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236</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478</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1,288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Credited to statements of</w:t>
            </w: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4,287</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in the</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of profit or</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3,655</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As of December 31,</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3,141</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3,751</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478</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1,288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191"/>
        </w:trPr>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Credited to statements of</w:t>
            </w:r>
          </w:p>
        </w:tc>
        <w:tc>
          <w:tcPr>
            <w:tcW w:w="14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1,020</w:t>
            </w:r>
          </w:p>
        </w:tc>
        <w:tc>
          <w:tcPr>
            <w:tcW w:w="1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w:t>
            </w:r>
          </w:p>
        </w:tc>
        <w:tc>
          <w:tcPr>
            <w:tcW w:w="15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144</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15,855</w:t>
            </w:r>
          </w:p>
        </w:tc>
        <w:tc>
          <w:tcPr>
            <w:tcW w:w="14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11,335</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72,109</w:t>
            </w: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w:t>
            </w:r>
          </w:p>
        </w:tc>
        <w:tc>
          <w:tcPr>
            <w:tcW w:w="14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w:t>
            </w: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derecognized in the</w:t>
            </w: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profit or</w:t>
            </w:r>
          </w:p>
        </w:tc>
        <w:tc>
          <w:tcPr>
            <w:tcW w:w="1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(5,795)</w:t>
            </w:r>
          </w:p>
        </w:tc>
        <w:tc>
          <w:tcPr>
            <w:tcW w:w="14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(49,508)</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4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derecognized in the</w:t>
            </w: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(3,895)</w:t>
            </w: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0" w:type="dxa"/>
            <w:vAlign w:val="bottom"/>
          </w:tcPr>
          <w:p>
            <w:pPr>
              <w:spacing w:after="0"/>
              <w:rPr>
                <w:sz w:val="1"/>
                <w:szCs w:val="1"/>
                <w:color w:val="auto"/>
              </w:rPr>
            </w:pPr>
          </w:p>
        </w:tc>
      </w:tr>
      <w:tr>
        <w:trPr>
          <w:trHeight w:val="261"/>
        </w:trPr>
        <w:tc>
          <w:tcPr>
            <w:tcW w:w="2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statements of equity</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 of December 31,</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4,161</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10,538</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12,623</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27,448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liability for the years ending December 31, 2022 and 2021, without taking into consideration the offsetting of balances within the same tax jurisdiction,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PPE</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2021</w:t>
            </w:r>
          </w:p>
        </w:tc>
        <w:tc>
          <w:tcPr>
            <w:tcW w:w="3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902</w:t>
            </w:r>
          </w:p>
        </w:tc>
        <w:tc>
          <w:tcPr>
            <w:tcW w:w="1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2,935</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3,837</w:t>
            </w:r>
          </w:p>
        </w:tc>
      </w:tr>
      <w:tr>
        <w:trPr>
          <w:trHeight w:val="24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Charged to statements of profit or loss</w:t>
            </w:r>
          </w:p>
        </w:tc>
        <w:tc>
          <w:tcPr>
            <w:tcW w:w="3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8,385</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1,075</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9,460</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3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9,287</w:t>
            </w:r>
          </w:p>
        </w:tc>
        <w:tc>
          <w:tcPr>
            <w:tcW w:w="1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4,010</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13,297</w:t>
            </w:r>
          </w:p>
        </w:tc>
      </w:tr>
      <w:tr>
        <w:trPr>
          <w:trHeight w:val="24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Charged to statements of profit or loss</w:t>
            </w:r>
          </w:p>
        </w:tc>
        <w:tc>
          <w:tcPr>
            <w:tcW w:w="3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12,231</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1,920</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14,151</w:t>
            </w:r>
          </w:p>
        </w:tc>
      </w:tr>
      <w:tr>
        <w:trPr>
          <w:trHeight w:val="243"/>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3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21,518</w:t>
            </w:r>
          </w:p>
        </w:tc>
        <w:tc>
          <w:tcPr>
            <w:tcW w:w="1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5,930</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27,448</w:t>
            </w:r>
          </w:p>
        </w:tc>
      </w:tr>
      <w:tr>
        <w:trPr>
          <w:trHeight w:val="439"/>
        </w:trPr>
        <w:tc>
          <w:tcPr>
            <w:tcW w:w="5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70"/>
        </w:trPr>
        <w:tc>
          <w:tcPr>
            <w:tcW w:w="5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right w:val="single" w:sz="8" w:color="auto"/>
            </w:tcBorders>
          </w:tcPr>
          <w:p>
            <w:pPr>
              <w:spacing w:after="0"/>
              <w:rPr>
                <w:sz w:val="23"/>
                <w:szCs w:val="23"/>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19:INCOME TAXES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deferred tax assets and liabilities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2022, the recoverability of the net deferred tax asset, due to the impact of the decrease in BTC prices as described in Note 2, was uncertain and as a result, the net deferred tax asset of $49,508 was not recognized. The Company will evaluate the likelihood of recoverability at each balance sheet date, and will recognize net deferred tax asset when and if appropriate.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20:ASSET RETIREMENT PROVISION</w:t>
            </w:r>
          </w:p>
        </w:tc>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7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239</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1,701</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the foreign exchange rate</w:t>
            </w: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36"/>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asset retirement provision included in accounts payable and accrued liabilities</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asset retirement provision</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estimated the costs of restoring its leased premises to their original state at the end of their respective lease terms to be $3,950 (December 31, 2021: $391), discounted to present value of $1,979 (December 31, 2021: $239) using discount rates between 7% and 10% (December 31, 2021: 8%) over the lease periods, which were estimated to range from seven to ten years depending on the location.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without par value. As of December 31, 2022, the Company had 224,200,000 issued and outstanding common shares (December 31, 2021: 194,806,000).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50</w:t>
        <w:tab/>
        <w:t>Page</w:t>
      </w:r>
    </w:p>
    <w:p>
      <w:pPr>
        <w:sectPr>
          <w:pgSz w:w="11900" w:h="16838" w:orient="portrait"/>
          <w:cols w:equalWidth="0" w:num="1">
            <w:col w:w="11240"/>
          </w:cols>
          <w:pgMar w:left="320"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21:SHARE CAPITAL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4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187"/>
        </w:trPr>
        <w:tc>
          <w:tcPr>
            <w:tcW w:w="4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4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spacing w:after="0"/>
              <w:rPr>
                <w:sz w:val="16"/>
                <w:szCs w:val="16"/>
                <w:color w:val="auto"/>
              </w:rPr>
            </w:pPr>
          </w:p>
        </w:tc>
        <w:tc>
          <w:tcPr>
            <w:tcW w:w="12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140" w:type="dxa"/>
            <w:vAlign w:val="bottom"/>
          </w:tcPr>
          <w:p>
            <w:pPr>
              <w:spacing w:after="0"/>
              <w:rPr>
                <w:sz w:val="18"/>
                <w:szCs w:val="18"/>
                <w:color w:val="auto"/>
              </w:rPr>
            </w:pPr>
          </w:p>
        </w:tc>
        <w:tc>
          <w:tcPr>
            <w:tcW w:w="3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8"/>
        </w:trPr>
        <w:tc>
          <w:tcPr>
            <w:tcW w:w="4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(USD)</w:t>
            </w:r>
          </w:p>
        </w:tc>
      </w:tr>
      <w:tr>
        <w:trPr>
          <w:trHeight w:val="237"/>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19,428,000</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4.16</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6,053,000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3.47</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40,332,000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(26,957,000)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w:t>
            </w:r>
          </w:p>
        </w:tc>
        <w:tc>
          <w:tcPr>
            <w:tcW w:w="3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19,153,000</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19,428,000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December 31, 2022 was 1.4 years (December 31, 2021: 2.4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31"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2022, the Company acquired a building in Quebec referred to as “Garlock” in exchange for cash consideration of $1,783 and the issuance of 25,000 warrants granted with a strike price of $3.47 that have a contractual life of 2 years.</w:t>
      </w:r>
    </w:p>
    <w:p>
      <w:pPr>
        <w:spacing w:after="0" w:line="16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Bitfarms commenced an at-the-market equity offering program on August 16, 2021, pursuant to which the Company may, at its discretion and from time-to-time, sell common shares of the Company, resulting in the Company receiving aggregate proceeds of up to $500,000. During the year ended December 31, 2021, the Company issued 23,923,000 common shares in exchange for gross proceeds of $150,296 at an average share price of approximately $6.28. The Company received net proceeds of $145,601 after paying commissions of $4,509 to the Company’s agent, in addition to $186 of other transaction fees. During the year ended December 31, 2022, the Company issued 29,324,000 common shares in exchange for gross proceeds of $55,960 at an average share price of approximately $1.91. The Company received net proceeds of $54,086 after paying commissions of $1,791 to the Company’s agent and $83 in other transaction costs.</w:t>
      </w:r>
    </w:p>
    <w:p>
      <w:pPr>
        <w:spacing w:after="0" w:line="173"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Employee Stock Options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employees, directors, consultants and former employees exercised stock options to acquire 70,000 common shares (December 31, 2021: 6,074,000) resulting in proceeds of approximately $21 (December 31, 2021: $6,177) being 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51</w:t>
        <w:tab/>
        <w:t>Page</w:t>
      </w:r>
    </w:p>
    <w:p>
      <w:pPr>
        <w:sectPr>
          <w:pgSz w:w="11900" w:h="16838" w:orient="portrait"/>
          <w:cols w:equalWidth="0" w:num="1">
            <w:col w:w="11240"/>
          </w:cols>
          <w:pgMar w:left="320" w:top="90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21:SHARE CAPITAL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Significant transactions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Dominion Capital loan</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2021, Dominion Capital exercised their option to convert $5,000 of debt into 8,475,000 common shares. In January and February 2021, Dominion Capital exercised all of their remaining outstanding warrants resulting in the issuance of 5,251,000 common shares for proceeds of approximately $1,500. The warrant exercises described above include the cashless exercise of 1,667,000 warrants resulting in the issuance of 1,501,000 common shares. The Dominion Capital loan was fully repaid by the Company in February 2021. For more details on the loan, refer to Note 17d.</w:t>
      </w:r>
    </w:p>
    <w:p>
      <w:pPr>
        <w:spacing w:after="0" w:line="187"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2021 private placements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February and May 2021, the Company completed four private placements for total gross proceeds of CAD$155,000 in exchange for 40,187,000 Common Shares and 36,649,000 warrants to purchase common shares.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2021, 8,889,000 warrants and 615,000 of the 711,000 broker warrants related to the private placement that closed on January 7, 2021, were exercised resulting in the issuance of 9,504,000 common shares for proceeds of approximately $20,611 (CAD$26,172).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5,028,000 warrants related to the private placement closed on January 14, 2021 were exercised resulting in the issuance of 5,028,000 common shares for proceeds of approximately $15,587. In addition, 800,000 of the 925,000 broker warrants issued in connection with the private placement on February 10, 2021 were exercised resulting in the issuance of 800,000 common shares for proceeds of $2,712.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5,405,000 warrants related to the private placement closed on February 7, 2021, were exercised resulting in the issuance of 5,405,000 common shares for proceeds of approximately $16,268.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total, 20,737,000 warrants relating to the private placements have been exercised resulting in the issuance of 20,737,000 common shares for proceeds of $55,178.</w:t>
      </w:r>
    </w:p>
    <w:p>
      <w:pPr>
        <w:spacing w:after="0" w:line="160"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Former lessor</w:t>
      </w:r>
    </w:p>
    <w:p>
      <w:pPr>
        <w:spacing w:after="0" w:line="29" w:lineRule="exact"/>
        <w:rPr>
          <w:sz w:val="20"/>
          <w:szCs w:val="20"/>
          <w:color w:val="auto"/>
        </w:rPr>
      </w:pPr>
    </w:p>
    <w:p>
      <w:pPr>
        <w:jc w:val="both"/>
        <w:ind w:hanging="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modified the terms of three two-year lease agreements for mining hardware, resulting in the lease liabilities being reclassified to long-term debt. The Company issued 468,000 warrants to the former lessor with an exercise price of $0.40 and expiring in May 2023 for a total cost of $2,160. The cost of these warrants was added to the cost of the leased assets as per Note 18b.</w:t>
      </w:r>
    </w:p>
    <w:p>
      <w:pPr>
        <w:spacing w:after="0" w:line="184"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issuances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 additional 415,000 common shares were issued in connection with the business combination described in Note 5, and 2,000 other common shares were issued during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52</w:t>
        <w:tab/>
        <w:t>Page</w:t>
      </w:r>
    </w:p>
    <w:p>
      <w:pPr>
        <w:sectPr>
          <w:pgSz w:w="11900" w:h="16838" w:orient="portrait"/>
          <w:cols w:equalWidth="0" w:num="1">
            <w:col w:w="11240"/>
          </w:cols>
          <w:pgMar w:left="320" w:top="90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 as of December 31,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6"/>
        </w:trPr>
        <w:tc>
          <w:tcPr>
            <w:tcW w:w="49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Level 1</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Level 2</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701</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r>
      <w:tr>
        <w:trPr>
          <w:trHeight w:val="243"/>
        </w:trPr>
        <w:tc>
          <w:tcPr>
            <w:tcW w:w="4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refund and other receivables</w:t>
            </w:r>
          </w:p>
        </w:tc>
        <w:tc>
          <w:tcPr>
            <w:tcW w:w="2800" w:type="dxa"/>
            <w:vAlign w:val="bottom"/>
            <w:tcBorders>
              <w:bottom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Level 2</w:t>
            </w: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r>
      <w:tr>
        <w:trPr>
          <w:trHeight w:val="23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carrying amount and fair value</w:t>
            </w:r>
          </w:p>
        </w:tc>
        <w:tc>
          <w:tcPr>
            <w:tcW w:w="2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31,696</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127,330</w:t>
            </w:r>
          </w:p>
        </w:tc>
      </w:tr>
      <w:tr>
        <w:trPr>
          <w:trHeight w:val="210"/>
        </w:trPr>
        <w:tc>
          <w:tcPr>
            <w:tcW w:w="49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80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Level 2</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Level 2</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47,147</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11,167</w:t>
            </w:r>
          </w:p>
        </w:tc>
      </w:tr>
      <w:tr>
        <w:trPr>
          <w:trHeight w:val="243"/>
        </w:trPr>
        <w:tc>
          <w:tcPr>
            <w:tcW w:w="4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800" w:type="dxa"/>
            <w:vAlign w:val="bottom"/>
            <w:tcBorders>
              <w:bottom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Level 2</w:t>
            </w: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r>
      <w:tr>
        <w:trPr>
          <w:trHeight w:val="237"/>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carrying amount and fair value</w:t>
            </w:r>
          </w:p>
        </w:tc>
        <w:tc>
          <w:tcPr>
            <w:tcW w:w="2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67,688</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85,649</w:t>
            </w:r>
          </w:p>
        </w:tc>
      </w:tr>
      <w:tr>
        <w:trPr>
          <w:trHeight w:val="237"/>
        </w:trPr>
        <w:tc>
          <w:tcPr>
            <w:tcW w:w="490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spacing w:after="0"/>
              <w:rPr>
                <w:sz w:val="20"/>
                <w:szCs w:val="20"/>
                <w:color w:val="auto"/>
              </w:rPr>
            </w:pPr>
          </w:p>
        </w:tc>
      </w:tr>
      <w:tr>
        <w:trPr>
          <w:trHeight w:val="23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carrying amount and fair value</w:t>
            </w:r>
          </w:p>
        </w:tc>
        <w:tc>
          <w:tcPr>
            <w:tcW w:w="2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(35,992)</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41,681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trade payables and accrued liabilities, credit facility and long-term debt presented in the table above are a reasonable approximation of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policy</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exposed to foreign currency risk, credit risk, counterparty risk, liquidity risk and concentration risk. The Company’s senior management monitors these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 dollars. The Company is exposed to variability in the Canadian dollar and Argentine peso to US dollar exchange rates when making expenditures payable in Canadian dollars and Argentine pesos. The Company funds foreign currency transactions by buying the foreign currency at the spot rate when required. A 5% increase or decrease in the USD/CAD and USD/ARS exchange rates may have an impact of an increase or decrease of $215 on retained earnings at December 31, 2022 (December 31, 2021: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53</w:t>
        <w:tab/>
        <w:t>Page</w:t>
      </w:r>
    </w:p>
    <w:p>
      <w:pPr>
        <w:sectPr>
          <w:pgSz w:w="11900" w:h="16838" w:orient="portrait"/>
          <w:cols w:equalWidth="0" w:num="1">
            <w:col w:w="11240"/>
          </w:cols>
          <w:pgMar w:left="320" w:top="90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22: FINANCIAL INSTRUMENTS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Foreign currency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denominated in Canadian dollars and Argentine pesos included in the consolidated statements of financial position, presented in thousands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a of December 31,</w:t>
            </w:r>
          </w:p>
        </w:tc>
        <w:tc>
          <w:tcPr>
            <w:tcW w:w="2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of December 31,</w:t>
            </w:r>
          </w:p>
        </w:tc>
      </w:tr>
      <w:tr>
        <w:trPr>
          <w:trHeight w:val="236"/>
        </w:trPr>
        <w:tc>
          <w:tcPr>
            <w:tcW w:w="46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46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ARS</w:t>
            </w: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CAD</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ARS</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4,994</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3,475</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675</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609</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(6,228)</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(4,849)</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(4,964)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(126)</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(751)</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(3,552)</w:t>
            </w: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counterparty risk</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of an unexpected loss if a third party fails to meet its contractual obligations, including cash and cash equivalents. The risk regarding cash and cash equivalents is mitigated by holding the majority of the Company’s cash and cash equivalents through a Canadian chartered bank.</w:t>
      </w:r>
    </w:p>
    <w:p>
      <w:pPr>
        <w:spacing w:after="0" w:line="18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 The Company also insures the majority of its construction deposits for the Argentina facility in order to mitigate the risk of suppliers not meeting their contractual obligations.</w:t>
      </w:r>
    </w:p>
    <w:p>
      <w:pPr>
        <w:spacing w:after="0" w:line="18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credit risk regarding trade receivables is derived mainly from sales to Volta’s third-party customers. The Company performs ongoing credit evaluations of its customers. An allowance for doubtful accounts is determined with respect to those amounts that the Company has determined to be doubtful of collection. The allowance for doubtful accounts is based on management’s assessment of a customer’s credit quality as well as subjective factors and trends, including the aging of receivable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54</w:t>
        <w:tab/>
        <w:t>Page</w:t>
      </w:r>
    </w:p>
    <w:p>
      <w:pPr>
        <w:sectPr>
          <w:pgSz w:w="11900" w:h="16838" w:orient="portrait"/>
          <w:cols w:equalWidth="0" w:num="1">
            <w:col w:w="11240"/>
          </w:cols>
          <w:pgMar w:left="320" w:top="90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22: FINANCIAL INSTRUMENTS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a risk that the Company will not be able to pay its financial obligations when they are due. The Company’s policy is to monitor its cash balances and planned cash flows generated from operations to ensure that it maintains sufficient liquidity in order to pay its projected financial liabilities. Refer to Note 2 for more details about the Company’s liquidity.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undiscounted contractual maturities of financial liabilities and lease liabilities (non-financial liabilities) with estimated future interest payments as of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 and</w:t>
            </w:r>
          </w:p>
        </w:tc>
        <w:tc>
          <w:tcPr>
            <w:tcW w:w="1020" w:type="dxa"/>
            <w:vAlign w:val="bottom"/>
            <w:tcBorders>
              <w:top w:val="single" w:sz="8" w:color="auto"/>
            </w:tcBorders>
          </w:tcPr>
          <w:p>
            <w:pPr>
              <w:spacing w:after="0"/>
              <w:rPr>
                <w:sz w:val="18"/>
                <w:szCs w:val="18"/>
                <w:color w:val="auto"/>
              </w:rPr>
            </w:pPr>
          </w:p>
        </w:tc>
      </w:tr>
      <w:tr>
        <w:trPr>
          <w:trHeight w:val="238"/>
        </w:trPr>
        <w:tc>
          <w:tcPr>
            <w:tcW w:w="3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20,541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45,747</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4,085</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49,832</w:t>
            </w:r>
          </w:p>
        </w:tc>
      </w:tr>
      <w:tr>
        <w:trPr>
          <w:trHeight w:val="24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4,333</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3,587</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2,493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2,408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21,690</w:t>
            </w:r>
          </w:p>
        </w:tc>
      </w:tr>
      <w:tr>
        <w:trPr>
          <w:trHeight w:val="236"/>
        </w:trPr>
        <w:tc>
          <w:tcPr>
            <w:tcW w:w="3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70,621</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7,672</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2,493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2,408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8,869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92,063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portion of its working capital in BTC.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The Company does not currently hedge the conversion of cryptocurrencies to fiat currency.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23: TRANSACTIONS AND BALANCES WITH RELATED PARTIES</w:t>
            </w:r>
          </w:p>
        </w:tc>
        <w:tc>
          <w:tcPr>
            <w:tcW w:w="2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balance payable to related parties:</w:t>
            </w:r>
          </w:p>
        </w:tc>
        <w:tc>
          <w:tcPr>
            <w:tcW w:w="2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9"/>
        </w:trPr>
        <w:tc>
          <w:tcPr>
            <w:tcW w:w="6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6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r>
      <w:tr>
        <w:trPr>
          <w:trHeight w:val="237"/>
        </w:trPr>
        <w:tc>
          <w:tcPr>
            <w:tcW w:w="6940" w:type="dxa"/>
            <w:vAlign w:val="bottom"/>
            <w:tcBorders>
              <w:bottom w:val="single" w:sz="8" w:color="auto"/>
            </w:tcBorders>
            <w:shd w:val="clear" w:color="auto" w:fill="CCEEFF"/>
          </w:tcPr>
          <w:p>
            <w:pPr>
              <w:spacing w:after="0"/>
              <w:rPr>
                <w:sz w:val="20"/>
                <w:szCs w:val="20"/>
                <w:color w:val="auto"/>
              </w:rPr>
            </w:pPr>
          </w:p>
        </w:tc>
        <w:tc>
          <w:tcPr>
            <w:tcW w:w="2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1,617</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r>
      <w:tr>
        <w:trPr>
          <w:trHeight w:val="210"/>
        </w:trPr>
        <w:tc>
          <w:tcPr>
            <w:tcW w:w="69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34"/>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5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r>
      <w:tr>
        <w:trPr>
          <w:trHeight w:val="239"/>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Companies controlled by directors</w:t>
            </w:r>
          </w:p>
        </w:tc>
        <w:tc>
          <w:tcPr>
            <w:tcW w:w="2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 other than lease liabilities, are unsecured, non-interest bearing and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55</w:t>
        <w:tab/>
        <w:t>Page</w:t>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23: TRANSACTIONS AND BALANCES WITH RELATED PARTIES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made rent payments totaling approximately $273 for the year ended December 31, 2022 (for the year ended December 31, 2021: $475) to companies controlled by certain directors.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8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Company entered into consulting agreements with two directors. The consulting fees totaled approximately $1,267 for the year ended December 31, 2022 (for the year ended December 31, 2021: $625). During December 2022, the consulting agreements were terminated, roles and responsibilities were reduced and termination payments totaling $1,466 were accrued and included in trade payables and accrued liabilities (for the year ended December 31, 2021: nil).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transactions described above were incurred in the normal course of operations. These transactions are included in the consolidated statements of profit or loss and comprehensive profit and loss as follows:</w:t>
      </w:r>
    </w:p>
    <w:p>
      <w:pPr>
        <w:spacing w:after="0" w:line="15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2,733</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43"/>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4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6020" w:type="dxa"/>
            <w:vAlign w:val="bottom"/>
            <w:tcBorders>
              <w:bottom w:val="single" w:sz="8" w:color="auto"/>
            </w:tcBorders>
            <w:shd w:val="clear" w:color="auto" w:fill="CCEEFF"/>
          </w:tcPr>
          <w:p>
            <w:pPr>
              <w:spacing w:after="0"/>
              <w:rPr>
                <w:sz w:val="20"/>
                <w:szCs w:val="20"/>
                <w:color w:val="auto"/>
              </w:rPr>
            </w:pPr>
          </w:p>
        </w:tc>
        <w:tc>
          <w:tcPr>
            <w:tcW w:w="42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2,803</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key management and directors</w:t>
      </w:r>
    </w:p>
    <w:p>
      <w:pPr>
        <w:spacing w:after="0" w:line="31" w:lineRule="exact"/>
        <w:rPr>
          <w:sz w:val="20"/>
          <w:szCs w:val="20"/>
          <w:color w:val="auto"/>
        </w:rPr>
      </w:pPr>
    </w:p>
    <w:p>
      <w:pPr>
        <w:jc w:val="both"/>
        <w:ind w:right="20" w:hanging="4"/>
        <w:spacing w:after="0" w:line="260" w:lineRule="auto"/>
        <w:rPr>
          <w:sz w:val="20"/>
          <w:szCs w:val="20"/>
          <w:color w:val="auto"/>
        </w:rPr>
      </w:pPr>
      <w:r>
        <w:rPr>
          <w:rFonts w:ascii="Times New Roman" w:cs="Times New Roman" w:eastAsia="Times New Roman" w:hAnsi="Times New Roman"/>
          <w:sz w:val="18"/>
          <w:szCs w:val="18"/>
          <w:color w:val="auto"/>
        </w:rPr>
        <w:t>The Company considers its Directors, Chief Officers and Vice Presidents to be key management personnel. The remuneration paid to directors and other members of key management personnel, to the extent that they are not included in the consulting agreements described above are as follows:</w:t>
      </w:r>
    </w:p>
    <w:p>
      <w:pPr>
        <w:spacing w:after="0" w:line="204"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4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payments</w:t>
            </w:r>
          </w:p>
        </w:tc>
        <w:tc>
          <w:tcPr>
            <w:tcW w:w="4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1,466</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7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19,077</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21,174</w:t>
            </w:r>
          </w:p>
        </w:tc>
      </w:tr>
      <w:tr>
        <w:trPr>
          <w:trHeight w:val="236"/>
        </w:trPr>
        <w:tc>
          <w:tcPr>
            <w:tcW w:w="546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20,591</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26,178</w:t>
            </w:r>
          </w:p>
        </w:tc>
      </w:tr>
    </w:tbl>
    <w:p>
      <w:pPr>
        <w:spacing w:after="0" w:line="36"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*Short-term benefits include an incentive plan adopted by the Company in 2021 to reward certain directors and members of senior management with a total of 50 BTC.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CAPITAL MANAGEMENT POLICIES AND PROCEDURES</w:t>
      </w:r>
    </w:p>
    <w:p>
      <w:pPr>
        <w:spacing w:after="0" w:line="229"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The Company’s capital management objectives are to ensure its ability to maximize the return to its shareholders. The Company’s definition of capital includes all components of equity. Capital for the reporting period is summarized in Note 21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and ensuring sufficient liquidity to pursue organic growth. In order to maintain or adjust the capital structure, the Company may issue new common shares 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56</w:t>
        <w:tab/>
        <w:t>Page</w:t>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SUBSIDIARIES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In 2011, Bitfarms Ltd. (Israel) established AU Acquisition VI, LLC (“AU”) which is incorporated in the State of Nevada, USA, and was wholly owned and controlled by the Company. AU is registered as the legal owner of the mineral assets, Hidden Lake and Victorine. Also, in 2011, Bitfarms established Pembroke &amp; Timberland, LLC (“Pembroke”) in the State of Maine, USA, which was also wholly owned and controlled by the Company. In 2022, AU and Pembroke were sold for a nominal amount to a third party.</w:t>
      </w:r>
    </w:p>
    <w:p>
      <w:pPr>
        <w:spacing w:after="0" w:line="180"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2022, Backbone established Bitfarms Paraguay General Partner Inc. (“Bitfarms Paraguay GP”) which is incorporated in the Province of Ontario, Canada, and is wholly owned and controlled by Backbone. A limited partnership, Bitfarms Paraguay Limited Partnership, was established in the Province of Ontario, Canada with Bitfarms Paraguay GP being the general partner and Backbone being the limited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subsidiaries as of December 31, 2022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Main place of</w:t>
            </w:r>
          </w:p>
        </w:tc>
        <w:tc>
          <w:tcPr>
            <w:tcW w:w="14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6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28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Volta</w:t>
            </w:r>
          </w:p>
        </w:tc>
        <w:tc>
          <w:tcPr>
            <w:tcW w:w="2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w:t>
            </w:r>
          </w:p>
        </w:tc>
        <w:tc>
          <w:tcPr>
            <w:tcW w:w="28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Backbone Argentina</w:t>
            </w:r>
          </w:p>
        </w:tc>
        <w:tc>
          <w:tcPr>
            <w:tcW w:w="2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ARG</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Paraguay</w:t>
            </w:r>
          </w:p>
        </w:tc>
        <w:tc>
          <w:tcPr>
            <w:tcW w:w="28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Backbone Mining</w:t>
            </w:r>
          </w:p>
        </w:tc>
        <w:tc>
          <w:tcPr>
            <w:tcW w:w="2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USA</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Excluding the mineral assets with a carrying amount of $3,000, substantially all of the other assets, liabilities, revenues, expenses and cash flows in the consolidated financial statements are those of Backbone, Backbone Argentina, Backbone Paraguay, Backbone Mining and of Volta. Refer to Note 29 for geographic information of revenues and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NET EARNINGS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number of shares and income (loss) used in the computation of net earnings (loss) per share are as follows:</w:t>
      </w:r>
    </w:p>
    <w:p>
      <w:pPr>
        <w:spacing w:after="0" w:line="24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6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22,130</w:t>
            </w:r>
          </w:p>
        </w:tc>
      </w:tr>
      <w:tr>
        <w:trPr>
          <w:trHeight w:val="210"/>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207,776,000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157,652,000</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effect of dilutive potential common shares</w:t>
            </w:r>
          </w:p>
        </w:tc>
        <w:tc>
          <w:tcPr>
            <w:tcW w:w="3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11,740,000</w:t>
            </w:r>
          </w:p>
        </w:tc>
      </w:tr>
      <w:tr>
        <w:trPr>
          <w:trHeight w:val="24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3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207,776,000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169,392,000</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year ended December 31, 2022, would have totaled approximately 1,748,000.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57</w:t>
        <w:tab/>
        <w:t>Page</w:t>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SHARE-BASED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 services received is as follows:</w:t>
      </w:r>
    </w:p>
    <w:p>
      <w:pPr>
        <w:spacing w:after="0" w:line="24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4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21,788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approved stock option grants to purchase up to 9,592,000 common shares in accordance with the Long-Term Incentive Plan (the “LTIP Plan”) adopted on May 18, 2021. All options issued according to the LTIP Plan become exercisable when they vest and can be exercised for a maximum period of 5 years from the date of the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19,</w:t>
            </w:r>
          </w:p>
        </w:tc>
        <w:tc>
          <w:tcPr>
            <w:tcW w:w="11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November 16,</w:t>
            </w: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vMerge w:val="continue"/>
          </w:tcPr>
          <w:p>
            <w:pPr>
              <w:spacing w:after="0"/>
              <w:rPr>
                <w:sz w:val="20"/>
                <w:szCs w:val="20"/>
                <w:color w:val="auto"/>
              </w:rPr>
            </w:pPr>
          </w:p>
        </w:tc>
        <w:tc>
          <w:tcPr>
            <w:tcW w:w="2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2.49%</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4.71</w:t>
            </w: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2.45</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4.71</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1.21</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0.72</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0.46</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1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120,000</w:t>
            </w:r>
          </w:p>
        </w:tc>
        <w:tc>
          <w:tcPr>
            <w:tcW w:w="14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5,382,000</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200,000</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3,870,000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40" w:type="dxa"/>
            <w:vAlign w:val="bottom"/>
            <w:tcBorders>
              <w:bottom w:val="single" w:sz="8" w:color="auto"/>
            </w:tcBorders>
          </w:tcPr>
          <w:p>
            <w:pPr>
              <w:spacing w:after="0"/>
              <w:rPr>
                <w:sz w:val="20"/>
                <w:szCs w:val="20"/>
                <w:color w:val="auto"/>
              </w:rPr>
            </w:pPr>
          </w:p>
        </w:tc>
      </w:tr>
      <w:tr>
        <w:trPr>
          <w:trHeight w:val="234"/>
        </w:trPr>
        <w:tc>
          <w:tcPr>
            <w:tcW w:w="29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9"/>
        </w:trPr>
        <w:tc>
          <w:tcPr>
            <w:tcW w:w="29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820" w:type="dxa"/>
            <w:vAlign w:val="bottom"/>
          </w:tcPr>
          <w:p>
            <w:pPr>
              <w:spacing w:after="0"/>
              <w:rPr>
                <w:sz w:val="16"/>
                <w:szCs w:val="16"/>
                <w:color w:val="auto"/>
              </w:rPr>
            </w:pPr>
          </w:p>
        </w:tc>
        <w:tc>
          <w:tcPr>
            <w:tcW w:w="19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9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 ($CAD)</w:t>
            </w:r>
          </w:p>
        </w:tc>
      </w:tr>
      <w:tr>
        <w:trPr>
          <w:trHeight w:val="237"/>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12,547,000</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4.86</w:t>
            </w:r>
          </w:p>
        </w:tc>
        <w:tc>
          <w:tcPr>
            <w:tcW w:w="1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8,100,000</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9,592,000</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10,775,000</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(70,000)</w:t>
            </w: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0.41</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(6,074,000)</w:t>
            </w: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(205,000)</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5.65</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(251,000)</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r>
      <w:tr>
        <w:trPr>
          <w:trHeight w:val="243"/>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(60,000)</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4.37</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23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2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21,804,000</w:t>
            </w:r>
          </w:p>
        </w:tc>
        <w:tc>
          <w:tcPr>
            <w:tcW w:w="2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3.47</w:t>
            </w: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12,547,000</w:t>
            </w:r>
          </w:p>
        </w:tc>
        <w:tc>
          <w:tcPr>
            <w:tcW w:w="1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37"/>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December 31,</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2,306,375</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0.46</w:t>
            </w:r>
          </w:p>
        </w:tc>
        <w:tc>
          <w:tcPr>
            <w:tcW w:w="1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5,676,000</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of December 31, 2022 was 4.0 years (December 31, 2021: 4.3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58</w:t>
        <w:tab/>
        <w:t>Page</w:t>
      </w:r>
    </w:p>
    <w:p>
      <w:pPr>
        <w:sectPr>
          <w:pgSz w:w="11900" w:h="16838" w:orient="portrait"/>
          <w:cols w:equalWidth="0" w:num="1">
            <w:col w:w="11240"/>
          </w:cols>
          <w:pgMar w:left="320" w:top="90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27: SHARE-BASED PAYMENT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2022, the Board of Directors approved the grant of 200,000 RSUs (during the year December 31, 2021: 200,000 RSUs) to certain members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management which vest 25% upfront and an additional 25% every 6 months (during the year ended December 31, 2021: vest ratably, on an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over a three-year period). The value of the RSUs on the grant date was $1.91 per unit (during the year December 31, 2021: $4.05 per unit).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ADDITIONAL DETAILS TO THE STATEMENT OF PROFIT OR LOSS AND COMPREHENSIVE PROFIT OR LOSS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3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47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56,415</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7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72,420</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24,476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47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1,759</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w:t>
            </w:r>
          </w:p>
        </w:tc>
      </w:tr>
      <w:tr>
        <w:trPr>
          <w:trHeight w:val="24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4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1,316</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243"/>
        </w:trPr>
        <w:tc>
          <w:tcPr>
            <w:tcW w:w="5900" w:type="dxa"/>
            <w:vAlign w:val="bottom"/>
            <w:tcBorders>
              <w:bottom w:val="single" w:sz="8" w:color="auto"/>
            </w:tcBorders>
            <w:shd w:val="clear" w:color="auto" w:fill="CCEEFF"/>
          </w:tcPr>
          <w:p>
            <w:pPr>
              <w:spacing w:after="0"/>
              <w:rPr>
                <w:sz w:val="21"/>
                <w:szCs w:val="21"/>
                <w:color w:val="auto"/>
              </w:rPr>
            </w:pPr>
          </w:p>
        </w:tc>
        <w:tc>
          <w:tcPr>
            <w:tcW w:w="47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131,910</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58,371</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5900" w:type="dxa"/>
            <w:vAlign w:val="bottom"/>
            <w:tcBorders>
              <w:bottom w:val="single" w:sz="8" w:color="auto"/>
            </w:tcBorders>
          </w:tcPr>
          <w:p>
            <w:pPr>
              <w:spacing w:after="0"/>
              <w:rPr>
                <w:sz w:val="21"/>
                <w:szCs w:val="21"/>
                <w:color w:val="auto"/>
              </w:rPr>
            </w:pPr>
          </w:p>
        </w:tc>
        <w:tc>
          <w:tcPr>
            <w:tcW w:w="53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59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 based payment</w:t>
            </w:r>
          </w:p>
        </w:tc>
        <w:tc>
          <w:tcPr>
            <w:tcW w:w="47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30,040</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30,334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7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10,051</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6,985</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47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333</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47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9,370</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4,920</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47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1,152</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4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560</w:t>
            </w: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r>
      <w:tr>
        <w:trPr>
          <w:trHeight w:val="244"/>
        </w:trPr>
        <w:tc>
          <w:tcPr>
            <w:tcW w:w="5900" w:type="dxa"/>
            <w:vAlign w:val="bottom"/>
            <w:tcBorders>
              <w:bottom w:val="single" w:sz="8" w:color="auto"/>
            </w:tcBorders>
            <w:shd w:val="clear" w:color="auto" w:fill="CCEEFF"/>
          </w:tcPr>
          <w:p>
            <w:pPr>
              <w:spacing w:after="0"/>
              <w:rPr>
                <w:sz w:val="21"/>
                <w:szCs w:val="21"/>
                <w:color w:val="auto"/>
              </w:rPr>
            </w:pPr>
          </w:p>
        </w:tc>
        <w:tc>
          <w:tcPr>
            <w:tcW w:w="47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51,506</w:t>
            </w: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43,238</w:t>
            </w:r>
          </w:p>
        </w:tc>
      </w:tr>
      <w:tr>
        <w:trPr>
          <w:trHeight w:val="439"/>
        </w:trPr>
        <w:tc>
          <w:tcPr>
            <w:tcW w:w="5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70"/>
        </w:trPr>
        <w:tc>
          <w:tcPr>
            <w:tcW w:w="5900" w:type="dxa"/>
            <w:vAlign w:val="bottom"/>
          </w:tcPr>
          <w:p>
            <w:pPr>
              <w:spacing w:after="0"/>
              <w:rPr>
                <w:sz w:val="23"/>
                <w:szCs w:val="23"/>
                <w:color w:val="auto"/>
              </w:rPr>
            </w:pP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right w:val="single" w:sz="8" w:color="auto"/>
            </w:tcBorders>
          </w:tcPr>
          <w:p>
            <w:pPr>
              <w:spacing w:after="0"/>
              <w:rPr>
                <w:sz w:val="23"/>
                <w:szCs w:val="23"/>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28: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p>
      <w:pPr>
        <w:spacing w:after="0" w:line="25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revaluation of warrants</w:t>
            </w:r>
          </w:p>
        </w:tc>
        <w:tc>
          <w:tcPr>
            <w:tcW w:w="30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19,524</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on embedded derivative</w:t>
            </w:r>
          </w:p>
        </w:tc>
        <w:tc>
          <w:tcPr>
            <w:tcW w:w="308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30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a</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(51,649)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on currency exchange</w:t>
            </w:r>
          </w:p>
        </w:tc>
        <w:tc>
          <w:tcPr>
            <w:tcW w:w="308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2,945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credit facility and long-term debt</w:t>
            </w:r>
          </w:p>
        </w:tc>
        <w:tc>
          <w:tcPr>
            <w:tcW w:w="30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12,770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8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1,451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30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Discount expense on VAT receivable</w:t>
            </w:r>
          </w:p>
        </w:tc>
        <w:tc>
          <w:tcPr>
            <w:tcW w:w="3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b</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6,750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30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44"/>
        </w:trPr>
        <w:tc>
          <w:tcPr>
            <w:tcW w:w="57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(27,560)</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21,003</w:t>
            </w:r>
          </w:p>
        </w:tc>
      </w:tr>
    </w:tbl>
    <w:p>
      <w:pPr>
        <w:spacing w:after="0" w:line="194"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hanging="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continued to fund its expansion in Argentina through the acquisition of marketable securities and in-kind contribution of these securities to the Company’s subsidiary in Argentina. The subsequent disposition of these marketable securities in exchange for Argentine Pesos gave rise to a gain as the amount received in ARS exceeds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expense on VAT receivable</w:t>
      </w:r>
    </w:p>
    <w:p>
      <w:pPr>
        <w:spacing w:after="0" w:line="31"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A portion of Argentine VAT is not expected to be settled within the next 12 months, and, therefore, it has been classified as a long-term receivable in Note 14 with the short-term portion being included in sales tax receivable in Note 8. The Company has discounted this VAT receivable to its present value, which is classified within Net financial (income) expenses during the year ended December 31, 2022. Historically, ARS has devalued significantly when compared to USD due to high levels of inflation in Argentina, which may result in the Company recording future foreign exchange losses on its Argentina VAT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60</w:t>
        <w:tab/>
        <w:t>Page</w:t>
      </w:r>
    </w:p>
    <w:p>
      <w:pPr>
        <w:sectPr>
          <w:pgSz w:w="11900" w:h="16838" w:orient="portrait"/>
          <w:cols w:equalWidth="0" w:num="1">
            <w:col w:w="11240"/>
          </w:cols>
          <w:pgMar w:left="320" w:top="90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29: 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assess its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w:t>
      </w:r>
    </w:p>
    <w:p>
      <w:pPr>
        <w:spacing w:after="0" w:line="230"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2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112,106</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153,265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4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25,095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1,455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3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3,772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00" w:type="dxa"/>
            <w:vAlign w:val="bottom"/>
            <w:tcBorders>
              <w:bottom w:val="single" w:sz="8" w:color="auto"/>
            </w:tcBorders>
            <w:shd w:val="clear" w:color="auto" w:fill="CCEEFF"/>
          </w:tcPr>
          <w:p>
            <w:pPr>
              <w:spacing w:after="0"/>
              <w:rPr>
                <w:sz w:val="21"/>
                <w:szCs w:val="21"/>
                <w:color w:val="auto"/>
              </w:rPr>
            </w:pPr>
          </w:p>
        </w:tc>
        <w:tc>
          <w:tcPr>
            <w:tcW w:w="428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169,491</w:t>
            </w:r>
          </w:p>
        </w:tc>
      </w:tr>
      <w:tr>
        <w:trPr>
          <w:trHeight w:val="414"/>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by country is as follow:</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5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59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142,654</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83,402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32,664</w:t>
            </w:r>
          </w:p>
        </w:tc>
        <w:tc>
          <w:tcPr>
            <w:tcW w:w="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51,672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31,927</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r>
      <w:tr>
        <w:trPr>
          <w:trHeight w:val="24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12,183</w:t>
            </w:r>
          </w:p>
        </w:tc>
        <w:tc>
          <w:tcPr>
            <w:tcW w:w="8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r>
      <w:tr>
        <w:trPr>
          <w:trHeight w:val="244"/>
        </w:trPr>
        <w:tc>
          <w:tcPr>
            <w:tcW w:w="5900" w:type="dxa"/>
            <w:vAlign w:val="bottom"/>
            <w:tcBorders>
              <w:bottom w:val="single" w:sz="8" w:color="auto"/>
            </w:tcBorders>
            <w:shd w:val="clear" w:color="auto" w:fill="CCEEFF"/>
          </w:tcPr>
          <w:p>
            <w:pPr>
              <w:spacing w:after="0"/>
              <w:rPr>
                <w:sz w:val="21"/>
                <w:szCs w:val="21"/>
                <w:color w:val="auto"/>
              </w:rPr>
            </w:pPr>
          </w:p>
        </w:tc>
        <w:tc>
          <w:tcPr>
            <w:tcW w:w="3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219,428</w:t>
            </w:r>
          </w:p>
        </w:tc>
        <w:tc>
          <w:tcPr>
            <w:tcW w:w="8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61</w:t>
        <w:tab/>
        <w:t>Page</w:t>
      </w:r>
    </w:p>
    <w:p>
      <w:pPr>
        <w:sectPr>
          <w:pgSz w:w="11900" w:h="16838" w:orient="portrait"/>
          <w:cols w:equalWidth="0" w:num="1">
            <w:col w:w="11240"/>
          </w:cols>
          <w:pgMar w:left="320" w:top="90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30: ADDITIONAL DETAILS TO THE STATEMENT OF CASH FLOWS</w:t>
      </w:r>
    </w:p>
    <w:p>
      <w:pPr>
        <w:spacing w:after="0" w:line="25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receivables, net</w:t>
            </w:r>
          </w:p>
        </w:tc>
        <w:tc>
          <w:tcPr>
            <w:tcW w:w="2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2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long-term deposits</w:t>
            </w:r>
          </w:p>
        </w:tc>
        <w:tc>
          <w:tcPr>
            <w:tcW w:w="2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payables and accrued liabilities</w:t>
            </w: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9,244</w:t>
            </w:r>
          </w:p>
        </w:tc>
      </w:tr>
      <w:tr>
        <w:trPr>
          <w:trHeight w:val="243"/>
        </w:trPr>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2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11,777</w:t>
            </w:r>
          </w:p>
        </w:tc>
      </w:tr>
      <w:tr>
        <w:trPr>
          <w:trHeight w:val="236"/>
        </w:trPr>
        <w:tc>
          <w:tcPr>
            <w:tcW w:w="7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(3,978)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15,390</w:t>
            </w: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right-of-use assets, property, plant and equipment and related lease liabilities</w:t>
            </w: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8,682</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1,601</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warrant liability and long-term debt through share issuance</w:t>
            </w: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24,322</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in connection with business combination</w:t>
            </w:r>
          </w:p>
        </w:tc>
        <w:tc>
          <w:tcPr>
            <w:tcW w:w="2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3,676</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54,135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related to equity issuance costs</w:t>
            </w:r>
          </w:p>
        </w:tc>
        <w:tc>
          <w:tcPr>
            <w:tcW w:w="2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(3,895)</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31: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Equity Offering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January 1, 2023, to March 20, 2023, the Company issued 14,185,000 common shares in exchange for gross proceeds of $14,611 at an average share price of approximately $1.03. The Company received net proceeds of $14,122 after paying commissions of $490 to the Company’s agent. Refer to Note 21 for further details of the Company’s at-the-market equity offering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BlockFi Loan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February 2023, the Company negotiated a settlement of its loan agreement with BlockFi with a then outstanding debt balance of $20,328 for a payment of $7,750. As a result, a gain on extinguishment of long-term debt will be recognized in the amount of $12,578 in the first quarter of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Reliz Lease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February 2023, the Company modified its lease agreement with Reliz Ltd. (where BlockFi was the lender to Reliz Ltd.) in order to settle its outstanding lease liability of $379 for a payment of $118. As a result, a gain on extinguishment of long-term debt will be recognized in the amount of $261 in the first quarter of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Foundry Loans #2, #3 and #4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January 2023, the principal amount of the remaining Foundry Loans #2, #3 and #4 were fully repaid before their maturity date without prepayment penalty for $829.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Miners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period from January 1, 2023, to March 20, 2023, the Company sold 409 Bitmain S19 XP Miners for proceeds of $1,740 resulting in a loss on disposition of $556.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400"/>
        <w:spacing w:after="0"/>
        <w:tabs>
          <w:tab w:leader="none" w:pos="10760" w:val="left"/>
        </w:tabs>
        <w:rPr>
          <w:sz w:val="20"/>
          <w:szCs w:val="20"/>
          <w:color w:val="auto"/>
        </w:rPr>
      </w:pPr>
      <w:r>
        <w:rPr>
          <w:rFonts w:ascii="Times New Roman" w:cs="Times New Roman" w:eastAsia="Times New Roman" w:hAnsi="Times New Roman"/>
          <w:sz w:val="18"/>
          <w:szCs w:val="18"/>
          <w:color w:val="auto"/>
        </w:rPr>
        <w:t>62</w:t>
        <w:tab/>
        <w:t>Page</w:t>
      </w:r>
    </w:p>
    <w:p>
      <w:pPr>
        <w:sectPr>
          <w:pgSz w:w="11900" w:h="16838" w:orient="portrait"/>
          <w:cols w:equalWidth="0" w:num="1">
            <w:col w:w="11240"/>
          </w:cols>
          <w:pgMar w:left="320" w:top="900" w:right="339" w:bottom="1440" w:gutter="0" w:footer="0" w:header="0"/>
        </w:sectPr>
      </w:pPr>
    </w:p>
    <w:bookmarkStart w:id="142" w:name="page143"/>
    <w:bookmarkEnd w:id="142"/>
    <w:p>
      <w:pPr>
        <w:ind w:left="920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7132320" cy="891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Fourth Quarter 2022 Financial Results and Operational Highlights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3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Full Year 2022 Financial Results and Operational Highlights</w:t>
            </w:r>
          </w:p>
        </w:tc>
        <w:tc>
          <w:tcPr>
            <w:tcW w:w="576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Expansion Projects</w:t>
            </w:r>
          </w:p>
        </w:tc>
        <w:tc>
          <w:tcPr>
            <w:tcW w:w="8740" w:type="dxa"/>
            <w:vAlign w:val="bottom"/>
            <w:tcBorders>
              <w:bottom w:val="single" w:sz="8" w:color="CCEEFF"/>
              <w:right w:val="single" w:sz="8" w:color="CCEEFF"/>
            </w:tcBorders>
            <w:gridSpan w:val="19"/>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Non-IFRS Financial Measures and Ratios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3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7800" w:type="dxa"/>
            <w:vAlign w:val="bottom"/>
            <w:tcBorders>
              <w:bottom w:val="single" w:sz="8" w:color="CCEEFF"/>
              <w:right w:val="single" w:sz="8" w:color="CCEEFF"/>
            </w:tcBorders>
            <w:gridSpan w:val="10"/>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5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Instruments</w:t>
            </w:r>
          </w:p>
        </w:tc>
        <w:tc>
          <w:tcPr>
            <w:tcW w:w="856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7020" w:type="dxa"/>
            <w:vAlign w:val="bottom"/>
            <w:tcBorders>
              <w:top w:val="single" w:sz="8" w:color="CCEEFF"/>
            </w:tcBorders>
            <w:gridSpan w:val="6"/>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9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160" w:type="dxa"/>
            <w:vAlign w:val="bottom"/>
            <w:tcBorders>
              <w:top w:val="single" w:sz="8" w:color="CCEEFF"/>
            </w:tcBorders>
            <w:gridSpan w:val="22"/>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4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Significant Accounting Estimates</w:t>
            </w:r>
          </w:p>
        </w:tc>
        <w:tc>
          <w:tcPr>
            <w:tcW w:w="7700" w:type="dxa"/>
            <w:vAlign w:val="bottom"/>
            <w:tcBorders>
              <w:bottom w:val="single" w:sz="8" w:color="CCEEFF"/>
              <w:right w:val="single" w:sz="8" w:color="CCEEFF"/>
            </w:tcBorders>
            <w:gridSpan w:val="9"/>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Policies and New Accounting Policies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Financial Measures and Ratios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2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6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8460" w:type="dxa"/>
            <w:vAlign w:val="bottom"/>
            <w:tcBorders>
              <w:top w:val="single" w:sz="8" w:color="CCEEFF"/>
            </w:tcBorders>
            <w:gridSpan w:val="14"/>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120" w:type="dxa"/>
            <w:vAlign w:val="bottom"/>
            <w:tcBorders>
              <w:right w:val="single" w:sz="8" w:color="auto"/>
            </w:tcBorders>
            <w:gridSpan w:val="25"/>
          </w:tcPr>
          <w:p>
            <w:pPr>
              <w:ind w:left="99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March 20, 2023. This MD&amp;A is intended to supplement the Company’s audited annual consolidated financial statements and its accompanying notes for the year ended December 31, 2022 (the “Financial Statements”). In addition, this MD&amp;A should be read in conjunction with the Company’s Annual Information Form dated March 20, 2023, which, along with the Financial Statements, are available on SEDAR at www.sedar.com.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(“IFRS”) as issued by the International Accounting Standards Board (“IASB”). The Company’s Financial Statements and this MD&amp;A are reported in thousands of US dollars and US dollars, respectively, except where otherwise noted.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10 - </w:t>
      </w:r>
      <w:r>
        <w:rPr>
          <w:rFonts w:ascii="Times New Roman" w:cs="Times New Roman" w:eastAsia="Times New Roman" w:hAnsi="Times New Roman"/>
          <w:sz w:val="18"/>
          <w:szCs w:val="18"/>
          <w:i w:val="1"/>
          <w:iCs w:val="1"/>
          <w:color w:val="auto"/>
        </w:rPr>
        <w:t>Non-IFRS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and Ratios </w:t>
      </w:r>
      <w:r>
        <w:rPr>
          <w:rFonts w:ascii="Times New Roman" w:cs="Times New Roman" w:eastAsia="Times New Roman" w:hAnsi="Times New Roman"/>
          <w:sz w:val="18"/>
          <w:szCs w:val="18"/>
          <w:color w:val="auto"/>
        </w:rPr>
        <w:t>and Section 22 -</w:t>
      </w:r>
      <w:r>
        <w:rPr>
          <w:rFonts w:ascii="Times New Roman" w:cs="Times New Roman" w:eastAsia="Times New Roman" w:hAnsi="Times New Roman"/>
          <w:sz w:val="18"/>
          <w:szCs w:val="18"/>
          <w:i w:val="1"/>
          <w:iCs w:val="1"/>
          <w:color w:val="auto"/>
        </w:rPr>
        <w:t xml:space="preserve"> Cautionary Note Regarding Non-IFRS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to Section 21 - </w:t>
      </w:r>
      <w:r>
        <w:rPr>
          <w:rFonts w:ascii="Times New Roman" w:cs="Times New Roman" w:eastAsia="Times New Roman" w:hAnsi="Times New Roman"/>
          <w:sz w:val="18"/>
          <w:szCs w:val="18"/>
          <w:i w:val="1"/>
          <w:iCs w:val="1"/>
          <w:color w:val="auto"/>
        </w:rPr>
        <w:t xml:space="preserve">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business and industry which are defined in Section 24 -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6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Q4 2022</w:t>
            </w:r>
          </w:p>
        </w:tc>
        <w:tc>
          <w:tcPr>
            <w:tcW w:w="9060" w:type="dxa"/>
            <w:vAlign w:val="bottom"/>
          </w:tcPr>
          <w:p>
            <w:pPr>
              <w:ind w:left="1540"/>
              <w:spacing w:after="0" w:line="191" w:lineRule="exact"/>
              <w:rPr>
                <w:sz w:val="20"/>
                <w:szCs w:val="20"/>
                <w:color w:val="auto"/>
              </w:rPr>
            </w:pPr>
            <w:r>
              <w:rPr>
                <w:rFonts w:ascii="Times New Roman" w:cs="Times New Roman" w:eastAsia="Times New Roman" w:hAnsi="Times New Roman"/>
                <w:sz w:val="18"/>
                <w:szCs w:val="18"/>
                <w:color w:val="auto"/>
              </w:rPr>
              <w:t>Three months ended December 31, 2022</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Q4 2021</w:t>
            </w:r>
          </w:p>
        </w:tc>
        <w:tc>
          <w:tcPr>
            <w:tcW w:w="90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Three months ended December 31, 2021</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FY 2022</w:t>
            </w:r>
          </w:p>
        </w:tc>
        <w:tc>
          <w:tcPr>
            <w:tcW w:w="90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Twelve months ended December 31, 2022</w:t>
            </w: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FY 2021</w:t>
            </w:r>
          </w:p>
        </w:tc>
        <w:tc>
          <w:tcPr>
            <w:tcW w:w="90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Twelve months ended 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22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(“BTC”) Blockchain (referred to as “Mining”). Bitfarms generally operates Miners 24 hours a day producing Computational power (measured by hashrate) which it sells to Mining Pools, for a formula driven rate commonly known in the industry as Full Pay Per Share (“FPPS”).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are purchasing hashrate and take on risk with the aim to mine more blocks than they should in a given time period in seek of profit.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has 10 Mining facilities situated in four countries: Canada, the United States, Paraguay, and Argentina. The Company’s operations are currently predominantly in Canada and the United States, with new operations having commenced in Paraguay and Argentina in 2022. Powered primarily by environmentally friendly hydro-electric sources, Bitfarms is committed to using, where economical, renewable, locally-based and often underutilized energy infrastructure.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51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1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Secured power as of</w:t>
            </w:r>
          </w:p>
        </w:tc>
        <w:tc>
          <w:tcPr>
            <w:tcW w:w="0" w:type="dxa"/>
            <w:vAlign w:val="bottom"/>
          </w:tcPr>
          <w:p>
            <w:pPr>
              <w:spacing w:after="0"/>
              <w:rPr>
                <w:sz w:val="1"/>
                <w:szCs w:val="1"/>
                <w:color w:val="auto"/>
              </w:rPr>
            </w:pPr>
          </w:p>
        </w:tc>
      </w:tr>
      <w:tr>
        <w:trPr>
          <w:trHeight w:val="238"/>
        </w:trPr>
        <w:tc>
          <w:tcPr>
            <w:tcW w:w="4260" w:type="dxa"/>
            <w:vAlign w:val="bottom"/>
            <w:vMerge w:val="continue"/>
          </w:tcPr>
          <w:p>
            <w:pPr>
              <w:spacing w:after="0"/>
              <w:rPr>
                <w:sz w:val="20"/>
                <w:szCs w:val="20"/>
                <w:color w:val="auto"/>
              </w:rPr>
            </w:pPr>
          </w:p>
        </w:tc>
        <w:tc>
          <w:tcPr>
            <w:tcW w:w="51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March 20, 2023</w:t>
            </w: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March 20, 2023</w:t>
            </w:r>
          </w:p>
        </w:tc>
        <w:tc>
          <w:tcPr>
            <w:tcW w:w="0" w:type="dxa"/>
            <w:vAlign w:val="bottom"/>
          </w:tcPr>
          <w:p>
            <w:pPr>
              <w:spacing w:after="0"/>
              <w:rPr>
                <w:sz w:val="1"/>
                <w:szCs w:val="1"/>
                <w:color w:val="auto"/>
              </w:rPr>
            </w:pPr>
          </w:p>
        </w:tc>
      </w:tr>
      <w:tr>
        <w:trPr>
          <w:trHeight w:val="28"/>
        </w:trPr>
        <w:tc>
          <w:tcPr>
            <w:tcW w:w="4260" w:type="dxa"/>
            <w:vAlign w:val="bottom"/>
            <w:shd w:val="clear" w:color="auto" w:fill="000000"/>
          </w:tcPr>
          <w:p>
            <w:pPr>
              <w:spacing w:after="0" w:line="29" w:lineRule="exact"/>
              <w:rPr>
                <w:sz w:val="20"/>
                <w:szCs w:val="20"/>
                <w:color w:val="auto"/>
              </w:rPr>
            </w:pPr>
            <w:r>
              <w:rPr>
                <w:rFonts w:ascii="Times New Roman" w:cs="Times New Roman" w:eastAsia="Times New Roman" w:hAnsi="Times New Roman"/>
                <w:sz w:val="3"/>
                <w:szCs w:val="3"/>
                <w:color w:val="auto"/>
              </w:rPr>
              <w:t>Canada</w:t>
            </w:r>
          </w:p>
        </w:tc>
        <w:tc>
          <w:tcPr>
            <w:tcW w:w="5180" w:type="dxa"/>
            <w:vAlign w:val="bottom"/>
            <w:shd w:val="clear" w:color="auto" w:fill="000000"/>
          </w:tcPr>
          <w:p>
            <w:pPr>
              <w:jc w:val="right"/>
              <w:ind w:right="112"/>
              <w:spacing w:after="0" w:line="29" w:lineRule="exact"/>
              <w:rPr>
                <w:sz w:val="20"/>
                <w:szCs w:val="20"/>
                <w:color w:val="auto"/>
              </w:rPr>
            </w:pPr>
            <w:r>
              <w:rPr>
                <w:rFonts w:ascii="Times New Roman" w:cs="Times New Roman" w:eastAsia="Times New Roman" w:hAnsi="Times New Roman"/>
                <w:sz w:val="3"/>
                <w:szCs w:val="3"/>
                <w:color w:val="auto"/>
              </w:rPr>
              <w:t>148 MW</w:t>
            </w:r>
          </w:p>
        </w:tc>
        <w:tc>
          <w:tcPr>
            <w:tcW w:w="1800" w:type="dxa"/>
            <w:vAlign w:val="bottom"/>
            <w:shd w:val="clear" w:color="auto" w:fill="000000"/>
          </w:tcPr>
          <w:p>
            <w:pPr>
              <w:jc w:val="right"/>
              <w:ind w:right="31"/>
              <w:spacing w:after="0" w:line="29" w:lineRule="exact"/>
              <w:rPr>
                <w:sz w:val="20"/>
                <w:szCs w:val="20"/>
                <w:color w:val="auto"/>
              </w:rPr>
            </w:pPr>
            <w:r>
              <w:rPr>
                <w:rFonts w:ascii="Times New Roman" w:cs="Times New Roman" w:eastAsia="Times New Roman" w:hAnsi="Times New Roman"/>
                <w:sz w:val="3"/>
                <w:szCs w:val="3"/>
                <w:color w:val="auto"/>
              </w:rPr>
              <w:t>160 MW</w:t>
            </w:r>
          </w:p>
        </w:tc>
        <w:tc>
          <w:tcPr>
            <w:tcW w:w="0" w:type="dxa"/>
            <w:vAlign w:val="bottom"/>
          </w:tcPr>
          <w:p>
            <w:pPr>
              <w:spacing w:after="0" w:line="20" w:lineRule="exact"/>
              <w:rPr>
                <w:sz w:val="1"/>
                <w:szCs w:val="1"/>
                <w:color w:val="auto"/>
              </w:rPr>
            </w:pPr>
          </w:p>
        </w:tc>
      </w:tr>
      <w:tr>
        <w:trPr>
          <w:trHeight w:val="197"/>
        </w:trPr>
        <w:tc>
          <w:tcPr>
            <w:tcW w:w="42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
        </w:trPr>
        <w:tc>
          <w:tcPr>
            <w:tcW w:w="426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United States</w:t>
            </w:r>
          </w:p>
        </w:tc>
        <w:tc>
          <w:tcPr>
            <w:tcW w:w="5180" w:type="dxa"/>
            <w:vAlign w:val="bottom"/>
          </w:tcPr>
          <w:p>
            <w:pPr>
              <w:jc w:val="right"/>
              <w:ind w:right="112"/>
              <w:spacing w:after="0" w:line="19" w:lineRule="exact"/>
              <w:rPr>
                <w:sz w:val="20"/>
                <w:szCs w:val="20"/>
                <w:color w:val="auto"/>
              </w:rPr>
            </w:pPr>
            <w:r>
              <w:rPr>
                <w:rFonts w:ascii="Times New Roman" w:cs="Times New Roman" w:eastAsia="Times New Roman" w:hAnsi="Times New Roman"/>
                <w:sz w:val="2"/>
                <w:szCs w:val="2"/>
                <w:color w:val="auto"/>
              </w:rPr>
              <w:t>20 MW</w:t>
            </w:r>
          </w:p>
        </w:tc>
        <w:tc>
          <w:tcPr>
            <w:tcW w:w="1800" w:type="dxa"/>
            <w:vAlign w:val="bottom"/>
          </w:tcPr>
          <w:p>
            <w:pPr>
              <w:jc w:val="right"/>
              <w:ind w:right="31"/>
              <w:spacing w:after="0" w:line="19" w:lineRule="exact"/>
              <w:rPr>
                <w:sz w:val="20"/>
                <w:szCs w:val="20"/>
                <w:color w:val="auto"/>
              </w:rPr>
            </w:pPr>
            <w:r>
              <w:rPr>
                <w:rFonts w:ascii="Times New Roman" w:cs="Times New Roman" w:eastAsia="Times New Roman" w:hAnsi="Times New Roman"/>
                <w:sz w:val="2"/>
                <w:szCs w:val="2"/>
                <w:color w:val="auto"/>
              </w:rPr>
              <w:t>24 MW</w:t>
            </w:r>
          </w:p>
        </w:tc>
        <w:tc>
          <w:tcPr>
            <w:tcW w:w="0" w:type="dxa"/>
            <w:vAlign w:val="bottom"/>
          </w:tcPr>
          <w:p>
            <w:pPr>
              <w:spacing w:after="0" w:line="20" w:lineRule="exact"/>
              <w:rPr>
                <w:sz w:val="1"/>
                <w:szCs w:val="1"/>
                <w:color w:val="auto"/>
              </w:rPr>
            </w:pPr>
          </w:p>
        </w:tc>
      </w:tr>
      <w:tr>
        <w:trPr>
          <w:trHeight w:val="197"/>
        </w:trPr>
        <w:tc>
          <w:tcPr>
            <w:tcW w:w="42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5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 MW</w:t>
            </w: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 MW</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5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 MW</w:t>
            </w:r>
          </w:p>
        </w:tc>
        <w:tc>
          <w:tcPr>
            <w:tcW w:w="1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7"/>
                <w:szCs w:val="17"/>
                <w:color w:val="auto"/>
              </w:rPr>
              <w:t>210 MW</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auto"/>
            </w:tcBorders>
            <w:shd w:val="clear" w:color="auto" w:fill="CCEEFF"/>
          </w:tcPr>
          <w:p>
            <w:pPr>
              <w:spacing w:after="0"/>
              <w:rPr>
                <w:sz w:val="20"/>
                <w:szCs w:val="20"/>
                <w:color w:val="auto"/>
              </w:rPr>
            </w:pPr>
          </w:p>
        </w:tc>
        <w:tc>
          <w:tcPr>
            <w:tcW w:w="5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 MW</w:t>
            </w: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 MW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hanging="112"/>
        <w:spacing w:after="0" w:line="210" w:lineRule="auto"/>
        <w:tabs>
          <w:tab w:leader="none" w:pos="12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a total of 12 MW of hydro-electricity in the province of Quebec, including 2 MW of hydro-electricity in Magog that are not yet operational. Bitfarms does not currently have an expansion plan for these 12 MW of power, but is continuing its efforts to search for economically viable properties for these 12 MW of hydro-electricity.</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22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7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auto"/>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169,491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10,518</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111,120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tcPr>
          <w:p>
            <w:pPr>
              <w:spacing w:after="0"/>
              <w:rPr>
                <w:sz w:val="18"/>
                <w:szCs w:val="18"/>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(284,022)</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63,640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(6,731)</w:t>
            </w:r>
          </w:p>
        </w:tc>
      </w:tr>
      <w:tr>
        <w:trPr>
          <w:trHeight w:val="270"/>
        </w:trPr>
        <w:tc>
          <w:tcPr>
            <w:tcW w:w="6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and total comprehensive (loss) income</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22,130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(16,289)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0.14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0.13</w:t>
            </w: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r>
      <w:tr>
        <w:trPr>
          <w:trHeight w:val="237"/>
        </w:trPr>
        <w:tc>
          <w:tcPr>
            <w:tcW w:w="69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7"/>
                <w:szCs w:val="27"/>
                <w:color w:val="auto"/>
                <w:vertAlign w:val="superscript"/>
              </w:rPr>
              <w:t>(1)</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82,584</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134,884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13,782</w:t>
            </w: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(1)</w:t>
            </w: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(1)</w:t>
            </w:r>
          </w:p>
        </w:tc>
        <w:tc>
          <w:tcPr>
            <w:tcW w:w="17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(169,821)</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70,533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shd w:val="clear" w:color="auto" w:fill="CCEEFF"/>
          </w:tcPr>
          <w:p>
            <w:pPr>
              <w:spacing w:after="0"/>
              <w:rPr>
                <w:sz w:val="22"/>
                <w:szCs w:val="22"/>
                <w:color w:val="auto"/>
              </w:rPr>
            </w:pP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(1)</w:t>
            </w: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51,568</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113,540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220" w:type="dxa"/>
            <w:vAlign w:val="bottom"/>
            <w:shd w:val="clear" w:color="auto" w:fill="CCEEFF"/>
          </w:tcPr>
          <w:p>
            <w:pPr>
              <w:spacing w:after="0"/>
              <w:rPr>
                <w:sz w:val="22"/>
                <w:szCs w:val="22"/>
                <w:color w:val="auto"/>
              </w:rPr>
            </w:pPr>
          </w:p>
        </w:tc>
      </w:tr>
      <w:tr>
        <w:trPr>
          <w:trHeight w:val="270"/>
        </w:trPr>
        <w:tc>
          <w:tcPr>
            <w:tcW w:w="698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(1)</w:t>
            </w:r>
          </w:p>
        </w:tc>
        <w:tc>
          <w:tcPr>
            <w:tcW w:w="1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36%</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343,098</w:t>
            </w:r>
          </w:p>
        </w:tc>
        <w:tc>
          <w:tcPr>
            <w:tcW w:w="14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542,587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51,704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63,595</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84,739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7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4,093</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910</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three years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right="20" w:hanging="332"/>
        <w:spacing w:after="0" w:line="195" w:lineRule="auto"/>
        <w:tabs>
          <w:tab w:leader="none" w:pos="34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gross Mining profit, gross Mining margin, operating margin, EBITDA, EBITDA margin, adjusted EBITDA and adjusted EBITDA margin, are non-IFRS financial measures or ratios; refer to Section 10 - </w:t>
      </w:r>
      <w:r>
        <w:rPr>
          <w:rFonts w:ascii="Times New Roman" w:cs="Times New Roman" w:eastAsia="Times New Roman" w:hAnsi="Times New Roman"/>
          <w:sz w:val="18"/>
          <w:szCs w:val="18"/>
          <w:i w:val="1"/>
          <w:iCs w:val="1"/>
          <w:color w:val="auto"/>
        </w:rPr>
        <w:t>Non-IFRS Financial Measures and Ratios</w:t>
      </w:r>
      <w:r>
        <w:rPr>
          <w:rFonts w:ascii="Times New Roman" w:cs="Times New Roman" w:eastAsia="Times New Roman" w:hAnsi="Times New Roman"/>
          <w:sz w:val="18"/>
          <w:szCs w:val="18"/>
          <w:color w:val="auto"/>
        </w:rPr>
        <w:t xml:space="preserve">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22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FOURTH QUARTER 2022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jc w:val="both"/>
        <w:ind w:left="340" w:hanging="332"/>
        <w:spacing w:after="0" w:line="199" w:lineRule="auto"/>
        <w:tabs>
          <w:tab w:leader="none" w:pos="340" w:val="left"/>
        </w:tabs>
        <w:numPr>
          <w:ilvl w:val="0"/>
          <w:numId w:val="1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Revenues of $27.0 million, gross loss of $12.1 million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45%) including non-cash depreciation and amortization expense of $20.8 million, operating loss of $20.0 million (operating margin of negative 74%) including a net impairment reversal of $8.9 million, and net loss of $16.8 million;</w:t>
      </w:r>
    </w:p>
    <w:p>
      <w:pPr>
        <w:spacing w:after="0" w:line="2" w:lineRule="exact"/>
        <w:rPr>
          <w:rFonts w:ascii="Times New Roman" w:cs="Times New Roman" w:eastAsia="Times New Roman" w:hAnsi="Times New Roman"/>
          <w:sz w:val="36"/>
          <w:szCs w:val="36"/>
          <w:color w:val="auto"/>
          <w:vertAlign w:val="superscript"/>
        </w:rPr>
      </w:pPr>
    </w:p>
    <w:p>
      <w:pPr>
        <w:ind w:left="340" w:hanging="332"/>
        <w:spacing w:after="0" w:line="183" w:lineRule="auto"/>
        <w:tabs>
          <w:tab w:leader="none" w:pos="340" w:val="left"/>
        </w:tabs>
        <w:numPr>
          <w:ilvl w:val="0"/>
          <w:numId w:val="12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$8.5 million (33% gross Mining margin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1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$7.4 million (27% EBITDA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1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$1.1 million (4%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ind w:left="340" w:hanging="332"/>
        <w:spacing w:after="0" w:line="206" w:lineRule="auto"/>
        <w:tabs>
          <w:tab w:leader="none" w:pos="340" w:val="left"/>
        </w:tabs>
        <w:numPr>
          <w:ilvl w:val="0"/>
          <w:numId w:val="1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Mined 1,434 BTC at an average direct cost of $11,100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405 BTC valued at approximately $6.7 million as of December 31,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4.2 EH/s to 4.5 EH/s through the acquisition and installation of approximately 3,000 Miners; and</w:t>
      </w:r>
    </w:p>
    <w:p>
      <w:pPr>
        <w:spacing w:after="0" w:line="1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3,093 BTC at an average price of $17,478 per BTC for total proceeds of $54.1 million, a portion of which was used to fully repay the remaining $23.1 million of the Company’s $100.0 million revolving credit facility with Galaxy Digital LLC (the “Credit Facility”), extinguishing and releasing the Company of all commitments related to the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40"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of the first 50 MW warehouse in Rio Cuarto, Argentina;</w:t>
      </w:r>
    </w:p>
    <w:p>
      <w:pPr>
        <w:spacing w:after="0" w:line="3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18 MW, representing full capacity at the Garlock facility and completing the Garlock expansion project;</w:t>
      </w:r>
    </w:p>
    <w:p>
      <w:pPr>
        <w:spacing w:after="0" w:line="36"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Phase 3 of The Bunker and energized the remaining 12 MW capacity, completing The Bunker to the full capacity of 48 MW and bringing the total Sherbrooke operations to the full 96 MW capacity; and</w:t>
      </w:r>
    </w:p>
    <w:p>
      <w:pPr>
        <w:ind w:left="34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Decommissioned the De la Pointe (Sherbrooke, Quebec) facility in November 2022 and sold the facility in December 2022 for net cash proceeds of $3.6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54" w:lineRule="exact"/>
        <w:rPr>
          <w:sz w:val="20"/>
          <w:szCs w:val="20"/>
          <w:color w:val="auto"/>
        </w:rPr>
      </w:pPr>
    </w:p>
    <w:p>
      <w:pPr>
        <w:ind w:left="34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Renegotiated Miner purchasing agreements, extinguishing without penalty payment obligations of $45.4 million and establishing a $22.4 million credit for deposits previously made which will be carried forward until the end of 2023 and applied against future purchase agreements;</w:t>
      </w: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$8.2 million in equipment related indebtedness;</w:t>
      </w:r>
    </w:p>
    <w:p>
      <w:pPr>
        <w:spacing w:after="0" w:line="3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$23.1 million to fully extinguish the BTC-backed Credit Facility;</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proactive actions on the equipment financing with BlockFi Lending LLC (“BlockFi”), which had an outstanding balance of $20.0 million as at December 31, 2022, to align with market conditions, including defaulting on payments and subsequently negotiating a settlement of the loan for $7.8 million;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$5.6 million in net proceeds through the Company’s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20" w:hanging="332"/>
        <w:spacing w:after="0" w:line="195" w:lineRule="auto"/>
        <w:tabs>
          <w:tab w:leader="none" w:pos="340" w:val="left"/>
        </w:tabs>
        <w:numPr>
          <w:ilvl w:val="0"/>
          <w:numId w:val="1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gross Mining profit, gross Mining margin, operating margin, EBITDA, EBITDA margin, adjusted EBITDA and adjusted EBITDA margin, are non-IFRS financial measures or ratios; refer to Section 10 - </w:t>
      </w:r>
      <w:r>
        <w:rPr>
          <w:rFonts w:ascii="Times New Roman" w:cs="Times New Roman" w:eastAsia="Times New Roman" w:hAnsi="Times New Roman"/>
          <w:sz w:val="18"/>
          <w:szCs w:val="18"/>
          <w:i w:val="1"/>
          <w:iCs w:val="1"/>
          <w:color w:val="auto"/>
        </w:rPr>
        <w:t>Non-IFRS Financial Measures and Ratios</w:t>
      </w:r>
      <w:r>
        <w:rPr>
          <w:rFonts w:ascii="Times New Roman" w:cs="Times New Roman" w:eastAsia="Times New Roman" w:hAnsi="Times New Roman"/>
          <w:sz w:val="18"/>
          <w:szCs w:val="18"/>
          <w:color w:val="auto"/>
        </w:rPr>
        <w:t xml:space="preserve"> of this MD&amp;A.</w:t>
      </w:r>
    </w:p>
    <w:p>
      <w:pPr>
        <w:spacing w:after="0" w:line="227" w:lineRule="exact"/>
        <w:rPr>
          <w:sz w:val="20"/>
          <w:szCs w:val="20"/>
          <w:color w:val="auto"/>
        </w:rPr>
      </w:pPr>
    </w:p>
    <w:p>
      <w:pPr>
        <w:ind w:left="340" w:hanging="332"/>
        <w:spacing w:after="0" w:line="195" w:lineRule="auto"/>
        <w:tabs>
          <w:tab w:leader="none" w:pos="34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direct cost of BTC based on the total electricity costs, and, where applicable, hosting costs related to the Mining of BTC, excluding electricity consumed by hosting clients, divided by the total number of BTC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FULL YEAR 2022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57" w:lineRule="exact"/>
        <w:rPr>
          <w:sz w:val="20"/>
          <w:szCs w:val="20"/>
          <w:color w:val="auto"/>
        </w:rPr>
      </w:pPr>
    </w:p>
    <w:p>
      <w:pPr>
        <w:jc w:val="both"/>
        <w:ind w:left="340" w:hanging="332"/>
        <w:spacing w:after="0" w:line="186" w:lineRule="auto"/>
        <w:tabs>
          <w:tab w:leader="none" w:pos="340" w:val="left"/>
        </w:tabs>
        <w:numPr>
          <w:ilvl w:val="0"/>
          <w:numId w:val="1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Revenues of $142.4 million, gross profit of $10.5 million (7%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including non-cash depreciation and amortization expense of $72.4 million, operating loss of $284.0 million (operating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199%) including impairment loss of $93.1 million, and net loss of $239.1 million;</w:t>
      </w:r>
    </w:p>
    <w:p>
      <w:pPr>
        <w:spacing w:after="0" w:line="3" w:lineRule="exact"/>
        <w:rPr>
          <w:rFonts w:ascii="Times New Roman" w:cs="Times New Roman" w:eastAsia="Times New Roman" w:hAnsi="Times New Roman"/>
          <w:sz w:val="36"/>
          <w:szCs w:val="36"/>
          <w:color w:val="auto"/>
          <w:vertAlign w:val="superscript"/>
        </w:rPr>
      </w:pPr>
    </w:p>
    <w:p>
      <w:pPr>
        <w:ind w:left="340" w:hanging="332"/>
        <w:spacing w:after="0" w:line="183" w:lineRule="auto"/>
        <w:tabs>
          <w:tab w:leader="none" w:pos="340" w:val="left"/>
        </w:tabs>
        <w:numPr>
          <w:ilvl w:val="0"/>
          <w:numId w:val="13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$82.6 million (59% gross Mining margin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1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negative $169.8 million (EBITDA margin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negative 119%); and</w:t>
      </w:r>
    </w:p>
    <w:p>
      <w:pPr>
        <w:ind w:left="340" w:hanging="332"/>
        <w:spacing w:after="0" w:line="195" w:lineRule="auto"/>
        <w:tabs>
          <w:tab w:leader="none" w:pos="340" w:val="left"/>
        </w:tabs>
        <w:numPr>
          <w:ilvl w:val="0"/>
          <w:numId w:val="1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$51.6 million (36%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ind w:left="340" w:hanging="332"/>
        <w:spacing w:after="0" w:line="191" w:lineRule="auto"/>
        <w:tabs>
          <w:tab w:leader="none" w:pos="340" w:val="left"/>
        </w:tabs>
        <w:numPr>
          <w:ilvl w:val="0"/>
          <w:numId w:val="1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Mined 5,167 BTC at an average direct cost of $10,000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405 BTC valued at approximately $6.7 million as of December 31, 2022;</w:t>
      </w: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2.2 EH/s to 4.5 EH/s through the acquisition and installation of approximately 26,000 Miners; and</w:t>
      </w:r>
    </w:p>
    <w:p>
      <w:pPr>
        <w:spacing w:after="0" w:line="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9,063 BTC at an average price of $19,831 per BTC for total proceeds of $179.7 million, a portion of which was used to fully repay the Company’s $100.0 million revolving Credit Facility, extinguishing and releasing the Company of all commitments related to the Credit Facility.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52"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constructed 10 MW facility in Paraguay was operational in January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Sherbrooke</w:t>
      </w:r>
    </w:p>
    <w:p>
      <w:pPr>
        <w:spacing w:after="0" w:line="52"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Garlock property in March 2022 and completed its construction in December 2022, adding 18 MW of power capacity;</w:t>
      </w:r>
    </w:p>
    <w:p>
      <w:pPr>
        <w:spacing w:after="0" w:line="3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and commissioning of the Leger facility in July 2022 bringing the total capacity to 30 MW;</w:t>
      </w:r>
    </w:p>
    <w:p>
      <w:pPr>
        <w:spacing w:after="0" w:line="3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in December 2022 of all three phases of The Bunker facility bringing the total capacity to 48 MW and bringing the total Sherbrooke operations to the full 96 MW capacity; and</w:t>
      </w:r>
    </w:p>
    <w:p>
      <w:pPr>
        <w:ind w:left="340" w:hanging="332"/>
        <w:spacing w:after="0" w:line="282"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Decommissioned the De la Pointe (Sherbrooke, Quebec) facility in November 2022 and sold the facility in December 2022 for net cash proceeds of $3.6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w:t>
      </w:r>
    </w:p>
    <w:p>
      <w:pPr>
        <w:spacing w:after="0" w:line="38"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MW of additional hydropower went online in July 2022, increasing total production from the Washington State facilities to 20 MW.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52" w:lineRule="exact"/>
        <w:rPr>
          <w:sz w:val="20"/>
          <w:szCs w:val="20"/>
          <w:color w:val="auto"/>
        </w:rPr>
      </w:pPr>
    </w:p>
    <w:p>
      <w:pPr>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construction of two 50 MW warehouses, the first of which was completed in November 2022, as part of the buildout plan associated with the power contract for 210 MW with a private energy supplier in Argentina entered into in 2021; and</w:t>
      </w:r>
    </w:p>
    <w:p>
      <w:pPr>
        <w:ind w:left="340" w:hanging="332"/>
        <w:spacing w:after="0"/>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MW of the first warehouse was operational with the Miners imported and installed.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right="20" w:hanging="332"/>
        <w:spacing w:after="0" w:line="195" w:lineRule="auto"/>
        <w:tabs>
          <w:tab w:leader="none" w:pos="340" w:val="left"/>
        </w:tabs>
        <w:numPr>
          <w:ilvl w:val="0"/>
          <w:numId w:val="1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gross Mining profit, gross Mining margin, operating margin, EBITDA, EBITDA margin, adjusted EBITDA and adjusted EBITDA margin, are non-IFRS financial measures or ratios; refer to Section 10 - </w:t>
      </w:r>
      <w:r>
        <w:rPr>
          <w:rFonts w:ascii="Times New Roman" w:cs="Times New Roman" w:eastAsia="Times New Roman" w:hAnsi="Times New Roman"/>
          <w:sz w:val="18"/>
          <w:szCs w:val="18"/>
          <w:i w:val="1"/>
          <w:iCs w:val="1"/>
          <w:color w:val="auto"/>
        </w:rPr>
        <w:t>Non-IFRS Financial Measures and Ratios</w:t>
      </w:r>
      <w:r>
        <w:rPr>
          <w:rFonts w:ascii="Times New Roman" w:cs="Times New Roman" w:eastAsia="Times New Roman" w:hAnsi="Times New Roman"/>
          <w:sz w:val="18"/>
          <w:szCs w:val="18"/>
          <w:color w:val="auto"/>
        </w:rPr>
        <w:t xml:space="preserve"> of this MD&amp;A.</w:t>
      </w:r>
    </w:p>
    <w:p>
      <w:pPr>
        <w:spacing w:after="0" w:line="227" w:lineRule="exact"/>
        <w:rPr>
          <w:sz w:val="20"/>
          <w:szCs w:val="20"/>
          <w:color w:val="auto"/>
        </w:rPr>
      </w:pPr>
    </w:p>
    <w:p>
      <w:pPr>
        <w:ind w:left="340" w:hanging="332"/>
        <w:spacing w:after="0" w:line="195" w:lineRule="auto"/>
        <w:tabs>
          <w:tab w:leader="none" w:pos="34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direct cost of BTC based on the total electricity costs, and, where applicable, hosting costs related to the Mining of BTC, excluding electricity consumed by hosting clients, divided by the total number of BTC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FULL YEAR 2022 FINANCIAL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54" w:lineRule="exact"/>
        <w:rPr>
          <w:sz w:val="20"/>
          <w:szCs w:val="20"/>
          <w:color w:val="auto"/>
        </w:rPr>
      </w:pPr>
    </w:p>
    <w:p>
      <w:pPr>
        <w:ind w:left="34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Renegotiated Miner purchasing agreements, extinguishing without penalty payment obligations of $45.4 million and establishing a $22.4 million credit for deposits previously made which will be carried forward until the end of 2023 and applied against future purchase agreements;</w:t>
      </w: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Extinguished and repaid in full the Company’s $100.0 million BTC-backed Credit Facility;</w:t>
      </w:r>
    </w:p>
    <w:p>
      <w:pPr>
        <w:spacing w:after="0" w:line="36"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new equipment financing with BlockFi in February 2022, providing net proceeds of $31.0 million (“BlockFi Loan”), and with NYDIG ABL LLC. (“NYDIG”) in June 2022, providing net proceeds of $36.1 million (“NYDIG Loan”);</w:t>
      </w:r>
    </w:p>
    <w:p>
      <w:pPr>
        <w:ind w:left="340" w:hanging="332"/>
        <w:spacing w:after="0" w:line="261"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proactive actions on the BlockFi Loan, which has an outstanding balance of $20.0 million as at December 31, 2022, to align with market conditions, including defaulting on payments and subsequently negotiating a settlement of the loan for $7.8 million;</w:t>
      </w: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Uplisted to the Toronto Stock Exchange (’‘TSX’’) from TSX Venture Exchange on April 8, 2022;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$54.1 million of net proceeds through the Company’s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7420" w:firstLine="8"/>
        <w:spacing w:after="0" w:line="391" w:lineRule="auto"/>
        <w:tabs>
          <w:tab w:leader="none" w:pos="1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24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mined</w:t>
            </w:r>
          </w:p>
        </w:tc>
        <w:tc>
          <w:tcPr>
            <w:tcW w:w="1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1,045</w:t>
            </w:r>
          </w:p>
        </w:tc>
        <w:tc>
          <w:tcPr>
            <w:tcW w:w="1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5,167</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4.5</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4.5</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BTC/Average EH/s</w:t>
            </w:r>
          </w:p>
        </w:tc>
        <w:tc>
          <w:tcPr>
            <w:tcW w:w="1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333</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536</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1,524</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188</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188</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1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41</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3,093</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nm</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9,063</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152</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2022 v. as of December 31, 2021</w:t>
      </w:r>
    </w:p>
    <w:p>
      <w:pPr>
        <w:spacing w:after="0" w:line="229" w:lineRule="exact"/>
        <w:rPr>
          <w:sz w:val="20"/>
          <w:szCs w:val="20"/>
          <w:color w:val="auto"/>
        </w:rPr>
      </w:pPr>
    </w:p>
    <w:p>
      <w:pPr>
        <w:ind w:left="660" w:hanging="328"/>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EH/s online as of December 31, 2022, compared to 2.2 EH/s online as of December 31, 2021, an increase of 101%, as a result of the Company’s expansions in Sherbrooke (Quebec), Washington State, Paraguay and Argentina and the upgrade of its fleet;</w:t>
      </w:r>
    </w:p>
    <w:p>
      <w:pPr>
        <w:jc w:val="both"/>
        <w:ind w:left="660" w:hanging="328"/>
        <w:spacing w:after="0" w:line="260"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MW operating capacity as of December 31, 2022, compared to 99 MW operating capacity as of December 31, 2021, an increase of 90%, as a result of expansions in Sherbrooke (additional 66 MW), Washington (additional 3 MW), Paraguay (additional 10 MW) and Argentina (additional 10 MW); and</w:t>
      </w:r>
    </w:p>
    <w:p>
      <w:pPr>
        <w:spacing w:after="0" w:line="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MW hydropower as of December 31, 2022, compared to 99 MW hydropower as of December 31, 2021, an increase of 80% as a result of the Company’s expansions in Paraguay, Sherbrooke and Washington, and representing 95% of total energy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22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229" w:lineRule="exact"/>
        <w:rPr>
          <w:sz w:val="20"/>
          <w:szCs w:val="20"/>
          <w:color w:val="auto"/>
        </w:rPr>
      </w:pPr>
    </w:p>
    <w:p>
      <w:pPr>
        <w:ind w:left="660" w:right="20" w:hanging="328"/>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1,434 BTC mined in Q4 2022, compared to total 1,045 BTC mined in Q4 2021, an increase of 37% as a result of the Company’s expansions in Sherbrooke (Quebec), Washington State, Paraguay and Argentina and the upgrade of its fleet;</w:t>
      </w:r>
    </w:p>
    <w:p>
      <w:pPr>
        <w:ind w:left="660" w:hanging="328"/>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BTC /average EH/s during Q4 2022, compared to 536 BTC /average EH/s during Q4 2021, a decrease of 38% due primarily to the significant increase in Network Difficulty;</w:t>
      </w:r>
    </w:p>
    <w:p>
      <w:pPr>
        <w:ind w:left="660" w:hanging="328"/>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Watts/TH efficiency in Q4 2022, compared to 45 Watts/TH efficiency in Q4 2021, a decrease of 11% due to the Company using more efficient Miners while upgrading its fleet and using immersion cooling technologies; and</w:t>
      </w:r>
    </w:p>
    <w:p>
      <w:pPr>
        <w:ind w:left="66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3,093 BTC sold in Q4 2022, compared to 56 BTC in Q4 2021, as the Company used the proceeds to repay its BTC-backed Credit Facility and to generate cash flows for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ind w:left="66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5,167 BTC mined in FY 2022, compared to 3,453 BTC mined in FY 2021, an increase of 50% as a result of the Company’s expansions in Sherbrooke (Quebec), Washington State, Paraguay and Argentina and the upgrade of its fleet;</w:t>
      </w:r>
    </w:p>
    <w:p>
      <w:pPr>
        <w:ind w:left="66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1,524 BTC/average EH/s during FY 2022, compared to 2,466 BTC/average EH/s during FY 2021, a decrease of 38% due primarily to the significant increase in Network Difficulty;</w:t>
      </w:r>
    </w:p>
    <w:p>
      <w:pPr>
        <w:ind w:left="66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Watts/TH efficiency in FY 2022, compared to 47 Watts/TH efficiency in FY 2021, a decrease of 13% due to the Company using more efficient Miners while upgrading its fleet and using immersion cooling technologies; and</w:t>
      </w:r>
    </w:p>
    <w:p>
      <w:pPr>
        <w:ind w:left="66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9,063 BTC sold in FY 2022, compared to 152 BTC in FY 2021, as the Company used the proceeds to repay its BTC-backed Credit Facility and to generate cash flows for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22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EXPANSION PROJECTS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entitled “Sherbrooke Expansion”, “Argentina Expansion”, “Paraguay Expansion” and “Washington Expansion”. The Company had set a revised corporate goal of reaching 5.0 EH/s by the end of 2022 based on the Company’s projected production capacity by year-end 2022 and reflecting adjustments to its Argentina deployment plan and previously identified expansion opportunities in Canada and Paraguay. As of December 31, 2022, the Company reached 4.5 EH/s. The Company’s 2023 ending hashrate target based on current infrastructure construction and Miner delivery schedules is 6.0 EH/s. The Company continues to evaluate opportunities that will provide additional infrastructure and Mining hardware to increase the Company’s hashrate, provided such opportunities are accretive based on current macro factors.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prevailing price of BTC, network difficulty, supply and cost of cryptocurrency Mining equipment, the ability to import equipment into countries in a cost-effective manner, supply of electrical and other supporting infrastructure equipment, availability of construction materials, currency exchange rates, the impact of geopolitical events or global health related issues including COVID-19 on the supply chains described above, and the Company’s ability to fund its initiatives. The Company’s expansion plans are reliant on a consistent supply of electricity at cost-effective rates; refer to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Regulated Terms of Service and Electricity Rates Risks) </w:t>
      </w:r>
      <w:r>
        <w:rPr>
          <w:rFonts w:ascii="Times New Roman" w:cs="Times New Roman" w:eastAsia="Times New Roman" w:hAnsi="Times New Roman"/>
          <w:sz w:val="18"/>
          <w:szCs w:val="18"/>
          <w:color w:val="auto"/>
        </w:rPr>
        <w:t>of this MD&amp;A for further details.</w:t>
      </w:r>
    </w:p>
    <w:p>
      <w:pPr>
        <w:spacing w:after="0" w:line="183"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Sherbrooke Expansion,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la Pointe facility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completed all phases relating to an aggregate 30 MW of electrical infrastructure for the Sherbrooke Expansion at the De la Pointe property in 2019. In response to complaints concerning noise at the De la Pointe property and indications from Sherbrooke municipal officials that they were reviewing applicable regulations, the Company met with community residents and city officials on several occasions during 2020 and 2021. In response to the residents’ concerns,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the Company reached an agreement with the City of Sherbrooke to gradually retire the De la Pointe facility for the Sherbrooke Expansion. Under the agreement, the Company reduced its consumption at the De la Pointe property to 18 MW given that 66 MW of new electrical infrastructure elsewhere in the City of Sherbrooke was completed. The Company committed to entirely relocate its operations from the De la Pointe facility of the Sherbrooke Expansion at the earlier of the completion of 80 MW of new electrical infrastructure in the City of Sherbrooke and February 28, 2023. In addition, the Company had the option to sell the building of the De la Pointe facility to the City of Sherbrooke for approximately $2.3 million (CAD$3.0 million). Subject to a first right of refusal, the agreement did not restrict the ability of the Company to sell the building to a third party other than the City of Sherbrooke.</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December 2022, the Company sold the De la Pointe building, included in property, plant and equipment (“PPE”), to </w:t>
      </w:r>
      <w:r>
        <w:rPr>
          <w:rFonts w:ascii="Times New Roman" w:cs="Times New Roman" w:eastAsia="Times New Roman" w:hAnsi="Times New Roman"/>
          <w:sz w:val="18"/>
          <w:szCs w:val="18"/>
          <w:i w:val="1"/>
          <w:iCs w:val="1"/>
          <w:color w:val="auto"/>
        </w:rPr>
        <w:t>Société de transport de Sherbrooke</w:t>
      </w:r>
      <w:r>
        <w:rPr>
          <w:rFonts w:ascii="Times New Roman" w:cs="Times New Roman" w:eastAsia="Times New Roman" w:hAnsi="Times New Roman"/>
          <w:sz w:val="18"/>
          <w:szCs w:val="18"/>
          <w:color w:val="auto"/>
        </w:rPr>
        <w:t>, for $3.6 million net proceeds, which resulted in a gain on disposition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22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Sherbrooke Expansion, Canada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Leger and the Bunker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and October 2021, the Company entered into lease agreements for two new facilities in Sherbrooke: “Leger” and “The Bunker”,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facilities include similar sound mitigating mechanisms as were installed in the De la Pointe facility.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Construction of Leger was completed in June 2022, which became fully operational in August 2022 with 30 MW of capacity available. Leger currently accommodates approximately 7,500 new generation Miners producing approximately 750 PH/s.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Bunker, representing 48 MW of capacity, was completed in three phases during 2022, and currently accommodates approximately 13,000 new generation Miners producing approximately 1.3 EH/s. Construction of the Bunker occurred in three separate phases:</w:t>
      </w:r>
    </w:p>
    <w:p>
      <w:pPr>
        <w:ind w:left="660" w:hanging="328"/>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one, representing 18 MW, was constructed in a pre-existing building. Internal infrastructure work began in Q4 2021 with the first 12 MW becoming operational in March 2022 and the remaining 6 MW becoming operational by the end of June 2022.</w:t>
      </w:r>
    </w:p>
    <w:p>
      <w:pPr>
        <w:ind w:left="660" w:right="20" w:hanging="328"/>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two, representing 18 MW, is in a portion of the building that was originally under construction. Internal infrastructure work began in Q1 2022 and the 18 MW became operational by the end of July 2022.</w:t>
      </w:r>
    </w:p>
    <w:p>
      <w:pPr>
        <w:ind w:left="6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three, representing the remaining 12 MW, is in a portion of the building that was originally under construction. It was completed in November 2022 and fully energized in December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capital cost for the construction of the infrastructure for Leger and The Bunker was $13.1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deployed a significant portion of its initial order of 48,000 Miners at these facilities, with deliveries completed throughout 2022 as planned. During 2022, the Company added approximately 20,000 Miners with a cost of $88.9 million which included transportation costs and duties to these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Garlock facility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an existing building in Sherbrooke (“Garlock”) at a cost of approximately $1.8 million in cash and the issuance of 25,000 common share purchase warrants to the seller featuring a two-year exercise period and an exercise price of $3.47.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Garlock facility was completed in two phases and became fully operational during November and December 2022, representing 18 MW of infrastructure at a cost of $3.4 million, excluding the acquisition cost of the property.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Garlock facility, combined with the Bunker and Leger facilities replaced the De la Pointe facility and fully utilize the Company’s power contracts totaling 96 MW in accordance with the Company’s agreement reached in September 2021 with the City of Sherbrooke.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color w:val="auto"/>
        </w:rPr>
        <w:t>11  Page</w:t>
      </w:r>
    </w:p>
    <w:p>
      <w:pPr>
        <w:sectPr>
          <w:pgSz w:w="11900" w:h="16838" w:orient="portrait"/>
          <w:cols w:equalWidth="0" w:num="1">
            <w:col w:w="11240"/>
          </w:cols>
          <w:pgMar w:left="320" w:top="22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April 2021, the Company entered into an eight-year power purchase agreement for up to 210 MW with a private Argentinian power producer. The agreement establishes that the power producer will effectively supply the Company based on (i) 60% of the drawn electricity at a rate of $0.02 per kilowatt hour for the first four years, not including an additional cost of $0.002 per kilowatt hour for an energy management fee which effectively increases the cost to $0.022 per kilowatt hour, up to a maximum amount of 1,103,760 megawatt hours per year, plus (ii) the remaining electricity supply subject to certain adjustments, variable pricing components and other conditions. The pricing on the remaining four years of the eight-year energy contract will be determined by a formula that is largely dependent on natural gas prices. The agreement also allows for the power producer to renegotiate the rate if the ratio of the exchange rate under the blue-chip swap mechanism used in Argentina to the official exchange rate is less than 1.50. For the last four years of the eight-year power purchase agreement, all of the electricity supply will be based on variable and market-driven pricing components as is the case for the 40% supply as outlined above for the first four years. For further details on the Company’s power purchase agreement, refer to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this MD&amp;A.</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an eight-year lease agreement, comprising annual payments of approximately $0.1 million, with the power producer to lease land within the power producer’s property for the Mining facility’s construction and operation. The lease covers sufficient property to allow for the construction of warehouses capable of fully drawing up to 210 MW of power.</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2021, the Company entered into a contract with </w:t>
      </w:r>
      <w:r>
        <w:rPr>
          <w:rFonts w:ascii="Times New Roman" w:cs="Times New Roman" w:eastAsia="Times New Roman" w:hAnsi="Times New Roman"/>
          <w:sz w:val="18"/>
          <w:szCs w:val="18"/>
          <w:i w:val="1"/>
          <w:iCs w:val="1"/>
          <w:color w:val="auto"/>
        </w:rPr>
        <w:t>Proyectos y Obras Americanas S.A.</w:t>
      </w:r>
      <w:r>
        <w:rPr>
          <w:rFonts w:ascii="Times New Roman" w:cs="Times New Roman" w:eastAsia="Times New Roman" w:hAnsi="Times New Roman"/>
          <w:sz w:val="18"/>
          <w:szCs w:val="18"/>
          <w:color w:val="auto"/>
        </w:rPr>
        <w:t xml:space="preserve">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Pursuant to an agreement signed with </w:t>
      </w:r>
      <w:r>
        <w:rPr>
          <w:rFonts w:ascii="Times New Roman" w:cs="Times New Roman" w:eastAsia="Times New Roman" w:hAnsi="Times New Roman"/>
          <w:sz w:val="18"/>
          <w:szCs w:val="18"/>
          <w:i w:val="1"/>
          <w:iCs w:val="1"/>
          <w:color w:val="auto"/>
        </w:rPr>
        <w:t>LPZ Hosting S.A.S</w:t>
      </w:r>
      <w:r>
        <w:rPr>
          <w:rFonts w:ascii="Times New Roman" w:cs="Times New Roman" w:eastAsia="Times New Roman" w:hAnsi="Times New Roman"/>
          <w:sz w:val="18"/>
          <w:szCs w:val="18"/>
          <w:color w:val="auto"/>
        </w:rPr>
        <w:t xml:space="preserve"> (“LPZ”), LPZ is responsible for the detail engineering, purchasing management and execution of louvers, sound and noise system, electric installation, data network installation, air conditioning system, air extraction and filter systems, racks, closed-circuit television “(CCTV)”, fire detection and extinguisher system as well as installation of all low voltage works. </w:t>
      </w:r>
      <w:r>
        <w:rPr>
          <w:rFonts w:ascii="Times New Roman" w:cs="Times New Roman" w:eastAsia="Times New Roman" w:hAnsi="Times New Roman"/>
          <w:sz w:val="18"/>
          <w:szCs w:val="18"/>
          <w:i w:val="1"/>
          <w:iCs w:val="1"/>
          <w:color w:val="auto"/>
        </w:rPr>
        <w:t>Ingenia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Grupo Consultor and Gieco S.A. </w:t>
      </w:r>
      <w:r>
        <w:rPr>
          <w:rFonts w:ascii="Times New Roman" w:cs="Times New Roman" w:eastAsia="Times New Roman" w:hAnsi="Times New Roman"/>
          <w:sz w:val="18"/>
          <w:szCs w:val="18"/>
          <w:color w:val="auto"/>
        </w:rPr>
        <w:t>(“Ingenia”) were retained as a consortium group responsible for the construction of a provisional high voltage powerline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transformer station as well as the expansion of the 132 KW public bars of the power plant. Ingenia, under the supervision of LPZ, was also selected to carry out electrical data and CCTV assembly work for the first warehouse. The Company has also engaged Dreicon S.A. to provide some engineering services and to act as an independent engineering firm to oversee construction, quality control and project milestones for the Company’s projected buildout schedule.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plan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if fully developed, is currently designed to comprise up to four separate warehouse-style buildings. All four warehouses, if built, are expected to be able to accommodate over 55,000 new generation Miners, and be capable of producing approximately 5.5 EH/s. The first warehouse, which was included in the capacity needed to reach the corporate 5.0 EH/s figure for 2022, represents approximately 50 MW of incremental infrastructure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22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Initial plan </w:t>
      </w:r>
      <w:r>
        <w:rPr>
          <w:rFonts w:ascii="Times New Roman" w:cs="Times New Roman" w:eastAsia="Times New Roman" w:hAnsi="Times New Roman"/>
          <w:sz w:val="18"/>
          <w:szCs w:val="18"/>
          <w:color w:val="auto"/>
        </w:rPr>
        <w:t>(Continued)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planned to deploy a significant portion of its order of 48,000 Miners at this facility, with deliveries currently expected to arrive throughout 2022 and the first six months of 2023. In December 2022, the Company renegotiated its 48,000 unit purchase agreement by extinguishing the outstanding commitment on 18,000 units, contractually valued at $45.4 million, without penalty.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adverse impact of recent geopolitical events on natural gas prices, as well as new importation restrictions, as detailed below, led the Company to revise the timing to fully utilize the infrastructure built in the first 50 MW warehouse and to reassess the timing of its build-out and deployment of further production facilities at the Rio Cuarto location.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plan announced in 2022</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September 2022, 10 MW of the 50 MW of the first warehouse became operational. Construction of the first warehouse was completed in November 2022, but has not yet been fully commissioned, due to the reasons detailed below. The first warehouse is expected to be fully commissioned during the first six months of 2023.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October 17, 2022, a new importation system, called Sistema de importaciones de la República Argentina (“SIRA”) replaced the previous one called Sistema integral de monitoreo de importaciones (“SIMI”). The SIRA system puts additional controls on importations into Argentina and limits the outflow of U.S. dollars from the country, resulting in additional restrictions on the importation of crypto Miners and many other categories of equipment. As a result, and for reasons beyond its control, the Company has been unable to import and deploy its Mining fleet in Argentina as originally expected. Additionally, the private Argentinian power producer is still awaiting approval of its final operation permit to provide power to the Company’s operations. In the meantime, the Rio Cuarto facility is drawing power, during the start-up and commissioning phase, from the provincial electrical utility at a higher cost than the expected contracted cost of power under the agreement with the power producer, which also impacts the planned deployment of Miners in the first warehouse.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cost of developing the first two warehouses is currently estimated to range from $55 million to $65 million, including the installation of high voltage lines and a substation capable of supplying power to four warehouses and drawing up to 210 MW of electricity. The estimated cost range is net of any expected gains on disposition of marketable securities in connection with the Company’s mechanism for funding the Argentina Expansion, as described in section 8 - </w:t>
      </w:r>
      <w:r>
        <w:rPr>
          <w:rFonts w:ascii="Times New Roman" w:cs="Times New Roman" w:eastAsia="Times New Roman" w:hAnsi="Times New Roman"/>
          <w:sz w:val="18"/>
          <w:szCs w:val="18"/>
          <w:i w:val="1"/>
          <w:iCs w:val="1"/>
          <w:color w:val="auto"/>
        </w:rPr>
        <w:t>Net financial income and expenses</w:t>
      </w:r>
      <w:r>
        <w:rPr>
          <w:rFonts w:ascii="Times New Roman" w:cs="Times New Roman" w:eastAsia="Times New Roman" w:hAnsi="Times New Roman"/>
          <w:sz w:val="18"/>
          <w:szCs w:val="18"/>
          <w:color w:val="auto"/>
        </w:rPr>
        <w:t>, and excluding importation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has placed deposits of $8.8 million and $4.3 million with suppliers for existing and additional construction costs and for Blockchain Verification and Validation Equipment and electrical components, respectively. The Company has also acquired $51.6 million of PPE, incurred $0.3 million of expenditures relating to design and feasibility studies and recorded cumulative gains on disposition of marketable securities of $57.8 million associated with the mechanism to convert funds into Argentine Pesos for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13  Page</w:t>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plan announced in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Management approved a temporary cessation of the development of the second warehouse until the power permit is obtained by the private Argentinian power producer, the importation limitations are resolved and natural gas prices stabilize at an acceptable level. In light of these circumstances, the Company is not in a position to determine when or if construction of warehouse 2 will resume and construction of warehouses 3 and 4 will commence.</w:t>
      </w:r>
    </w:p>
    <w:p>
      <w:pPr>
        <w:spacing w:after="0" w:line="176"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an annually renewable 10 MW power purchase agreement with the city of Villarrica’s electricity distribution company, Compañía Luz y Fuerza SA (“CLYFSA”), at an effective electricity cost of $0.036 per kilowatt hour. The Company also entered into a five-year lease agreement with another counterparty, beginning August 1, 2021, with monthly payments of $20,000, to lease land at the existing facility. The construction of the facility cost $1.1 million and was completed in December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update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2022, the facility became operational with the installation of 2,900 of the Company’s older generation Miners relocated from Quebec and generating approximately 125 PH/s.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Paraguayan Congress approved a bill regulating the Mining, trading, intermediation, exchange, transfer, custody and administration of crypto-assets and instruments. The proposed legislation by the Paraguay Congress aimed to create an attractive regulatory environment within the country through the establishment of a straightforward licensing regime that clearly establishes the requirements to operate crypto-assets activities in the Country. On August 30, 2022, the law was vetoed by the President and was returned to the Paraguayan Congress to be discussed and potentially resubmitted. It is unknown if and when a new law will be approved. The absence of specific law in Paraguay regarding crypto assets has not impacted the Company’s current operations in the country.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under which the National Electricity Administration (“ANDE”), which is responsible for the distribution and delivery of the majority of electricity in the country,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the Company’s current activities in Paraguay as its contract is with the local supplier CLYFSA as detailed above, the impact, if any, on the Company’s future operations cannot be determined at this time.</w:t>
      </w:r>
    </w:p>
    <w:p>
      <w:pPr>
        <w:spacing w:after="0" w:line="18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During December 2022, ANDE, as part of a local development plan, installed a new transformer in the city of Villarrica which is expected to be operational in the first half of 2023. The new transformer will help ensure fewer energy curtailments to the Company’s facility as well as to nearby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22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all of the older generation Miners in the Villarrica facility were replaced with approximately 2,900 new M30S Whatsminer Miners generating approximately 290 PH/s, a 165 PH/s increase compared to the hashrate that was being produced by the older generation Miners. The Company has reached an agreement to sell the older generation Miners to a third party for approximately $0.2 million.</w:t>
      </w:r>
    </w:p>
    <w:p>
      <w:pPr>
        <w:spacing w:after="0" w:line="17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Washington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arrangement for a 5 MW facility that was set to expire on November 8,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of the transaction, the Company transferred approximately $23.0 million in cash and 415,000 common shares with a value of $3.7 million on the closing date. The net identifiable assets acquired include electrical distribution equipment valued at $6.0 million, buildings valued at $0.7 million, land valued at $0.1 million and a favorable lease valued at $2.0 million. The acquisition resulted in the Company recording goodwill of $17.9 million, which was determined as of June 30, 2022 to be fully impaired as a result of the decrease in the price of BTC.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update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the Company added 3 MW of electrical infrastructure and is currently operating approximately 20 MW of electrical infrastructure with the majority of the Company’s Antminer S19j Pro Miners generating approximately 600 PH/s in this facility. The Company’s power supplier has provided a preliminary indication that the next 6 MW of in-process applications are expected to be energized in the first half of 2023 with the remaining 3 MW of in-process applications estimated to be energized after 2027 due to the nearby substation being at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20, 2022, the Company renewed on similar terms the property lease for a period of 23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15  Page</w:t>
      </w:r>
    </w:p>
    <w:p>
      <w:pPr>
        <w:sectPr>
          <w:pgSz w:w="11900" w:h="16838" w:orient="portrait"/>
          <w:cols w:equalWidth="0" w:num="1">
            <w:col w:w="11240"/>
          </w:cols>
          <w:pgMar w:left="320" w:top="22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0"/>
          <w:szCs w:val="20"/>
          <w:color w:val="auto"/>
        </w:rPr>
      </w:pPr>
    </w:p>
    <w:p>
      <w:pPr>
        <w:ind w:right="7680" w:firstLine="8"/>
        <w:spacing w:after="0" w:line="461" w:lineRule="auto"/>
        <w:tabs>
          <w:tab w:leader="none" w:pos="18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40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120" w:type="dxa"/>
            <w:vAlign w:val="bottom"/>
            <w:vMerge w:val="continue"/>
          </w:tcPr>
          <w:p>
            <w:pPr>
              <w:spacing w:after="0"/>
              <w:rPr>
                <w:sz w:val="15"/>
                <w:szCs w:val="15"/>
                <w:color w:val="auto"/>
              </w:rPr>
            </w:pPr>
          </w:p>
        </w:tc>
        <w:tc>
          <w:tcPr>
            <w:tcW w:w="120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59,598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169,491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39,121</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20,613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18,508</w:t>
            </w: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131,910</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58,371</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73,539</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(12,084)</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38,985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10,518</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111,120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11,972</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51,506</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43,238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3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28,567</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nm</w:t>
            </w: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150,810</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vMerge w:val="continue"/>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28,430</w:t>
            </w:r>
          </w:p>
        </w:tc>
        <w:tc>
          <w:tcPr>
            <w:tcW w:w="10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150,521</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unrealized (gain) loss on</w:t>
            </w: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(23,284)</w:t>
            </w: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(2,166)</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revaluation of digital assets</w:t>
            </w:r>
          </w:p>
        </w:tc>
        <w:tc>
          <w:tcPr>
            <w:tcW w:w="120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118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4,861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3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w:t>
            </w: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(415)</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1,277</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and equipment</w:t>
            </w:r>
          </w:p>
        </w:tc>
        <w:tc>
          <w:tcPr>
            <w:tcW w:w="1200" w:type="dxa"/>
            <w:vAlign w:val="bottom"/>
            <w:vMerge w:val="continue"/>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vMerge w:val="continue"/>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Impairment (reversal) on equipment and</w:t>
            </w:r>
          </w:p>
        </w:tc>
        <w:tc>
          <w:tcPr>
            <w:tcW w:w="1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prepayments, property,</w:t>
            </w: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plant and equipment and right-of-use</w:t>
            </w: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(8,903)</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75,213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118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73,413</w:t>
            </w: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on goodwill</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Impairment reversal on property, plant</w:t>
            </w:r>
          </w:p>
        </w:tc>
        <w:tc>
          <w:tcPr>
            <w:tcW w:w="1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equipment</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(20,021)</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(284,022)</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63,640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(3,369)</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(27,560)</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21,003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(48,563)</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(16,652)</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17,937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(256,462)</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42,637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(299,099)</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191</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8,260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(17,412)</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20,507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and total</w:t>
            </w:r>
          </w:p>
        </w:tc>
        <w:tc>
          <w:tcPr>
            <w:tcW w:w="1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(16,843)</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9,677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(239,050)</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22,130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(261,180)</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(loss) earnings per share (in U.S.</w:t>
            </w:r>
          </w:p>
        </w:tc>
        <w:tc>
          <w:tcPr>
            <w:tcW w:w="12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(0.08)</w:t>
            </w: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(1.15)</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0.05</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0.14</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Diluted (loss) earnings per share (in U.S.</w:t>
            </w: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(0.08)</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(1.15)</w:t>
            </w: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w:t>
            </w:r>
          </w:p>
        </w:tc>
        <w:tc>
          <w:tcPr>
            <w:tcW w:w="120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0.05</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0.13</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(1)</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8,494</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49,055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82,584</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134,884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(1)</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(1)</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7,396</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29,061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(169,821)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70,533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(1)</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1,126</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40,275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51,568</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113,540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40" w:right="20" w:hanging="332"/>
        <w:spacing w:after="0" w:line="195" w:lineRule="auto"/>
        <w:tabs>
          <w:tab w:leader="none" w:pos="340" w:val="left"/>
        </w:tabs>
        <w:numPr>
          <w:ilvl w:val="0"/>
          <w:numId w:val="1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gross Mining profit, gross Mining margin, operating margin, EBITDA, EBITDA margin, adjusted EBITDA and adjusted EBITDA margin, are non-IFRS financial measures or ratios; refer to Section 10 - </w:t>
      </w:r>
      <w:r>
        <w:rPr>
          <w:rFonts w:ascii="Times New Roman" w:cs="Times New Roman" w:eastAsia="Times New Roman" w:hAnsi="Times New Roman"/>
          <w:sz w:val="18"/>
          <w:szCs w:val="18"/>
          <w:i w:val="1"/>
          <w:iCs w:val="1"/>
          <w:color w:val="auto"/>
        </w:rPr>
        <w:t>Non-IFRS Financial Measures and Ratios</w:t>
      </w:r>
      <w:r>
        <w:rPr>
          <w:rFonts w:ascii="Times New Roman" w:cs="Times New Roman" w:eastAsia="Times New Roman" w:hAnsi="Times New Roman"/>
          <w:sz w:val="18"/>
          <w:szCs w:val="18"/>
          <w:color w:val="auto"/>
        </w:rPr>
        <w:t xml:space="preserve">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22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$27.0 million in Q4 2022 compared to $59.6 million in Q4 2021, a decrease of $32.6 million, or 55%.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decrease in Bitfarms’ revenues in Q4 2022, compared to Q4 2021, are presented in the table below. Revenues decreased mostly due to the decrease in average BTC price, partially offset by the increase in Bitfarms’ hashrate in excess of the increase in network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including Volta, for the three months ended December 31, 2021</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1,045</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59,598</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average Bitfarms’ BTC hashrate in excess of the increase</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 network difficulty during Q4 2022 as compared to Q4 2021</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389</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21,742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Q4 2022 as compared to Q4 2021</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(54,201)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for the three months ended December 31, 2022</w:t>
            </w:r>
          </w:p>
        </w:tc>
        <w:tc>
          <w:tcPr>
            <w:tcW w:w="1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1,434</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bl>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00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57" w:lineRule="exact"/>
        <w:rPr>
          <w:sz w:val="20"/>
          <w:szCs w:val="20"/>
          <w:color w:val="auto"/>
        </w:rPr>
      </w:pPr>
    </w:p>
    <w:p>
      <w:pPr>
        <w:ind w:left="580" w:hanging="333"/>
        <w:spacing w:after="0"/>
        <w:tabs>
          <w:tab w:leader="none" w:pos="5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mined in Q4 2022 compared to Q4 2021 multiplied by Q4 2021 average BTC price</w:t>
      </w:r>
    </w:p>
    <w:p>
      <w:pPr>
        <w:spacing w:after="0" w:line="77" w:lineRule="exact"/>
        <w:rPr>
          <w:sz w:val="20"/>
          <w:szCs w:val="20"/>
          <w:color w:val="auto"/>
        </w:rPr>
      </w:pPr>
    </w:p>
    <w:p>
      <w:pPr>
        <w:ind w:left="580" w:hanging="333"/>
        <w:spacing w:after="0"/>
        <w:tabs>
          <w:tab w:leader="none" w:pos="5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Q4 2022 compared to Q4 2021 multiplied by BTC mined in Q4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revenues by country: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60" w:type="dxa"/>
            <w:vAlign w:val="bottom"/>
            <w:tcBorders>
              <w:bottom w:val="single" w:sz="8" w:color="auto"/>
            </w:tcBorders>
          </w:tcPr>
          <w:p>
            <w:pPr>
              <w:spacing w:after="0"/>
              <w:rPr>
                <w:sz w:val="20"/>
                <w:szCs w:val="20"/>
                <w:color w:val="auto"/>
              </w:rPr>
            </w:pPr>
          </w:p>
        </w:tc>
      </w:tr>
      <w:tr>
        <w:trPr>
          <w:trHeight w:val="26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21,566</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48,613</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(27,047)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3,445</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10,985</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(7,540)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1,297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88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59,598</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(32,561)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its higher proportion of production capacity, the decrease of $32.6 million in revenues mainly reflects a decrease of $27.0 million in Canada. Revenues from the Company’s Canadian operations were $21.6 million during Q4 2022 compared to $48.6 million in Q4 2021. US-based revenues decreased by $7.5 million from the Company’s Washington operations in Q4 2022 when compared to the same period in the previous year. Paraguay and Argentina revenues were $0.7 million and $1.3 million in Q4 2022, respectively, compared to nil and nil in Q4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$142.4 million in FY 2022 compared to $169.5 million in FY 2021, a decrease of $27.1 million, or 16%.</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decrease in Bitfarms’ revenues in FY 2022, compared to FY 2021, are presented in the table below. Revenues decreased mostly due to the decrease in average BTC price, partially offset by the increase in Bitfarms’ hashrate in excess of the increase in network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Note</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BTC</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(USD)</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including Volta, for the year ended December 31, 2021</w:t>
            </w:r>
          </w:p>
        </w:tc>
        <w:tc>
          <w:tcPr>
            <w:tcW w:w="1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3,453</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169,491</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average Bitfarms’ BTC hashrate in excess of the increase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 network difficulty during FY 2022 as compared to FY 2021</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1,714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81,612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FY 2022 as compared to FY 2021</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(107,022)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 and hosting revenues</w:t>
            </w:r>
          </w:p>
        </w:tc>
        <w:tc>
          <w:tcPr>
            <w:tcW w:w="1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(1,653)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1"/>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for the year ended December 31, 2022</w:t>
            </w:r>
          </w:p>
        </w:tc>
        <w:tc>
          <w:tcPr>
            <w:tcW w:w="1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5,167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86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57" w:lineRule="exact"/>
        <w:rPr>
          <w:sz w:val="20"/>
          <w:szCs w:val="20"/>
          <w:color w:val="auto"/>
        </w:rPr>
      </w:pPr>
    </w:p>
    <w:p>
      <w:pPr>
        <w:ind w:left="680" w:hanging="379"/>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mined in FY 2022 compared to FY 2021 multiplied by FY 2021 average BTC price</w:t>
      </w:r>
    </w:p>
    <w:p>
      <w:pPr>
        <w:spacing w:after="0" w:line="77" w:lineRule="exact"/>
        <w:rPr>
          <w:sz w:val="20"/>
          <w:szCs w:val="20"/>
          <w:color w:val="auto"/>
        </w:rPr>
      </w:pPr>
    </w:p>
    <w:p>
      <w:pPr>
        <w:ind w:right="1720" w:firstLine="301"/>
        <w:spacing w:after="0" w:line="514" w:lineRule="auto"/>
        <w:tabs>
          <w:tab w:leader="none" w:pos="6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FY 2022 compared to FY 2021 multiplied by BTC mined in FY 2022 The following table summarizes the revenues by country:</w:t>
      </w: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112,106</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153,265</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(41,159)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25,095</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16,226</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2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3,772</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3,772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1,455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840" w:type="dxa"/>
            <w:vAlign w:val="bottom"/>
            <w:tcBorders>
              <w:bottom w:val="single" w:sz="8" w:color="auto"/>
            </w:tcBorders>
            <w:shd w:val="clear" w:color="auto" w:fill="CCEEFF"/>
          </w:tcPr>
          <w:p>
            <w:pPr>
              <w:spacing w:after="0"/>
              <w:rPr>
                <w:sz w:val="21"/>
                <w:szCs w:val="21"/>
                <w:color w:val="auto"/>
              </w:rPr>
            </w:pPr>
          </w:p>
        </w:tc>
        <w:tc>
          <w:tcPr>
            <w:tcW w:w="2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169,491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(27,063)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of $27.1 million in revenues, primarily resulting from lower BTC prices, was derived mainly from the Company’s Canadian operations, which had revenues of $112.1 million during FY 2022 compared to $153.3 million in FY 2021. The decrease was partially offset by the increase in US-based revenues from the Company’s Washington operations of $8.9 million during FY 2022 when compared to the same period in the previous year due to the additional 3 MW capacity added during 2022 as well as operating for two more months during 2022 compared to 2021. Further reducing the overall decrease of revenues were the Paraguay and Argentina revenues of $3.8 million and $1.5 million in FY 2022, respectively, compared to nil and nil in FY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22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2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00" w:type="dxa"/>
            <w:vAlign w:val="bottom"/>
            <w:tcBorders>
              <w:bottom w:val="single" w:sz="8" w:color="auto"/>
            </w:tcBorders>
          </w:tcPr>
          <w:p>
            <w:pPr>
              <w:spacing w:after="0"/>
              <w:rPr>
                <w:sz w:val="22"/>
                <w:szCs w:val="22"/>
                <w:color w:val="auto"/>
              </w:rPr>
            </w:pPr>
          </w:p>
        </w:tc>
      </w:tr>
      <w:tr>
        <w:trPr>
          <w:trHeight w:val="223"/>
        </w:trPr>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17,445</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9,335</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8,110</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56,415</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30,195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20,777</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10,287</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10,490</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72,420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24,476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47,944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507</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1,973</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392</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1,727</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20" w:type="dxa"/>
            <w:vAlign w:val="bottom"/>
            <w:tcBorders>
              <w:bottom w:val="single" w:sz="8" w:color="auto"/>
            </w:tcBorders>
            <w:shd w:val="clear" w:color="auto" w:fill="CCEEFF"/>
          </w:tcPr>
          <w:p>
            <w:pPr>
              <w:spacing w:after="0"/>
              <w:rPr>
                <w:sz w:val="20"/>
                <w:szCs w:val="20"/>
                <w:color w:val="auto"/>
              </w:rPr>
            </w:pPr>
          </w:p>
        </w:tc>
        <w:tc>
          <w:tcPr>
            <w:tcW w:w="3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39,121</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20,613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18,508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131,910</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58,371</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73,539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cost of revenues for Q4 2022 was $39.1 million compared to $20.6 million for Q4 2021. The increase in cost of revenues was mainly due to the increase in energy and infrastructure expenses and non-cash depreciation and amortization expense:</w:t>
      </w:r>
    </w:p>
    <w:p>
      <w:pPr>
        <w:spacing w:after="0" w:line="162" w:lineRule="exact"/>
        <w:rPr>
          <w:sz w:val="20"/>
          <w:szCs w:val="20"/>
          <w:color w:val="auto"/>
        </w:rPr>
      </w:pPr>
    </w:p>
    <w:p>
      <w:pPr>
        <w:jc w:val="both"/>
        <w:ind w:left="340" w:hanging="332"/>
        <w:spacing w:after="0" w:line="255" w:lineRule="auto"/>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infrastructure expenses increased by $8.1 million, or 87%, mainly due to the Company adding new Miners, which increased energy utilization to an average of 169 MW during Q4 2022 versus 88 MW for the same period in 2021, resulting in an increase in electricity costs of $9.1 million. The availability and pricing of energy may be negatively affected by governmental or regulatory changes in energy policies in the countries and provinces where the Company operates.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increased by $10.5 million as the Company added new Miners and electrical infrastructure.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incurred a $0.4 million increase in rent and other expenses.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difference is mainly due to the Company being able to terminate, following the Washington acquisition, its hosting agreements in November 2021 under which a third party operated the Company’s equipment, resulting in $1.1 million lower energy and infrastructure costs in Q4 2022 compared to Q4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cost of revenues for FY 2022 was $131.9 million compared to $58.4 million for FY 2021. The increase in cost of revenues was mainly due to the increase in energy and infrastructure expenses and non-cash depreciation and amortization expense:</w:t>
      </w:r>
    </w:p>
    <w:p>
      <w:pPr>
        <w:spacing w:after="0" w:line="162" w:lineRule="exact"/>
        <w:rPr>
          <w:sz w:val="20"/>
          <w:szCs w:val="20"/>
          <w:color w:val="auto"/>
        </w:rPr>
      </w:pPr>
    </w:p>
    <w:p>
      <w:pPr>
        <w:jc w:val="both"/>
        <w:ind w:left="260" w:hanging="252"/>
        <w:spacing w:after="0" w:line="257" w:lineRule="auto"/>
        <w:tabs>
          <w:tab w:leader="none" w:pos="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infrastructure expenses increased by $26.2 million, or 87%, mainly due to the Company adding new Miners and upgrading its fleet, which increased energy utilization to an average of 137 MW during the period, compared to 66 MW for the same period in 2021, resulting in an increase in electricity costs of $27.7 million.</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increased by $47.9 million as the Company added new Miners and electrical infrastructure.</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invested additional resources in facilities to repair existing Mining hardware including the upgrade of existing facilities, which added $0.4 million to energy and infrastructure expenses in FY 2022 compared to FY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22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2022 v. FY 2021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340" w:hanging="332"/>
        <w:spacing w:after="0" w:line="263"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incurred a $2.2 million increase in rent and other expenses mainly due to the rent agreement for the Washington facility which started during Q4 2021 and, accordingly, was only in effect for less than two months in 2021 in comparison to the full year 2022.</w:t>
      </w:r>
    </w:p>
    <w:p>
      <w:pPr>
        <w:spacing w:after="0" w:line="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remaining difference in FY 2022 compared to FY 2021 resulted from the Company terminating its hosting agreements during 2021 under which a third party operated the Company’s equipment, reducing energy and infrastructure costs by $4.1 million during FY 2022.</w:t>
      </w:r>
    </w:p>
    <w:p>
      <w:pPr>
        <w:spacing w:after="0" w:line="158"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0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0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Pr>
          <w:p>
            <w:pPr>
              <w:spacing w:after="0"/>
              <w:rPr>
                <w:sz w:val="20"/>
                <w:szCs w:val="20"/>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 based payment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6,392</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30,040</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30,334</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3,592</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2,282</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6,985</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1,419</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258</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129</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11,972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51,506</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43,238</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8,268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general and administrative (“G&amp;A”) expenses were $12.0 million in Q4 2022 compared to $18.9 million for Q4 2021. The decrease of $6.9 million, or 37%, in G&amp;A expense was largely due to:</w:t>
      </w:r>
    </w:p>
    <w:p>
      <w:pPr>
        <w:spacing w:after="0" w:line="162" w:lineRule="exact"/>
        <w:rPr>
          <w:sz w:val="20"/>
          <w:szCs w:val="20"/>
          <w:color w:val="auto"/>
        </w:rPr>
      </w:pPr>
    </w:p>
    <w:p>
      <w:pPr>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 million decrease in non-cash share-based payment expense in connection with the Company granting fewer stock options during FY 2022 compared to the same period in 2021.</w:t>
      </w:r>
    </w:p>
    <w:p>
      <w:pPr>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decrease in salaries expense mainly due to the Company incurring lower bonus and incentives plans expenses in Q4 2022 compared to Q4 2021.</w:t>
      </w:r>
    </w:p>
    <w:p>
      <w:pPr>
        <w:ind w:left="340" w:hanging="332"/>
        <w:spacing w:after="0" w:line="282"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decreases were partially offset by the increase in professional services expenses of $1.3 million mainly due to $1.5 million of termination payments to two executive officers whose consulting agreements were terminated and executive responsibilities eliminated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22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FY 2022, Bitfarms’ G&amp;A expenses were $51.5 million, compared to $43.2 million for the same period in 2021. The increase of $8.3 million, or 19%, in G&amp;A expenses was mainly due to:</w:t>
      </w:r>
    </w:p>
    <w:p>
      <w:pPr>
        <w:spacing w:after="0" w:line="162" w:lineRule="exact"/>
        <w:rPr>
          <w:sz w:val="20"/>
          <w:szCs w:val="20"/>
          <w:color w:val="auto"/>
        </w:rPr>
      </w:pPr>
    </w:p>
    <w:p>
      <w:pPr>
        <w:jc w:val="both"/>
        <w:ind w:left="340" w:hanging="332"/>
        <w:spacing w:after="0" w:line="257"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insurance expense increaseing by $3.2 million as a result of the increase of insured assets and higher industry-specific insurance premiums, as well as an increase in insurance premiums associated with the Company’s Nasdaq listing on June 21, 2021 for the full year 2022 in comparison to a partial year for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in professional and other fees, mainly in connection with $1.5 million of termination payments to two executive officers whose consulting agreements were terminated and executive responsibilities eliminated in December 2022, as well as $0.9 million more consulting expenses in connection with the two-year consulting agreement with the previous owner of the Mining facility in Washington State that began in Q4 2021.</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FY 2022, G&amp;A expenses included $2.0 million of shipping costs and duties from transferring older generation Miners from Canada to Paraguay that did not exist in FY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25" w:lineRule="exact"/>
        <w:rPr>
          <w:sz w:val="20"/>
          <w:szCs w:val="20"/>
          <w:color w:val="auto"/>
        </w:rPr>
      </w:pPr>
    </w:p>
    <w:p>
      <w:pPr>
        <w:ind w:left="340" w:right="20" w:hanging="332"/>
        <w:spacing w:after="0" w:line="282"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non-cash share-based payment expense in connection with the Company’s grant of stock options and restricted share units during FY 2022 in comparison to FY 2021.</w:t>
      </w:r>
    </w:p>
    <w:p>
      <w:pPr>
        <w:spacing w:after="0" w:line="158"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financial income and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0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 Change</w:t>
            </w: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on revaluation of</w:t>
            </w:r>
          </w:p>
        </w:tc>
        <w:tc>
          <w:tcPr>
            <w:tcW w:w="10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19,524</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Loss on embedded derivative</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2,641</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(7,317)</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(51,649)</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(3,875)</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(3,442)</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(6,149)</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Loss on currency exchange</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860</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428%</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2,945</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647</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on Credit Facility and</w:t>
            </w:r>
          </w:p>
        </w:tc>
        <w:tc>
          <w:tcPr>
            <w:tcW w:w="10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2,854</w:t>
            </w: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12,770</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505</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2,349</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465%</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1,907</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417</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1,451</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1,513</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668</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Discount (income) expense</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6,750</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on VAT receivable</w:t>
            </w:r>
          </w:p>
        </w:tc>
        <w:tc>
          <w:tcPr>
            <w:tcW w:w="1080" w:type="dxa"/>
            <w:vAlign w:val="bottom"/>
            <w:vMerge w:val="continue"/>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(109)</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(3,369)</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(2,933)</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(436)</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(27,560)</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21,003</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(48,563)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21  Page</w:t>
      </w:r>
    </w:p>
    <w:p>
      <w:pPr>
        <w:sectPr>
          <w:pgSz w:w="11900" w:h="16838" w:orient="portrait"/>
          <w:cols w:equalWidth="0" w:num="1">
            <w:col w:w="11240"/>
          </w:cols>
          <w:pgMar w:left="320" w:top="22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and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for Q4 2022 was $3.4 million compared to $2.9 million for Q4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$0.5 million increase was primarily related to income from:</w:t>
      </w:r>
    </w:p>
    <w:p>
      <w:pPr>
        <w:spacing w:after="0" w:line="27" w:lineRule="exact"/>
        <w:rPr>
          <w:sz w:val="20"/>
          <w:szCs w:val="20"/>
          <w:color w:val="auto"/>
        </w:rPr>
      </w:pPr>
    </w:p>
    <w:p>
      <w:pPr>
        <w:jc w:val="both"/>
        <w:ind w:left="340" w:hanging="332"/>
        <w:spacing w:after="0" w:line="250"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gain on disposition of marketable securities related to the funding mechanism used to fund the Argentina Expansion that began in Q3 2021. The Company has funded its expansion in Argentina through the acquisition of marketable securities and in-kind contribution of these securities to a company in Argentina that it controls. The subsequent disposition of these marketable securities in exchange for Argentine Pesos</w:t>
      </w:r>
    </w:p>
    <w:p>
      <w:pPr>
        <w:spacing w:after="0" w:line="1"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auto"/>
        </w:rPr>
        <w:t>gave rise to a gain as the equivalent amount received in Argentine Pesos exceeded the amount of Argentine Pesos the Company would have received from a direct foreign currency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was partially offset by:</w:t>
      </w:r>
    </w:p>
    <w:p>
      <w:pPr>
        <w:spacing w:after="0" w:line="9" w:lineRule="exact"/>
        <w:rPr>
          <w:sz w:val="20"/>
          <w:szCs w:val="20"/>
          <w:color w:val="auto"/>
        </w:rPr>
      </w:pPr>
    </w:p>
    <w:p>
      <w:pPr>
        <w:jc w:val="both"/>
        <w:ind w:left="340" w:hanging="332"/>
        <w:spacing w:after="0" w:line="255"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$2.4 million in interest expense on the Credit Facility which commenced on December 30, 2021 and was fully repaid and extinguished in December 2022, the BlockFi Loan which commenced on February 18, 2022, and the NYDIG Loan which commenced on June 15, 2022. The BlockFi Loan and the NYDIG Loan were classified as long-term debt in the statements of financial position.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for FY 2022 was $27.6 million compared to net financial expenses of $21.0 million for FY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$48.6 million change was mainly due to:</w:t>
      </w:r>
    </w:p>
    <w:p>
      <w:pPr>
        <w:spacing w:after="0" w:line="27"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$45.5 million increase in gain on disposition of marketable securities related to the funding of the Argentina Expansion during FY 2022.</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$19.5 million loss on the revaluation of warrants related to a private placement which closed on January 7, 2021 and a loan with Dominion Capital in Q1 2021 (the “Dominion Loan”), which were exercised in Q1 2021 and not applicable in FY 2022, in addition to a loss on embedded derivative of $2.6 million in Q1 2021 that no longer existed in FY 2022.</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decrease in warrant issuance costs for 40,332,000 warrants granted in FY 2021 in comparison to no warrants issued in FY 2022.</w:t>
      </w:r>
    </w:p>
    <w:p>
      <w:pPr>
        <w:spacing w:after="0" w:line="207" w:lineRule="exact"/>
        <w:rPr>
          <w:sz w:val="20"/>
          <w:szCs w:val="20"/>
          <w:color w:val="auto"/>
        </w:rPr>
      </w:pPr>
    </w:p>
    <w:p>
      <w:pPr>
        <w:ind w:left="340" w:right="20" w:hanging="332"/>
        <w:spacing w:after="0" w:line="261" w:lineRule="auto"/>
        <w:tabs>
          <w:tab w:leader="none" w:pos="3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discounting expense on the Argentina VAT receivable of $6.8 million during FY 2022 related to the country’s historically high rate of inflation and length of time before the VAT receivable is refunded, which was not applicable in FY 2021.</w:t>
      </w:r>
    </w:p>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increase in loss on currency exchange.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$10.9 million higher interest expense during FY 2022 compared to the same period in 2021 as a result of the Credit Facility that commenced on December 30, 2021, and the BlockFi Loan and NYDIG Loan that commenced on February 18, 2022 and June 15, 2022, respectively. The Credit Facility was fully repaid and extinguished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22  Page</w:t>
      </w:r>
    </w:p>
    <w:p>
      <w:pPr>
        <w:sectPr>
          <w:pgSz w:w="11900" w:h="16838" w:orient="portrait"/>
          <w:cols w:equalWidth="0" w:num="1">
            <w:col w:w="11240"/>
          </w:cols>
          <w:pgMar w:left="320" w:top="22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impairment reversal recorded in Q4 2022 amounted to $8.9 million, compared to an impairment loss of $1.8 million in Q4 2021. The net impairment loss recorded in FY 2022 amounted to $93.1 million, compared to an impairment reversal of $0.1 million in FY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impairment loss (reversal) recorded per quarter, per cash-generating unit (“CGU”) and per type of asset in FY 2022:</w:t>
      </w:r>
    </w:p>
    <w:p>
      <w:pPr>
        <w:spacing w:after="0" w:line="22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2520" w:type="dxa"/>
            <w:vAlign w:val="bottom"/>
          </w:tcPr>
          <w:p>
            <w:pPr>
              <w:spacing w:after="0"/>
              <w:rPr>
                <w:sz w:val="16"/>
                <w:szCs w:val="16"/>
                <w:color w:val="auto"/>
              </w:rPr>
            </w:pPr>
          </w:p>
        </w:tc>
        <w:tc>
          <w:tcPr>
            <w:tcW w:w="22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Equipment</w:t>
            </w: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 held</w:t>
            </w:r>
          </w:p>
        </w:tc>
        <w:tc>
          <w:tcPr>
            <w:tcW w:w="136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plant and</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5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CGU</w:t>
            </w:r>
          </w:p>
        </w:tc>
        <w:tc>
          <w:tcPr>
            <w:tcW w:w="2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306</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6,208</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24,414</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Argentina CGU</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50,326</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1,728</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32,027</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84,081</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Quebec CGU</w:t>
            </w: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(11,641)</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Paraguay CGU</w:t>
            </w: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(8,486)</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(8,486)</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2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545</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4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4,200</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4,200</w:t>
            </w:r>
          </w:p>
        </w:tc>
      </w:tr>
      <w:tr>
        <w:trPr>
          <w:trHeight w:val="243"/>
        </w:trPr>
        <w:tc>
          <w:tcPr>
            <w:tcW w:w="252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30,199</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545</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2,034</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42,435</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93,113</w:t>
            </w:r>
          </w:p>
        </w:tc>
      </w:tr>
      <w:tr>
        <w:trPr>
          <w:trHeight w:val="432"/>
        </w:trPr>
        <w:tc>
          <w:tcPr>
            <w:tcW w:w="2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Q2 2022</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FY2022</w:t>
            </w:r>
          </w:p>
        </w:tc>
      </w:tr>
      <w:tr>
        <w:trPr>
          <w:trHeight w:val="21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CGU</w:t>
            </w:r>
          </w:p>
        </w:tc>
        <w:tc>
          <w:tcPr>
            <w:tcW w:w="2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6,514</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24,414</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Argentina CGU</w:t>
            </w:r>
          </w:p>
        </w:tc>
        <w:tc>
          <w:tcPr>
            <w:tcW w:w="2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79,484</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4,597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84,081</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Quebec CGU</w:t>
            </w:r>
          </w:p>
        </w:tc>
        <w:tc>
          <w:tcPr>
            <w:tcW w:w="2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(11,641)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Paraguay CGU</w:t>
            </w:r>
          </w:p>
        </w:tc>
        <w:tc>
          <w:tcPr>
            <w:tcW w:w="22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(8,486)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(8,486)</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2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432</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43"/>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2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4,200</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4,200</w:t>
            </w:r>
          </w:p>
        </w:tc>
      </w:tr>
      <w:tr>
        <w:trPr>
          <w:trHeight w:val="244"/>
        </w:trPr>
        <w:tc>
          <w:tcPr>
            <w:tcW w:w="252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84,116</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(8,903)</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23  Page</w:t>
      </w:r>
    </w:p>
    <w:p>
      <w:pPr>
        <w:sectPr>
          <w:pgSz w:w="11900" w:h="16838" w:orient="portrait"/>
          <w:cols w:equalWidth="0" w:num="1">
            <w:col w:w="11240"/>
          </w:cols>
          <w:pgMar w:left="320" w:top="22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CGUs impairment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three quarters of 2022, the Company experienced consecutive declines in the price of BTC which resulted in impairment losses being recorded during the second, third and fourth quarters of 2022. The decline of the BTC prices is shown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Q1 2022</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Q2 2022</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Q3 2022</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Q4 2022</w:t>
            </w:r>
          </w:p>
        </w:tc>
      </w:tr>
      <w:tr>
        <w:trPr>
          <w:trHeight w:val="244"/>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price as of the end of the period</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45,500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16,500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of the three last quarters of 2022, the Company performed an evaluation of the recoverable values of the assets for the operating cryptocurrency Mining facilities in Quebec, Washington State, Argentina and Paraguay separately. As the group of assets for each CGU do not generate cash inflows that are independent of each other, the recoverable amount was calculated for each CGU comprised of the PPE, right-of-use (“ROU”) assets, long-term electricity deposits, long-term construction and equipment prepayments and favorable lease used in the operating cryptocurrency Mining facilities in Quebec, Washington State, Argentina and Paraguay.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details of the key assumptions used in the calculations, refer to Note 11,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Washington CGU</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second quarter of 2022, the Company recorded an impairment loss on its Washington CGU resulting in an impairment charge to goodwill of $17.9 million, which was recognized in profit or loss under Impairment on goodwill.</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recorded an impairment loss on its Washington CGU resulting in an impairment charge to ROU and PPE of $0.3 million and $6.2 million, respectively, which was recognized in profit or loss under Impairment on equipment and construction prepayments, property, plant and equipment and right-of-use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Argentina CGU</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the Company determined that an impairment charge should be recorded on its operating Argentina CGU in the amount of $79.5 million, of which $48.9 million was allocated to equipment and construction prepayments, $1.6 million to ROU and $29.0 million to PPE. The impairment loss was recognized in profit or loss under Impairment on equipment and construction prepayments, property, plant and equipment and right-of-use assets.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determined that an impairment charge should be recorded on its operating Argentina CGU in the amount of $4.6 million, of which $1.5 million was allocated to equipment and construction prepayments, $0.1 million to ROU and $3.1 million to PPE. The impairment loss was recognized in profit or loss under Impairment on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22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CGU’s impairment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Argentina CGU</w:t>
      </w:r>
      <w:r>
        <w:rPr>
          <w:rFonts w:ascii="Times New Roman" w:cs="Times New Roman" w:eastAsia="Times New Roman" w:hAnsi="Times New Roman"/>
          <w:sz w:val="18"/>
          <w:szCs w:val="18"/>
          <w:color w:val="auto"/>
        </w:rPr>
        <w:t xml:space="preserve"> (Continued)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assets included in the Argentina CGU are funded through a funding mechanism facilitating the favorable conversion of U.S. dollars to Argentine Pesos, which generated a gain on disposition of marketable securities. The gain on disposition of marketable securities is reflected in the value of the assets before any impairment charge is incurred. The combined impact of the impairment charge on the operating Argentina CGU and the cumulative gain on disposition of marketable securities from Argentina is reflected as an expense of $26.3 million in profit or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CGU’s impairment reversal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Quebec CGU and Paraguay CGU</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renegotiation of the 48,000 unit purchase agreements, as described in Section 11 -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allowed the deployment of Miners intended for the Argentina CGU to be reassigned to the Quebec CGU and Paraguay CGU. As a result, a portion of the equipment prepayments in the Argentina CGU that were impaired during the third quarter of 2022 was allocated to the Quebec CGU and Paraguay CGU. The deposits were transferred to the Quebec CGU and Paraguay CGU at the impaired amount. After performing the evaluation of the recoverable amount of the assets for these CGUs, the impairment losses previously recognized on these deposits were reversed into the Quebec CGU and Paraguay CGU by $11.6 million and $8.5 million, respectively. The impairment reversals were recognized in profit or loss under Impairment on equipment and construction prepayments, property, plant and equipment and right-of-use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Suni mineral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which owned certain mineral assets, the Company engaged an independent appraiser to determine the fair value as of the acquisition date, April 12, 2018, of Suni, an iron ore deposit located in Canada held by the acquiree. Subsequently, the Suni mineral asset has been tested annually for impairment.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same valuation techniques, an independent appraiser determined that the fair value of Suni was lower than its carrying amount in the fourth quarter of 2021 and the third quarter of 2022, which resulted in an impairment of $1.8 million and $4.2 million, respectively, to Suni’s mineral asset. The impairment loss was recognized in profit or loss under Impairment on equipment and construction prepayments, property, plant and equipment and right-of-use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details of the key assumptions used in the calculations, refer to Note 11,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25  Page</w:t>
      </w:r>
    </w:p>
    <w:p>
      <w:pPr>
        <w:sectPr>
          <w:pgSz w:w="11900" w:h="16838" w:orient="portrait"/>
          <w:cols w:equalWidth="0" w:num="1">
            <w:col w:w="11240"/>
          </w:cols>
          <w:pgMar w:left="320" w:top="22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SELECTED QUARTERLY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w:t>
            </w:r>
          </w:p>
        </w:tc>
        <w:tc>
          <w:tcPr>
            <w:tcW w:w="122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1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Q3 2022</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Q2 2022</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Q1 2022</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Q4 2021</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Q3 2021</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Q2 2021</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Q1 2021</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33,247</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41,815</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40,329</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59,598</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44,774</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36,687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28,432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(16,843)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(84,808)</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(141,918)</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4,519</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9,677</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23,733</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(3,675)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net (loss) earnings per</w:t>
            </w:r>
          </w:p>
        </w:tc>
        <w:tc>
          <w:tcPr>
            <w:tcW w:w="1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0.14</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 in thousands except</w:t>
            </w: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Q3 2022</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Q2 2022</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Q1 2022</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Q4 2021</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Q3 2021</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Q2 2021</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Q1 2021</w:t>
            </w:r>
          </w:p>
        </w:tc>
        <w:tc>
          <w:tcPr>
            <w:tcW w:w="0" w:type="dxa"/>
            <w:vAlign w:val="bottom"/>
          </w:tcPr>
          <w:p>
            <w:pPr>
              <w:spacing w:after="0"/>
              <w:rPr>
                <w:sz w:val="1"/>
                <w:szCs w:val="1"/>
                <w:color w:val="auto"/>
              </w:rPr>
            </w:pPr>
          </w:p>
        </w:tc>
      </w:tr>
      <w:tr>
        <w:trPr>
          <w:trHeight w:val="187"/>
        </w:trPr>
        <w:tc>
          <w:tcPr>
            <w:tcW w:w="22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before</w:t>
            </w:r>
          </w:p>
        </w:tc>
        <w:tc>
          <w:tcPr>
            <w:tcW w:w="1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(16,652)</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(89,533)</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(161,234)</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10,957</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17,937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34,706</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(6,935)</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3,271</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3,394</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4,546</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3,010</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837</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788</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897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20,777</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20,720</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17,857</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13,066</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10,287</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6,261</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4,920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37"/>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7,396</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(65,419)</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(138,831)</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27,033</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29,061</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41,755</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2,746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3,795</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3,961</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7,927</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6,105</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10,036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5,787</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6,342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loss (gain) on</w:t>
            </w: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28,567</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disposition of digital assets</w:t>
            </w:r>
          </w:p>
        </w:tc>
        <w:tc>
          <w:tcPr>
            <w:tcW w:w="1220" w:type="dxa"/>
            <w:vAlign w:val="bottom"/>
            <w:vMerge w:val="continue"/>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44,329</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77,880</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177</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w:t>
            </w: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revaluation of digital</w:t>
            </w:r>
          </w:p>
        </w:tc>
        <w:tc>
          <w:tcPr>
            <w:tcW w:w="12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(23,284)</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(45,655)</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70,475</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(3,702)</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3,869</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(13,893)</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14,885</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property, plant</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 and right-of-</w:t>
            </w:r>
          </w:p>
        </w:tc>
        <w:tc>
          <w:tcPr>
            <w:tcW w:w="12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(8,903)</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use assets</w:t>
            </w:r>
          </w:p>
        </w:tc>
        <w:tc>
          <w:tcPr>
            <w:tcW w:w="1220" w:type="dxa"/>
            <w:vAlign w:val="bottom"/>
            <w:vMerge w:val="continue"/>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84,116</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1,800</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w:t>
            </w: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w:t>
            </w:r>
          </w:p>
        </w:tc>
        <w:tc>
          <w:tcPr>
            <w:tcW w:w="12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2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(1,860)</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17,900</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(income)</w:t>
            </w:r>
          </w:p>
        </w:tc>
        <w:tc>
          <w:tcPr>
            <w:tcW w:w="12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(6,445)</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and other</w:t>
            </w: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(11,015)</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(16,666)</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(8,030)</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(4,628)</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(2,204)</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(146)</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22,310</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1,126</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10,317</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18,685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21,440</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40,275</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29,762</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23,780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19,723</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BTC Mining industry experiences volatility, it is typically not subject to seasonality. Seasonal fluctuations in energy supply, however, may impact the Company’s operations. The majority of the Company’s operations during the above periods were in Quebec, where power was sourced directly from Hydro-Quebec, Hydro-Magog and Hydro-Sherbrooke. The Company also had operations in Washington State which were powered by the Grant County Power Utility District as well as operations in Paraguay which were powered by CLYFSA. In Q3 2022, the Company began operations in Argentina. The production facility in Argentina has been temporarily connected to the power grid until such time as the private power producer obtains approval of its permit.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unduly affecting the Company’s overall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Q4 2022 details, refer to Section 8A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7</w:t>
      </w:r>
    </w:p>
    <w:p>
      <w:pPr>
        <w:spacing w:after="0" w:line="29" w:lineRule="exact"/>
        <w:rPr>
          <w:sz w:val="20"/>
          <w:szCs w:val="20"/>
          <w:color w:val="auto"/>
        </w:rPr>
      </w:pPr>
    </w:p>
    <w:p>
      <w:pPr>
        <w:ind w:left="120" w:hanging="112"/>
        <w:spacing w:after="0"/>
        <w:tabs>
          <w:tab w:leader="none" w:pos="1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Washington Expansion, Paraguay Expansion and Argentina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26  Page</w:t>
      </w:r>
    </w:p>
    <w:p>
      <w:pPr>
        <w:sectPr>
          <w:pgSz w:w="11900" w:h="16838" w:orient="portrait"/>
          <w:cols w:equalWidth="0" w:num="1">
            <w:col w:w="11240"/>
          </w:cols>
          <w:pgMar w:left="320" w:top="22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NON-IFRS FINANCIAL MEASURES AND RATIOS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22 -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Financial Measures and Ratios </w:t>
      </w:r>
      <w:r>
        <w:rPr>
          <w:rFonts w:ascii="Times New Roman" w:cs="Times New Roman" w:eastAsia="Times New Roman" w:hAnsi="Times New Roman"/>
          <w:sz w:val="18"/>
          <w:szCs w:val="18"/>
          <w:color w:val="auto"/>
        </w:rPr>
        <w:t>of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r>
        <w:trPr>
          <w:trHeight w:val="191"/>
        </w:trPr>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1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Gross Profit before: (i) non-Mining revenues; (ii)</w:t>
            </w:r>
          </w:p>
        </w:tc>
        <w:tc>
          <w:tcPr>
            <w:tcW w:w="5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 the</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(iii)  purchase  of</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largest variable expense in Mining.</w:t>
            </w:r>
          </w:p>
        </w:tc>
      </w:tr>
      <w:tr>
        <w:trPr>
          <w:trHeight w:val="216"/>
        </w:trPr>
        <w:tc>
          <w:tcPr>
            <w:tcW w:w="12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electrical components and other expenses; and (iv)</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 of</w:t>
            </w:r>
          </w:p>
        </w:tc>
      </w:tr>
      <w:tr>
        <w:trPr>
          <w:trHeight w:val="216"/>
        </w:trPr>
        <w:tc>
          <w:tcPr>
            <w:tcW w:w="12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Company’s core digital asset Mining operations, exclusive of certain</w:t>
            </w:r>
          </w:p>
        </w:tc>
      </w:tr>
      <w:tr>
        <w:trPr>
          <w:trHeight w:val="234"/>
        </w:trPr>
        <w:tc>
          <w:tcPr>
            <w:tcW w:w="12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34" w:lineRule="exact"/>
        <w:rPr>
          <w:sz w:val="20"/>
          <w:szCs w:val="20"/>
          <w:color w:val="auto"/>
        </w:rPr>
      </w:pPr>
    </w:p>
    <w:p>
      <w:pPr>
        <w:jc w:val="both"/>
        <w:ind w:left="1480" w:hanging="1479"/>
        <w:spacing w:after="0" w:line="26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Net income (loss) before: (i) interest expense; (ii) income tax expense; and (iii) depreciation and amortization.</w:t>
      </w:r>
    </w:p>
    <w:p>
      <w:pPr>
        <w:spacing w:after="0" w:line="20" w:lineRule="exact"/>
        <w:rPr>
          <w:sz w:val="20"/>
          <w:szCs w:val="20"/>
          <w:color w:val="auto"/>
        </w:rPr>
      </w:pPr>
      <w:r>
        <w:rPr>
          <w:sz w:val="20"/>
          <w:szCs w:val="20"/>
          <w:color w:val="auto"/>
        </w:rPr>
        <w:br w:type="column"/>
      </w:r>
    </w:p>
    <w:p>
      <w:pPr>
        <w:jc w:val="both"/>
        <w:ind w:left="324" w:hanging="324"/>
        <w:spacing w:after="0" w:line="257" w:lineRule="auto"/>
        <w:tabs>
          <w:tab w:leader="none" w:pos="39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4" w:hanging="324"/>
        <w:spacing w:after="0" w:line="250" w:lineRule="auto"/>
        <w:tabs>
          <w:tab w:leader="none" w:pos="37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9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-1384935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116"/>
            <w:col w:w="5784"/>
          </w:cols>
          <w:pgMar w:left="320" w:top="225" w:right="339" w:bottom="1440" w:gutter="0" w:footer="0" w:header="0"/>
          <w:type w:val="continuous"/>
        </w:sectPr>
      </w:pPr>
    </w:p>
    <w:p>
      <w:pPr>
        <w:spacing w:after="0" w:line="25" w:lineRule="exact"/>
        <w:rPr>
          <w:sz w:val="20"/>
          <w:szCs w:val="20"/>
          <w:color w:val="auto"/>
        </w:rPr>
      </w:pPr>
    </w:p>
    <w:p>
      <w:pPr>
        <w:spacing w:after="0"/>
        <w:tabs>
          <w:tab w:leader="none" w:pos="1460" w:val="left"/>
          <w:tab w:leader="none" w:pos="2280" w:val="left"/>
          <w:tab w:leader="none" w:pos="3040" w:val="left"/>
          <w:tab w:leader="none" w:pos="3340" w:val="left"/>
          <w:tab w:leader="none" w:pos="4120" w:val="left"/>
          <w:tab w:leader="none" w:pos="4460" w:val="left"/>
        </w:tabs>
        <w:rPr>
          <w:sz w:val="20"/>
          <w:szCs w:val="20"/>
          <w:color w:val="auto"/>
        </w:rPr>
      </w:pPr>
      <w:r>
        <w:rPr>
          <w:rFonts w:ascii="Times New Roman" w:cs="Times New Roman" w:eastAsia="Times New Roman" w:hAnsi="Times New Roman"/>
          <w:sz w:val="18"/>
          <w:szCs w:val="18"/>
          <w:b w:val="1"/>
          <w:bCs w:val="1"/>
          <w:color w:val="auto"/>
        </w:rPr>
        <w:t>Adjusted</w:t>
      </w:r>
      <w:r>
        <w:rPr>
          <w:sz w:val="20"/>
          <w:szCs w:val="20"/>
          <w:color w:val="auto"/>
        </w:rPr>
        <w:tab/>
      </w:r>
      <w:r>
        <w:rPr>
          <w:rFonts w:ascii="Times New Roman" w:cs="Times New Roman" w:eastAsia="Times New Roman" w:hAnsi="Times New Roman"/>
          <w:sz w:val="18"/>
          <w:szCs w:val="18"/>
          <w:color w:val="auto"/>
        </w:rPr>
        <w:t>EBITDA</w:t>
        <w:tab/>
        <w:t>adjusted</w:t>
        <w:tab/>
        <w:t>to</w:t>
        <w:tab/>
        <w:t>exclude:</w:t>
        <w:tab/>
        <w:t>(i)</w:t>
      </w:r>
      <w:r>
        <w:rPr>
          <w:sz w:val="20"/>
          <w:szCs w:val="20"/>
          <w:color w:val="auto"/>
        </w:rPr>
        <w:tab/>
      </w:r>
      <w:r>
        <w:rPr>
          <w:rFonts w:ascii="Times New Roman" w:cs="Times New Roman" w:eastAsia="Times New Roman" w:hAnsi="Times New Roman"/>
          <w:sz w:val="17"/>
          <w:szCs w:val="17"/>
          <w:color w:val="auto"/>
        </w:rPr>
        <w:t>share-based</w:t>
      </w:r>
    </w:p>
    <w:p>
      <w:pPr>
        <w:spacing w:after="0" w:line="31" w:lineRule="exact"/>
        <w:rPr>
          <w:sz w:val="20"/>
          <w:szCs w:val="20"/>
          <w:color w:val="auto"/>
        </w:rPr>
      </w:pPr>
    </w:p>
    <w:p>
      <w:pPr>
        <w:jc w:val="both"/>
        <w:ind w:left="1480" w:hanging="1479"/>
        <w:spacing w:after="0" w:line="251"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compensation; (ii) non-cash finance expenses; (iii) asset impairment charges; (iv) realized and change in unrealized gains or losses on disposition and revaluation of digital assets; (v) gain on disposition of marketable securities and discount expense on VAT receivable; and (vi) other non-recurring items that do not reflect the core performance of the Company.</w:t>
      </w:r>
    </w:p>
    <w:p>
      <w:pPr>
        <w:spacing w:after="0" w:line="20" w:lineRule="exact"/>
        <w:rPr>
          <w:sz w:val="20"/>
          <w:szCs w:val="20"/>
          <w:color w:val="auto"/>
        </w:rPr>
      </w:pPr>
      <w:r>
        <w:rPr>
          <w:sz w:val="20"/>
          <w:szCs w:val="20"/>
          <w:color w:val="auto"/>
        </w:rPr>
        <w:br w:type="column"/>
      </w:r>
    </w:p>
    <w:p>
      <w:pPr>
        <w:ind w:left="324" w:hanging="324"/>
        <w:spacing w:after="0" w:line="261" w:lineRule="auto"/>
        <w:tabs>
          <w:tab w:leader="none" w:pos="36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4" w:hanging="324"/>
        <w:spacing w:after="0" w:line="250" w:lineRule="auto"/>
        <w:tabs>
          <w:tab w:leader="none" w:pos="5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consistent comparable metric for profitability of the Company’s core performance across time periods.</w:t>
      </w:r>
    </w:p>
    <w:p>
      <w:pPr>
        <w:jc w:val="both"/>
        <w:ind w:left="324" w:hanging="324"/>
        <w:spacing w:after="0" w:line="255" w:lineRule="auto"/>
        <w:tabs>
          <w:tab w:leader="none" w:pos="37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300990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-975360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592455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5340" w:space="116"/>
            <w:col w:w="5784"/>
          </w:cols>
          <w:pgMar w:left="320" w:top="225" w:right="339" w:bottom="1440" w:gutter="0" w:footer="0" w:header="0"/>
          <w:type w:val="continuous"/>
        </w:sectPr>
      </w:pPr>
    </w:p>
    <w:p>
      <w:pPr>
        <w:spacing w:after="0" w:line="29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225"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percentage obtained when dividing Gross profit</w:t>
            </w: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r>
      <w:tr>
        <w:trPr>
          <w:trHeight w:val="234"/>
        </w:trPr>
        <w:tc>
          <w:tcPr>
            <w:tcW w:w="1260" w:type="dxa"/>
            <w:vAlign w:val="bottom"/>
          </w:tcPr>
          <w:p>
            <w:pPr>
              <w:spacing w:after="0"/>
              <w:rPr>
                <w:sz w:val="20"/>
                <w:szCs w:val="20"/>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Revenues.</w:t>
            </w:r>
          </w:p>
        </w:tc>
        <w:tc>
          <w:tcPr>
            <w:tcW w:w="5840" w:type="dxa"/>
            <w:vAlign w:val="bottom"/>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3" w:lineRule="exact"/>
        <w:rPr>
          <w:sz w:val="20"/>
          <w:szCs w:val="20"/>
          <w:color w:val="auto"/>
        </w:rPr>
      </w:pPr>
    </w:p>
    <w:p>
      <w:pPr>
        <w:spacing w:after="0"/>
        <w:tabs>
          <w:tab w:leader="none" w:pos="1460" w:val="left"/>
          <w:tab w:leader="none" w:pos="1900" w:val="left"/>
          <w:tab w:leader="none" w:pos="2820" w:val="left"/>
          <w:tab w:leader="none" w:pos="3600" w:val="left"/>
          <w:tab w:leader="none" w:pos="4140" w:val="left"/>
        </w:tabs>
        <w:rPr>
          <w:sz w:val="20"/>
          <w:szCs w:val="20"/>
          <w:color w:val="auto"/>
        </w:rPr>
      </w:pPr>
      <w:r>
        <w:rPr>
          <w:rFonts w:ascii="Times New Roman" w:cs="Times New Roman" w:eastAsia="Times New Roman" w:hAnsi="Times New Roman"/>
          <w:sz w:val="18"/>
          <w:szCs w:val="18"/>
          <w:b w:val="1"/>
          <w:bCs w:val="1"/>
          <w:color w:val="auto"/>
        </w:rPr>
        <w:t>Gross Mining</w:t>
      </w:r>
      <w:r>
        <w:rPr>
          <w:sz w:val="20"/>
          <w:szCs w:val="20"/>
          <w:color w:val="auto"/>
        </w:rPr>
        <w:tab/>
      </w:r>
      <w:r>
        <w:rPr>
          <w:rFonts w:ascii="Times New Roman" w:cs="Times New Roman" w:eastAsia="Times New Roman" w:hAnsi="Times New Roman"/>
          <w:sz w:val="18"/>
          <w:szCs w:val="18"/>
          <w:color w:val="auto"/>
        </w:rPr>
        <w:t>The</w:t>
        <w:tab/>
        <w:t>percentage</w:t>
        <w:tab/>
        <w:t>obtained</w:t>
        <w:tab/>
        <w:t>when</w:t>
      </w:r>
      <w:r>
        <w:rPr>
          <w:sz w:val="20"/>
          <w:szCs w:val="20"/>
          <w:color w:val="auto"/>
        </w:rPr>
        <w:tab/>
      </w:r>
      <w:r>
        <w:rPr>
          <w:rFonts w:ascii="Times New Roman" w:cs="Times New Roman" w:eastAsia="Times New Roman" w:hAnsi="Times New Roman"/>
          <w:sz w:val="17"/>
          <w:szCs w:val="17"/>
          <w:color w:val="auto"/>
        </w:rPr>
        <w:t>dividing</w:t>
      </w:r>
    </w:p>
    <w:p>
      <w:pPr>
        <w:spacing w:after="0" w:line="3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margin</w:t>
      </w:r>
      <w:r>
        <w:rPr>
          <w:sz w:val="20"/>
          <w:szCs w:val="20"/>
          <w:color w:val="auto"/>
        </w:rPr>
        <w:tab/>
      </w:r>
      <w:r>
        <w:rPr>
          <w:rFonts w:ascii="Times New Roman" w:cs="Times New Roman" w:eastAsia="Times New Roman" w:hAnsi="Times New Roman"/>
          <w:sz w:val="18"/>
          <w:szCs w:val="18"/>
          <w:color w:val="auto"/>
        </w:rPr>
        <w:t>Mining profit by Mining related revenues.</w:t>
      </w:r>
    </w:p>
    <w:p>
      <w:pPr>
        <w:spacing w:after="0" w:line="20" w:lineRule="exact"/>
        <w:rPr>
          <w:sz w:val="20"/>
          <w:szCs w:val="20"/>
          <w:color w:val="auto"/>
        </w:rPr>
      </w:pPr>
      <w:r>
        <w:rPr>
          <w:sz w:val="20"/>
          <w:szCs w:val="20"/>
          <w:color w:val="auto"/>
        </w:rPr>
        <w:br w:type="column"/>
      </w:r>
    </w:p>
    <w:p>
      <w:pPr>
        <w:ind w:left="324" w:right="60" w:hanging="866"/>
        <w:spacing w:after="0" w:line="261" w:lineRule="auto"/>
        <w:tabs>
          <w:tab w:leader="none" w:pos="304" w:val="left"/>
        </w:tabs>
        <w:rPr>
          <w:sz w:val="20"/>
          <w:szCs w:val="20"/>
          <w:color w:val="auto"/>
        </w:rPr>
      </w:pPr>
      <w:r>
        <w:rPr>
          <w:rFonts w:ascii="Times New Roman" w:cs="Times New Roman" w:eastAsia="Times New Roman" w:hAnsi="Times New Roman"/>
          <w:sz w:val="18"/>
          <w:szCs w:val="18"/>
          <w:color w:val="auto"/>
        </w:rPr>
        <w:t>Gross ●</w:t>
        <w:tab/>
        <w:t>To assess profitability after power costs in cryptocurrency production, the largest variable expense in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-281940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324" w:right="40" w:hanging="324"/>
        <w:spacing w:after="0" w:line="255" w:lineRule="auto"/>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the ability to assess the profitability of the Company’s core digital asset Mining operations, exclusive of certain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129540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696"/>
            <w:col w:w="5784"/>
          </w:cols>
          <w:pgMar w:left="320" w:top="225" w:right="339" w:bottom="1440" w:gutter="0" w:footer="0" w:header="0"/>
          <w:type w:val="continuous"/>
        </w:sectPr>
      </w:pPr>
    </w:p>
    <w:p>
      <w:pPr>
        <w:spacing w:after="0" w:line="2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The percentage obtained when dividing Operating  ●</w:t>
      </w:r>
      <w:r>
        <w:rPr>
          <w:sz w:val="20"/>
          <w:szCs w:val="20"/>
          <w:color w:val="auto"/>
        </w:rPr>
        <w:tab/>
      </w:r>
      <w:r>
        <w:rPr>
          <w:rFonts w:ascii="Times New Roman" w:cs="Times New Roman" w:eastAsia="Times New Roman" w:hAnsi="Times New Roman"/>
          <w:sz w:val="17"/>
          <w:szCs w:val="17"/>
          <w:color w:val="auto"/>
        </w:rPr>
        <w:t>To assess operational profitability of the Company across time periods.</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income by Revenues.</w:t>
      </w:r>
    </w:p>
    <w:p>
      <w:pPr>
        <w:sectPr>
          <w:pgSz w:w="11900" w:h="16838" w:orient="portrait"/>
          <w:cols w:equalWidth="0" w:num="1">
            <w:col w:w="11240"/>
          </w:cols>
          <w:pgMar w:left="320" w:top="225" w:right="339" w:bottom="1440" w:gutter="0" w:footer="0" w:header="0"/>
          <w:type w:val="continuous"/>
        </w:sectPr>
      </w:pPr>
    </w:p>
    <w:p>
      <w:pPr>
        <w:spacing w:after="0" w:line="31" w:lineRule="exact"/>
        <w:rPr>
          <w:sz w:val="20"/>
          <w:szCs w:val="20"/>
          <w:color w:val="auto"/>
        </w:rPr>
      </w:pPr>
    </w:p>
    <w:p>
      <w:pPr>
        <w:ind w:left="1480" w:hanging="1470"/>
        <w:spacing w:after="0" w:line="313"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 margin</w:t>
      </w:r>
      <w:r>
        <w:rPr>
          <w:sz w:val="20"/>
          <w:szCs w:val="20"/>
          <w:color w:val="auto"/>
        </w:rPr>
        <w:tab/>
      </w:r>
      <w:r>
        <w:rPr>
          <w:rFonts w:ascii="Times New Roman" w:cs="Times New Roman" w:eastAsia="Times New Roman" w:hAnsi="Times New Roman"/>
          <w:sz w:val="18"/>
          <w:szCs w:val="18"/>
          <w:color w:val="auto"/>
        </w:rPr>
        <w:t>The percentage obtained when dividing EBITDA by ●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60" w:firstLine="63"/>
        <w:spacing w:after="0" w:line="257" w:lineRule="auto"/>
        <w:rPr>
          <w:sz w:val="20"/>
          <w:szCs w:val="20"/>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sz w:val="20"/>
          <w:szCs w:val="20"/>
          <w:color w:val="auto"/>
        </w:rPr>
      </w:pPr>
    </w:p>
    <w:p>
      <w:pPr>
        <w:jc w:val="both"/>
        <w:ind w:right="40" w:firstLine="68"/>
        <w:spacing w:after="0" w:line="250" w:lineRule="auto"/>
        <w:rPr>
          <w:sz w:val="20"/>
          <w:szCs w:val="20"/>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sz w:val="20"/>
          <w:szCs w:val="20"/>
          <w:color w:val="auto"/>
        </w:rPr>
      </w:pPr>
    </w:p>
    <w:p>
      <w:pPr>
        <w:jc w:val="both"/>
        <w:ind w:right="60" w:firstLine="91"/>
        <w:spacing w:after="0" w:line="253" w:lineRule="auto"/>
        <w:rPr>
          <w:sz w:val="20"/>
          <w:szCs w:val="20"/>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187" w:lineRule="exact"/>
        <w:rPr>
          <w:sz w:val="20"/>
          <w:szCs w:val="20"/>
          <w:color w:val="auto"/>
        </w:rPr>
      </w:pPr>
    </w:p>
    <w:p>
      <w:pPr>
        <w:sectPr>
          <w:pgSz w:w="11900" w:h="16838" w:orient="portrait"/>
          <w:cols w:equalWidth="0" w:num="2">
            <w:col w:w="5560" w:space="220"/>
            <w:col w:w="546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68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The percentage obtained when dividing Adjusted  ●</w:t>
            </w:r>
          </w:p>
        </w:tc>
        <w:tc>
          <w:tcPr>
            <w:tcW w:w="5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 assess profitability before the impact of all of the items in calculating</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6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EBITDA by Revenues.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020" w:type="dxa"/>
            <w:vAlign w:val="bottom"/>
          </w:tcPr>
          <w:p>
            <w:pPr>
              <w:spacing w:after="0"/>
              <w:rPr>
                <w:sz w:val="18"/>
                <w:szCs w:val="18"/>
                <w:color w:val="auto"/>
              </w:rPr>
            </w:pPr>
          </w:p>
        </w:tc>
        <w:tc>
          <w:tcPr>
            <w:tcW w:w="4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a consistent comparable metric for profitability of the</w:t>
            </w: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020" w:type="dxa"/>
            <w:vAlign w:val="bottom"/>
          </w:tcPr>
          <w:p>
            <w:pPr>
              <w:spacing w:after="0"/>
              <w:rPr>
                <w:sz w:val="18"/>
                <w:szCs w:val="18"/>
                <w:color w:val="auto"/>
              </w:rPr>
            </w:pPr>
          </w:p>
        </w:tc>
        <w:tc>
          <w:tcPr>
            <w:tcW w:w="4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 performance</w:t>
            </w: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34"/>
        </w:trPr>
        <w:tc>
          <w:tcPr>
            <w:tcW w:w="1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forecasts.</w:t>
            </w:r>
          </w:p>
        </w:tc>
      </w:tr>
      <w:tr>
        <w:trPr>
          <w:trHeight w:val="223"/>
        </w:trPr>
        <w:tc>
          <w:tcPr>
            <w:tcW w:w="102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28  Page</w:t>
      </w:r>
    </w:p>
    <w:p>
      <w:pPr>
        <w:sectPr>
          <w:pgSz w:w="11900" w:h="16838" w:orient="portrait"/>
          <w:cols w:equalWidth="0" w:num="1">
            <w:col w:w="11240"/>
          </w:cols>
          <w:pgMar w:left="320" w:top="225"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Change</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59,598</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(32,561)</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169,491</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(27,063)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(16,652)</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17,937</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(34,589)</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(256,462)</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42,637</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(299,099)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3,271</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837</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2,434</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14,221</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3,420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20,777</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10,287</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10,490</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72,420</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24,476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47,944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7,396</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29,061</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(21,665)</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(169,821)</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70,533</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(240,354)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(341)%</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3,795</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10,036</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(6,241)</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21,788</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22,585</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28,567</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150,810</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28,430</w:t>
            </w:r>
          </w:p>
        </w:tc>
        <w:tc>
          <w:tcPr>
            <w:tcW w:w="8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150,521</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 loss on</w:t>
            </w: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(23,284)</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(2,166)</w:t>
            </w: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digital assets</w:t>
            </w:r>
          </w:p>
        </w:tc>
        <w:tc>
          <w:tcPr>
            <w:tcW w:w="106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3,869</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(27,153)</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10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4,861</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equipment and</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prepayments, property, plant</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(8,903)</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75,213</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 and right-of-use assets</w:t>
            </w:r>
          </w:p>
        </w:tc>
        <w:tc>
          <w:tcPr>
            <w:tcW w:w="106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1,800</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(10,703)</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1100" w:type="dxa"/>
            <w:vAlign w:val="bottom"/>
            <w:vMerge w:val="continue"/>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73,413</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17,900</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property, plant and</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 and other</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(6,445)</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(4,628)</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(1,817)</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(42,156)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15,332</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(57,488)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1,126</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40,275</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(39,149)</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51,568</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113,540</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(61,972)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22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1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6"/>
              </w:rPr>
              <w:t>% Change</w:t>
            </w:r>
          </w:p>
        </w:tc>
        <w:tc>
          <w:tcPr>
            <w:tcW w:w="9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(12,084)</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38,985</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(51,069)</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10,518</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111,120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(1,101)</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(1,206)</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(3,443)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(4,425)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20,777</w:t>
            </w:r>
          </w:p>
        </w:tc>
        <w:tc>
          <w:tcPr>
            <w:tcW w:w="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10,287</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10,490</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72,420</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24,476</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of electrical components and</w:t>
            </w: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510</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1,773</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vMerge w:val="continue"/>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552</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1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392</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437</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1,316</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 (2)</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8,494</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49,055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(40,561)</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82,584</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134,884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59,598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142,428</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169,491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1"/>
        </w:trPr>
        <w:tc>
          <w:tcPr>
            <w:tcW w:w="33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w:t>
            </w: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purpose of calculating gross Mining</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margin:</w:t>
            </w: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(25,936)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32,456</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(138,985)</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(164,393)</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Hosting revenues</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1,101</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3,443</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is defined as Gross profit excluding depreciation and amortization and other minor items included in cost of revenues that do not directly relate to Mining related activities. “Gross Mining margin” is defined as the percentage obtained when dividing Gross Mining profit by Revenues from Mining 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22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selling BTC mined and in treasury and utilizing short-term debt, long-term debt and equity instruments to fund its expansion activities, operating expenses and debt service requirements. The Company anticipates requiring additional funds to complete its growth plans discussed in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has instituted certain foreign currency exchange controls which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availability of sufficient national foreign currency reserves. The Company sends funds periodically to Argentina to fund its expansion based on supplier invoices that are paid by the Argentinian subsidiary. The Argentinian subsidiary will provide Mining services to its Canadian parent which owns and will record revenue from the BTC mined in Argentina and, accordingly, the Argentinian subsidiary is not structured or contemplated to generate substantial cash flows above its internal requirements. The Argentinian subsidiary earns a market-based mark-up on the services it provides to its Canadian parent.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37"/>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125,595</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5,947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119,648</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09"/>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2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36,250</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(43,319)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79,569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(155,011)</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(208,998)</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53,987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24,010</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371,986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(347,976)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5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43</w:t>
            </w: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125,595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increased by $79.6 million during FY 2022 compared to FY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cash flows from operating activities was primarily driven by:</w:t>
      </w:r>
    </w:p>
    <w:p>
      <w:pPr>
        <w:spacing w:after="0" w:line="27"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9,063 BTC for total operating proceeds of $158.7 million during FY 2022, compared to 152 BTC for total proceeds of $6.4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million for the same period in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9" w:lineRule="exact"/>
        <w:rPr>
          <w:sz w:val="20"/>
          <w:szCs w:val="20"/>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and infrastructure costs of $26.2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G&amp;A expenses of $9.1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and financial expenses paid of $13.7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taxes paid of $15.0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working capital variances totaling $19.4 million that are explained in Section 12 - </w:t>
      </w:r>
      <w:r>
        <w:rPr>
          <w:rFonts w:ascii="Times New Roman" w:cs="Times New Roman" w:eastAsia="Times New Roman" w:hAnsi="Times New Roman"/>
          <w:sz w:val="18"/>
          <w:szCs w:val="18"/>
          <w:i w:val="1"/>
          <w:iCs w:val="1"/>
          <w:color w:val="auto"/>
        </w:rPr>
        <w:t>Financial Position</w:t>
      </w:r>
      <w:r>
        <w:rPr>
          <w:rFonts w:ascii="Times New Roman" w:cs="Times New Roman" w:eastAsia="Times New Roman" w:hAnsi="Times New Roman"/>
          <w:sz w:val="18"/>
          <w:szCs w:val="18"/>
          <w:color w:val="auto"/>
        </w:rPr>
        <w:t xml:space="preserve">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31  Page</w:t>
      </w:r>
    </w:p>
    <w:p>
      <w:pPr>
        <w:sectPr>
          <w:pgSz w:w="11900" w:h="16838" w:orient="portrait"/>
          <w:cols w:equalWidth="0" w:num="1">
            <w:col w:w="11240"/>
          </w:cols>
          <w:pgMar w:left="320" w:top="22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decreased by $54.0 million during FY 2022 compared to FY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flow used in investing activities is explained by:</w:t>
      </w:r>
    </w:p>
    <w:p>
      <w:pPr>
        <w:spacing w:after="0" w:line="27" w:lineRule="exact"/>
        <w:rPr>
          <w:sz w:val="20"/>
          <w:szCs w:val="20"/>
          <w:color w:val="auto"/>
        </w:rPr>
      </w:pPr>
    </w:p>
    <w:p>
      <w:pPr>
        <w:jc w:val="both"/>
        <w:ind w:left="660" w:hanging="328"/>
        <w:spacing w:after="0" w:line="250"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$51.6 million of net proceeds received from the purchase and disposition of marketable securities to fund the Argentina expansion activities compared to $6.1 million for the same period in 2021, as described in Note 28 - </w:t>
      </w:r>
      <w:r>
        <w:rPr>
          <w:rFonts w:ascii="Times New Roman" w:cs="Times New Roman" w:eastAsia="Times New Roman" w:hAnsi="Times New Roman"/>
          <w:sz w:val="18"/>
          <w:szCs w:val="18"/>
          <w:i w:val="1"/>
          <w:iCs w:val="1"/>
          <w:color w:val="auto"/>
        </w:rPr>
        <w:t>Additional Details to the Statement of Profit or Loss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Profit or Loss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 million in advance payments made on new PPE, and on construction deposits relating to the Argentina expansion, compared to $85.1 million in advanced payments made on new PPE for the same period in 2021; and</w:t>
      </w:r>
    </w:p>
    <w:p>
      <w:pPr>
        <w:ind w:left="660" w:hanging="328"/>
        <w:spacing w:after="0" w:line="260"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$23.0 million paid in FY 2021 for the business acquisition of a cryptocurrency Mining facility in Washington State. Refer to Note 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w:t>
      </w:r>
      <w:r>
        <w:rPr>
          <w:rFonts w:ascii="Times New Roman" w:cs="Times New Roman" w:eastAsia="Times New Roman" w:hAnsi="Times New Roman"/>
          <w:sz w:val="18"/>
          <w:szCs w:val="18"/>
          <w:color w:val="auto"/>
        </w:rPr>
        <w:t>to the Financial Statements.</w:t>
      </w:r>
    </w:p>
    <w:p>
      <w:pPr>
        <w:spacing w:after="0" w:line="181" w:lineRule="exact"/>
        <w:rPr>
          <w:sz w:val="20"/>
          <w:szCs w:val="20"/>
          <w:color w:val="auto"/>
        </w:rPr>
      </w:pPr>
    </w:p>
    <w:p>
      <w:pPr>
        <w:ind w:left="660" w:right="20" w:hanging="328"/>
        <w:spacing w:after="0" w:line="261"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$142.6 million of net additions to PPE for Miners and infrastructure during FY 2022, compared to $107.1 million of net additions for the same period in 2021; and</w:t>
      </w:r>
    </w:p>
    <w:p>
      <w:pPr>
        <w:ind w:left="660" w:hanging="328"/>
        <w:spacing w:after="0" w:line="260"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$43.2 million to purchase 1,000 BTC, of which a portion was sold for proceeds of $21.1 million. Refer to Section 11B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(capital resources - digital asset management program) </w:t>
      </w:r>
      <w:r>
        <w:rPr>
          <w:rFonts w:ascii="Times New Roman" w:cs="Times New Roman" w:eastAsia="Times New Roman" w:hAnsi="Times New Roman"/>
          <w:sz w:val="18"/>
          <w:szCs w:val="18"/>
          <w:color w:val="auto"/>
        </w:rPr>
        <w:t>of this MD&amp;A.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decreased by $348.0 million from $372.0 million for FY 2021 to $24.0 million for FY 2022.</w:t>
      </w:r>
    </w:p>
    <w:p>
      <w:pPr>
        <w:spacing w:after="0" w:line="207" w:lineRule="exact"/>
        <w:rPr>
          <w:sz w:val="20"/>
          <w:szCs w:val="20"/>
          <w:color w:val="auto"/>
        </w:rPr>
      </w:pPr>
    </w:p>
    <w:p>
      <w:pPr>
        <w:jc w:val="both"/>
        <w:ind w:left="660" w:hanging="328"/>
        <w:spacing w:after="0" w:line="257"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 Company raised $40.0 million of proceeds from the BTC-backed Credit Facility, $67.2 million of net proceeds from new long-term debt to help finance the purchase of new Miners and $54.1 million of net proceeds from the Company’s at-the-market equity offering program;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these proceeds were partially offset by payments relating to the credit facility, long-term debt and lease liabilities of approximately $100.0 million, $31.2 million and $6.1 million, respectively. The Credit Facility was fully repaid and extinguished on December 29, 2022;</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2021, $259.2 million was raised from the issuance of common shares and warrants, $63.3 million was raised from the exercise of warrants and stock options, $14.2 million was raised from long-term debt and $60.0 million was raised from the BTC-backed Credit Facility; and</w:t>
      </w:r>
    </w:p>
    <w:p>
      <w:pPr>
        <w:ind w:left="660" w:hanging="328"/>
        <w:spacing w:after="0" w:line="260"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FY 2021, these proceeds were partially offset by long-term debt and lease repayments of $20.5 million and $4.2 million, respectively, including the full repayment of the Dominion Loan. Refer to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22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the BlockFi Loan to align with market conditions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13, 2023, the Company announced that it was working to modify and reduce the indebtedness at one of its wholly-owned corporate subsidiaries, as described below.</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value of the assets securing the loan was estimated by Backbone Mining to be approximately $5.0 million, while the outstanding principal and interest was approximately $20.0 million. The Company determined that it would be advisable to seek from BlockFi more favorable terms that would be better aligned with the market outlook and the Company’s business strategy.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late December 2022, the Company began taking proactive actions, including not making installment payments, which constituted a default under the loan agreement and entitling BlockFi to exercise various rights and remedies against Backbone Mining and in respect of the collateral. As of December 31, 2022, BlockFi did not exercise rights or remedies against the Company as a result of the intentional payment defaults.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were unencumbered.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an at-the-market (“ATM”) equity offering program on August 16, 2021, by means of a prospectus supplement dated August 16, 2021, to the Company’s short form base shelf prospectus dated August 12, 2021, and U.S. registration statement on Form-F-10, which includes the prospectus supplement. The Company may, at its discretion and from time-to-time, sell common shares of the Company as would result in the Company receiving aggregate proceeds of up to $500 million. Since the ATM equity offering program commenced, the Company had issued 53,247,000 common shares for net proceeds of $199.7 million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v. Q4 2021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2022, the Company issued under the ATM 8,489,000 common shares in exchange for gross proceeds of $5.8 million at an average share price of approximately $0.68. The Company received net proceeds of $5.6 million after paying commissions of $0.2 million to the Company’s agent. During the three months ended December 31, 2021, the Company issued 17,593,000 common shares in exchange for gross proceeds of $113.9 million at an average share price of approximately $6.47. The Company received net proceeds of $110.4 million after paying commissions of $3.4 million to the Company’s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33  Page</w:t>
      </w:r>
    </w:p>
    <w:p>
      <w:pPr>
        <w:sectPr>
          <w:pgSz w:w="11900" w:h="16838" w:orient="portrait"/>
          <w:cols w:equalWidth="0" w:num="1">
            <w:col w:w="11240"/>
          </w:cols>
          <w:pgMar w:left="320" w:top="22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At-The-Market Equity Offering Program </w:t>
      </w:r>
      <w:r>
        <w:rPr>
          <w:rFonts w:ascii="Times New Roman" w:cs="Times New Roman" w:eastAsia="Times New Roman" w:hAnsi="Times New Roman"/>
          <w:sz w:val="18"/>
          <w:szCs w:val="18"/>
          <w:color w:val="auto"/>
        </w:rPr>
        <w:t>(Continued)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2022 v. FY 2021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FY 2022, the Company issued 29,324,000 common shares in exchange for gross proceeds of $56.0 million at an average share price of approximately $1.91. The Company received net proceeds of $54.1 million after paying commissions of $1.8 million to the Company’s agent, in addition to $0.1 million of other transaction fees. During the year ended December 31, 2021, the Company issued 23,923,000 common shares in exchange for gross proceeds of $150.3 million at an average share price of approximately $6.28. The Company received net proceeds of $145.6 million after paying commissions of $4.5 million to the Company’s agent, in addition to $0.2 million of other transaction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used and intends to continue to use the proceeds from the ATM equity offering program prudently to support the growth and development of the Company’s Mining operations, as described in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Described below are the actual use of proceeds from the commencement of the ATM equity offering program through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3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 of proceeds from</w:t>
            </w:r>
          </w:p>
        </w:tc>
        <w:tc>
          <w:tcPr>
            <w:tcW w:w="0" w:type="dxa"/>
            <w:vAlign w:val="bottom"/>
          </w:tcPr>
          <w:p>
            <w:pPr>
              <w:spacing w:after="0"/>
              <w:rPr>
                <w:sz w:val="1"/>
                <w:szCs w:val="1"/>
                <w:color w:val="auto"/>
              </w:rPr>
            </w:pPr>
          </w:p>
        </w:tc>
      </w:tr>
      <w:tr>
        <w:trPr>
          <w:trHeight w:val="194"/>
        </w:trPr>
        <w:tc>
          <w:tcPr>
            <w:tcW w:w="736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3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August 16, 2021 to</w:t>
            </w:r>
          </w:p>
        </w:tc>
        <w:tc>
          <w:tcPr>
            <w:tcW w:w="0" w:type="dxa"/>
            <w:vAlign w:val="bottom"/>
          </w:tcPr>
          <w:p>
            <w:pPr>
              <w:spacing w:after="0"/>
              <w:rPr>
                <w:sz w:val="1"/>
                <w:szCs w:val="1"/>
                <w:color w:val="auto"/>
              </w:rPr>
            </w:pPr>
          </w:p>
        </w:tc>
      </w:tr>
      <w:tr>
        <w:trPr>
          <w:trHeight w:val="238"/>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3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MicroBT Miners</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83,626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Bitmain Miners</w:t>
            </w:r>
          </w:p>
        </w:tc>
        <w:tc>
          <w:tcPr>
            <w:tcW w:w="3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Expansion</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26,106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Sherbrooke Expansion</w:t>
            </w:r>
          </w:p>
        </w:tc>
        <w:tc>
          <w:tcPr>
            <w:tcW w:w="3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21,812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 Expansion, net of gain on disposition of marketable securities</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40,283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Cowansville Expansion</w:t>
            </w:r>
          </w:p>
        </w:tc>
        <w:tc>
          <w:tcPr>
            <w:tcW w:w="3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573</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 Expansion</w:t>
            </w:r>
          </w:p>
        </w:tc>
        <w:tc>
          <w:tcPr>
            <w:tcW w:w="3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3,230</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199,687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continue to explore expansion opportunities in new and existing facilities, subject to market conditions and the ability to continue to obtain suitable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22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for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renegotiated its 48,000 Miner purchase agreement by extinguishing the outstanding commitment of $45.4 million without penalty and establishing a $22.4 million credit for deposits previously made which will be carried forward until the end of 2023 and applied against future purchase agreements. As of December 31, 2022, the Company no longer had any such commitments with any of its suppliers.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complete construction of warehouse #2 in Argentina and to initiate and complete the construction of warehouse #3 and #4 in Argentina, if the Company elects to do so. The Company also anticipates that additional financing will be required to purchase sufficient Miners for the Company to meet its objective of generating 6.0 Exahash of computer power by the end of 2023. In order to achieve its business objectives, the Company may sell or borrow against the BTC that have been accumulated as of the date hereof as well as BTC generated from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pursuant to which the Company added 3,301 BTC to its balance sheet during the year ended December 31, 2021. 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manage liquidity levels. On August 1, 2022, management received approval from the BOD to sell the daily production, in addition to any sale of up to 1,000 BTC from treasury should market conditions be justified in the discretion of management. During Q4 2022, the Company sold 1,359 BTC in collateral to repay the remaining balance of the Credit Facility in full and 1,734 BTC in treasury to manage liquidity levels. The purchase and disposal of BTC as described above while the Company continued to mine BTC resulted in the net reduction from December 31, 2021 to December 31, 2022 of 2,896 BTC for total holdings of 405 BTC as of December 31, 2022, valued at approximately $6.7 million based on a BTC price of approximately $16,500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225"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BTC is mined to multi-signature wallets that the Company controls. On a regular basis, the Company transfers BTC from its multi-signature wallets to an external third-party custodian, Coinbase Custody, LLC (“Coinbase Custody”).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the purposes of § 206 (4) -2(d)(6) of the U.S. Investment Advisers Act of 1940, as amended.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20, 2023, the Company has 385 BTC, net of BTC sales, valued at $10.7 million on its balance sheet. As of the date of this MD&amp;A, 99% of the Company’s BTC are held in custody with Coinbase Custody or held as collateral within Coinbase Custody by NYDIG, the counterparty to the Company’s equipment financing, which is classified as long-term debt in the statement of financial position.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however, the Company cannot ensure that the limits of this policy would be available to the Company or, if available, sufficient to make the Company whole for any BTC that are lost or stolen. The Company is unaware of:</w:t>
      </w:r>
    </w:p>
    <w:p>
      <w:pPr>
        <w:jc w:val="both"/>
        <w:ind w:firstLine="8"/>
        <w:spacing w:after="0" w:line="251" w:lineRule="auto"/>
        <w:tabs>
          <w:tab w:leader="none" w:pos="23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may not be recoverable in the event of bankruptcy by Coinbase or its affiliates. In its annual report, on Form 10-K, filed with the U.S. Securities Exchange Commission on February 21,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22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of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 and</w:t>
            </w:r>
          </w:p>
        </w:tc>
        <w:tc>
          <w:tcPr>
            <w:tcW w:w="1020" w:type="dxa"/>
            <w:vAlign w:val="bottom"/>
            <w:tcBorders>
              <w:top w:val="single" w:sz="8" w:color="auto"/>
            </w:tcBorders>
          </w:tcPr>
          <w:p>
            <w:pPr>
              <w:spacing w:after="0"/>
              <w:rPr>
                <w:sz w:val="18"/>
                <w:szCs w:val="18"/>
                <w:color w:val="auto"/>
              </w:rPr>
            </w:pPr>
          </w:p>
        </w:tc>
      </w:tr>
      <w:tr>
        <w:trPr>
          <w:trHeight w:val="238"/>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20,541</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20,541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45,747</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4,085</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49,832</w:t>
            </w:r>
          </w:p>
        </w:tc>
      </w:tr>
      <w:tr>
        <w:trPr>
          <w:trHeight w:val="24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4,333</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3,587</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2,493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2,408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21,690</w:t>
            </w:r>
          </w:p>
        </w:tc>
      </w:tr>
      <w:tr>
        <w:trPr>
          <w:trHeight w:val="244"/>
        </w:trPr>
        <w:tc>
          <w:tcPr>
            <w:tcW w:w="3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70,621</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7,672</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2,493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2,408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8,869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92,063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2023 repayment of long-term debt of $45.7 million is $20.0 million relating to the BlockFi Loan which was extinguished for $7.8 million in February 2023.</w:t>
      </w:r>
    </w:p>
    <w:p>
      <w:pPr>
        <w:spacing w:after="0" w:line="158"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2022, the Company renegotiated its 48,000 unit purchase agreements by extinguishing the outstanding commitment of $45.4 million without penalty and establishing a $22.4 million credit for deposits previously made which will be carried forward until the end of 2023 and applied against future purchase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no longer had commitments.</w:t>
      </w:r>
    </w:p>
    <w:p>
      <w:pPr>
        <w:spacing w:after="0" w:line="221"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20, 2023,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225"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POSITION</w:t>
      </w:r>
    </w:p>
    <w:p>
      <w:pPr>
        <w:spacing w:after="0" w:line="225"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Bitfarms had working capital of $1.8 million compared to $185.9 million as of December 31, 2021. The decrease in working capital was mostly due to the decrease by $146.2 million in total digital assets (including the digital assets pledged as collateral) following the disposal of 9,063 BTC. The proceeds from the disposal of BTC were used in part to pay down the Credit Facility for a net decrease of $60.0 million, which was offset by the net increase of the current portion of long-term debt by $32.8 million following the additional funds raised from the February 2022 BlockFi Loan and June 2022 equipment financing agreement with NYDIG. Other proceeds were used primarily to acquire PPE and make deposits to secure orders of Mining hardware and electrical distribution equipment, which resulted in a decrease of cash of $94.7 million when comparing to the working capital position as of December 31, 2022 to December 31, 2021.</w:t>
      </w:r>
    </w:p>
    <w:p>
      <w:pPr>
        <w:spacing w:after="0" w:line="185"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2022, Bitfarms had PPE of $219.4 million compared to $136.9 million as of December 31, 2021. The increase of $82.6 million, or 60%, was primarily due to a $59.3 million increase of PPE in Canada, mainly relating to building three new production facilities and the delivery of approximately 28,000 Miners in Sherbrooke, Quebec. It was offset by a $19.0 million decrease of PPE in the US mostly due to depreciation expense incurred on Miners purchased for the Washington facilities in 2021. Bitfarms also added PPE of $31.9 million mostly in connection with the construction of the first warehouse and Miners received in Rio Cuarto, Argentina and $12.2 million related to the expansion in Paraguay as Miners were in-transit as of December 31, 2022 and were installed subsequently in January 2023. Refer to section 8e -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for details on impairment recorded on PPE.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22 to the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in Note 23 to the Financial Statements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225"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disclosure controls and procedures (“DC&amp;P”), or caused to be designed under their supervision,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under the supervision of the Company’s CEO and CFO, has evaluated, or caused to be evaluated, the effectiveness of the Company’s DC&amp;P as defined in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as of December 31, 2022, and have concluded that such DC&amp;P were effective.</w:t>
      </w:r>
    </w:p>
    <w:p>
      <w:pPr>
        <w:spacing w:after="0" w:line="172"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it to be designed under their supervision, to provide reasonable assurance regarding the reliability of financial reporting and the preparation of financial statements for external purposes in accordance with IFRS.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under the supervision of the CEO and CFO of the Company, has evaluated the effectiveness of its ICFR as defined in National Instruments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The evaluation was based on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Company’s CEO and CFO, has evaluated or caused to be evaluated the effectiveness of its ICFR and concluded that, as of December 31, 2022, the ICFR were effective.</w:t>
      </w:r>
    </w:p>
    <w:p>
      <w:pPr>
        <w:spacing w:after="0" w:line="158"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have materially affected, or are reasonably likely to materially affect, the Company’s internal control over financial reporting during the period beginning on October 1, 2022 and ended December 31, 2022.</w:t>
      </w:r>
    </w:p>
    <w:p>
      <w:pPr>
        <w:spacing w:after="0" w:line="158"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no matter how well designed. As a result, the Company’s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22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At-The-Market Equity Offering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January 1, 2023, to March 20, 2023, the Company issued 14,185,000 common shares in exchange for gross proceeds of $14.6 million at an average share price of approximately $1.03. The Company received net proceeds of $14.1 million after paying commissions of $0.5 million to the Company’s agent.</w:t>
      </w:r>
    </w:p>
    <w:p>
      <w:pPr>
        <w:spacing w:after="0" w:line="172"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BlockFi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February 2023, the Company negotiated a settlement of its loan agreement with BlockFi with a then outstanding debt balance of $20.3 million for a payment of $7.8 million. As a result, a gain on extinguishment of long-term debt will be recognized in the amount of $12.6 million in the first quarter of 2023.</w:t>
      </w:r>
    </w:p>
    <w:p>
      <w:pPr>
        <w:spacing w:after="0" w:line="172"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Reliz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February 2023, the Company modified its lease agreement with Reliz Ltd. (where BlockFi was the lender to Reliz Ltd.) in order to settle its outstanding lease liability of $0.4 million for a payment of $0.1 million. As a result, a gain on extinguishment of long-term debt will be recognized in the amount of $0.3 million in the first quarter of 2023.</w:t>
      </w:r>
    </w:p>
    <w:p>
      <w:pPr>
        <w:spacing w:after="0" w:line="172"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Foundry Loans #2, #3 and #4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January 2023, the principal amount of the remaining Foundry Loans #2, #3 and #4 (as defined in the Financial statements) were fully repaid before their maturity date without prepayment penalty for $0.8 million.</w:t>
      </w:r>
    </w:p>
    <w:p>
      <w:pPr>
        <w:spacing w:after="0" w:line="158"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Disposition of Miners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2023, to March 20, 2023, the Company sold 409 Bitmain S19 XP Miners for proceeds of $1.7 million resulting in a loss on disposition of $0.6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238,385,000 common shares outstanding, 15,294,000 vested and 6,510,000 unvested stock options, 19,153,000 warrants outstanding and 400,000 restricted stock units. There are no preferred or any other classes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225"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and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MD&amp;A, as well as the risk factors, uncertainties, and other information disclosed in the Company’s other public filings before making an investment decision regarding the Company’s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Halving Event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May 2020, the BTC Block Reward decreased from 12.5 to 6.25 BTC per block (a “BTC Halving”), and, consequently, the number of new BTC issued to Miners as a subsidy decreased to approximately 900 per day, excluding transaction fees.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May 2020 BTC Halving had a significant negative impact on the Company’s profitability for several months following the BTC Halving. Given that profitability is required for self-acting agents to perform Mining to continue to support the validation of transactions, the expected impact of the BTC Halving is that market variables of BTC price will adjust over time to ensure that Mining remains profitable. The period of market normalization after the next BTC Halving to incentivizing profitability levels is unknown.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next BTC Halving is expected to occur in late April or early May 2024. Once 21 million BTC are generated, the network will stop producing more. While BTC prices have had a history of price fluctuations around BTC Halving events, there is no guarantee that the price change will be favorable or would compensate for the reduction in Mining reward.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BTC price and difficulty do not maintain or continue their trend of adjusting to pre-BTC Halving profitability levels over time, or the period of market normalization after the BTC Halving to pre-BTC Halving profitability levels is too long, there is a risk that the BTC Halving will render the Company unprofitable for a sustained time period such that it could be unable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22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BTC, in the Company’s principal market, ranged from approximately $15,600 to $48,100 during the year ended December 31, 2022 and ranged from approximately $28,700 to $68,800 during the year ended December 31, 2021. Because the Company does not currently hedge its investment in BTC, the Company is directly exposed to BTC’s price volatility and surrounding risks.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BTC at the time of those decisions. For example, the Company made purchase commitments in respect of a significant number of new Miners while BTC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BTC. BTC Mining companies’ stock has shown volatility relative to BTC, with many such stocks outperforming BTC in 2020 and 2021 but underperforming relative to BTC in 2022. For example, the closing price of the Company’s common shares on December 31, 2021 was $5.05 and the closing price of BTC was approximately $46,200 and, as of December 30, 2022, the closing price of the Company’s common shares was $0.44 and the closing price of BTC was approximately $16,500.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42  Page</w:t>
      </w:r>
    </w:p>
    <w:p>
      <w:pPr>
        <w:sectPr>
          <w:pgSz w:w="11900" w:h="16838" w:orient="portrait"/>
          <w:cols w:equalWidth="0" w:num="1">
            <w:col w:w="11240"/>
          </w:cols>
          <w:pgMar w:left="320" w:top="22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Valuation and Price Volatility of Cryptocurrencies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BTC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$0.38 to $5.39 on Nasdaq and CAD$0.52 to CAD$6.83 on the TSX-Venture Exchange and Toronto Stock Exchange from January 1, 2022 to December 31, 2022. The market price of the Company’s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Company’s common shares is in many cases directly tied to the price of BTC. Other factors that may impact the trading price of the Company’s common shares include:</w:t>
      </w:r>
    </w:p>
    <w:p>
      <w:pPr>
        <w:spacing w:after="0" w:line="189" w:lineRule="exact"/>
        <w:rPr>
          <w:sz w:val="20"/>
          <w:szCs w:val="20"/>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43  Page</w:t>
      </w:r>
    </w:p>
    <w:p>
      <w:pPr>
        <w:sectPr>
          <w:pgSz w:w="11900" w:h="16838" w:orient="portrait"/>
          <w:cols w:equalWidth="0" w:num="1">
            <w:col w:w="11240"/>
          </w:cols>
          <w:pgMar w:left="320" w:top="22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 Price Fluctuations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system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2022. The Company expects to continue to depend upon selling BTC mined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44  Page</w:t>
      </w:r>
    </w:p>
    <w:p>
      <w:pPr>
        <w:sectPr>
          <w:pgSz w:w="11900" w:h="16838" w:orient="portrait"/>
          <w:cols w:equalWidth="0" w:num="1">
            <w:col w:w="11240"/>
          </w:cols>
          <w:pgMar w:left="320" w:top="22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Future Capital Needs, Uncertainty of Additional Financing and Dilution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this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45  Page</w:t>
      </w:r>
    </w:p>
    <w:p>
      <w:pPr>
        <w:sectPr>
          <w:pgSz w:w="11900" w:h="16838" w:orient="portrait"/>
          <w:cols w:equalWidth="0" w:num="1">
            <w:col w:w="11240"/>
          </w:cols>
          <w:pgMar w:left="320" w:top="225"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which has contributed to the bankruptcy of several financial institutions or the rescue thereof by governmental authorities. The continuation of such adverse economic conditions and other related factors may affect the ability of the Company to obtain equity or debt financing in the future on terms favorable to it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BTC and interest rates. If the Company engages in hedging transactions, the Company may expose itself to risks associated with such transactions. Hedging against a decline in the values of portfolio investments caused by interest rate risk or volatile BTC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Possibility of BTC Mining Algorithms Transitioning to Proof of Stake Validation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BTC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Bitfarms, as a result of its efforts to optimize and improve the efficiency of its BTC Mining operations, may be exposed to the risk in the future of losing the benefit of Bitfarms’ capital investments and the competitive advantage Bitfarms hopes to gain from this as a result, and may be negatively impacted if a switch to proof of stake validation were to occur. Such events could have a material adverse effect on Bitfarms’ ability to continue as a going concern or to pursue its strategy at all, which could have a material adverse effect on Bitfarms’ business, prospects or operations and potentially the value of any BTC that Bitfarms mines or otherwise acquires or holds for its own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46  Page</w:t>
      </w:r>
    </w:p>
    <w:p>
      <w:pPr>
        <w:sectPr>
          <w:pgSz w:w="11900" w:h="16838" w:orient="portrait"/>
          <w:cols w:equalWidth="0" w:num="1">
            <w:col w:w="11240"/>
          </w:cols>
          <w:pgMar w:left="320" w:top="22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Hacking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computer network operated by the Company may be vulnerable to intrusions by hackers who could interfere with and introduce defects to the Mining operation. Private keys which enable holders to transfer funds may also be lost or stolen, resulting in irreversible losses of cryptocurrencies.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BTC or other cryptocurrencies the Company mines or otherwise acquires or holds for its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47  Page</w:t>
      </w:r>
    </w:p>
    <w:p>
      <w:pPr>
        <w:sectPr>
          <w:pgSz w:w="11900" w:h="16838" w:orient="portrait"/>
          <w:cols w:equalWidth="0" w:num="1">
            <w:col w:w="11240"/>
          </w:cols>
          <w:pgMar w:left="320" w:top="22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their chance of earning new BTC rewards. In theory, these dual processes should continually replicate themselves until the supply of available BTC is exhausted. In response, Mining Companies have attempted to achieve greater hashrate by deploying increasingly sophisticated and expensive Miners in ever greater quantities. If the price of BTC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and Paraguay and expects to conduct Mining in Argentina.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temporarily from EPEC in Rio Cuarto, Argentina. The Province of Québec mandates electrical service providers to supply their customers under an obligation to serve power delivery regime; consequently, the Company believes Hydro-Québec, Hydro-Sherbrooke and Hydro-Magog are reliable. Grant PUD and CLYFSA do not operate under highly regulated regimes, like the Province of Quebec. Any suspension of power or failure of electrical networks, however, could result in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48  Page</w:t>
      </w:r>
    </w:p>
    <w:p>
      <w:pPr>
        <w:sectPr>
          <w:pgSz w:w="11900" w:h="16838" w:orient="portrait"/>
          <w:cols w:equalWidth="0" w:num="1">
            <w:col w:w="11240"/>
          </w:cols>
          <w:pgMar w:left="320" w:top="22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de L’Énergie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2" w:lineRule="exact"/>
        <w:rPr>
          <w:sz w:val="20"/>
          <w:szCs w:val="20"/>
          <w:color w:val="auto"/>
        </w:rPr>
      </w:pPr>
    </w:p>
    <w:p>
      <w:pPr>
        <w:jc w:val="both"/>
        <w:ind w:left="340" w:hanging="332"/>
        <w:spacing w:after="0" w:line="261"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to the call for tenders process which is expected to launch shortly by Hydro-Québec. However, the Régie’s decision also means that the Company’s pre-existing operations at the Current Facilities will remain subject to the M or LG tariff in force, as the case may be, and they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 down of 95% of operations for the maximum of 300 hours could result in a revenue decrease of approximately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49  Page</w:t>
      </w:r>
    </w:p>
    <w:p>
      <w:pPr>
        <w:sectPr>
          <w:pgSz w:w="11900" w:h="16838" w:orient="portrait"/>
          <w:cols w:equalWidth="0" w:num="1">
            <w:col w:w="11240"/>
          </w:cols>
          <w:pgMar w:left="320" w:top="225"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ind w:left="340" w:hanging="332"/>
        <w:spacing w:after="0" w:line="253"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have already executed agreements with municipal electricity networks with non-firm service (without financial compensation) for at least 300 hours per year;</w:t>
      </w:r>
    </w:p>
    <w:p>
      <w:pPr>
        <w:ind w:left="660" w:hanging="328"/>
        <w:spacing w:after="0" w:line="250"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ind w:left="660" w:hanging="328"/>
        <w:spacing w:after="0" w:line="260" w:lineRule="auto"/>
        <w:tabs>
          <w:tab w:leader="none" w:pos="6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was still not able to put in place the allocation process approved by the Régie de l’énergie.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Hydro-Quebec request to suspend the allocation process for the granting of the 300 MW reserved block. The Régie decided to suspend the allocation process while it assesses the Supply Plan submitted by Hydro-Québec.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50  Page</w:t>
      </w:r>
    </w:p>
    <w:p>
      <w:pPr>
        <w:sectPr>
          <w:pgSz w:w="11900" w:h="16838" w:orient="portrait"/>
          <w:cols w:equalWidth="0" w:num="1">
            <w:col w:w="11240"/>
          </w:cols>
          <w:pgMar w:left="320" w:top="22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ind w:left="340" w:hanging="332"/>
        <w:spacing w:after="0" w:line="25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may adversely impact its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51  Page</w:t>
      </w:r>
    </w:p>
    <w:p>
      <w:pPr>
        <w:sectPr>
          <w:pgSz w:w="11900" w:h="16838" w:orient="portrait"/>
          <w:cols w:equalWidth="0" w:num="1">
            <w:col w:w="11240"/>
          </w:cols>
          <w:pgMar w:left="320" w:top="225"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completed the construction of a 10 MW facility in Paraguay (Villarrica). The facility is powered by CLYFSA. CLYFSA is the first private energy distribution company in Paraguay which purchases energy from ANDE, the operator of Paraguay’s national electricity grid, and provides power to almost 15,000 residential and commercial customers in Villarrica.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210 MW facility in Argentina (Rio Cuarto - Cordoba). The facility will receive electricity from Generacion Mediterranea S.A. (“GMSA”) one of the subsidiaries of Grupo Albanesi. Grupo Albanesi is an Argentine private corporate group focused on the energy market which provides natural gas and electrical energy to its clients from its multiple facilities.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52  Page</w:t>
      </w:r>
    </w:p>
    <w:p>
      <w:pPr>
        <w:sectPr>
          <w:pgSz w:w="11900" w:h="16838" w:orient="portrait"/>
          <w:cols w:equalWidth="0" w:num="1">
            <w:col w:w="11240"/>
          </w:cols>
          <w:pgMar w:left="320" w:top="22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Argentina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agreement also allows for GMSA to renegotiate the $0.02 per kilowatt hour rate if the ratio of the exchange rate under the blue-chip swap mechanism (refer to section 8d - </w:t>
      </w:r>
      <w:r>
        <w:rPr>
          <w:rFonts w:ascii="Times New Roman" w:cs="Times New Roman" w:eastAsia="Times New Roman" w:hAnsi="Times New Roman"/>
          <w:sz w:val="18"/>
          <w:szCs w:val="18"/>
          <w:i w:val="1"/>
          <w:iCs w:val="1"/>
          <w:color w:val="auto"/>
        </w:rPr>
        <w:t>Net financial income and expenses)</w:t>
      </w:r>
      <w:r>
        <w:rPr>
          <w:rFonts w:ascii="Times New Roman" w:cs="Times New Roman" w:eastAsia="Times New Roman" w:hAnsi="Times New Roman"/>
          <w:sz w:val="18"/>
          <w:szCs w:val="18"/>
          <w:color w:val="auto"/>
        </w:rPr>
        <w:t xml:space="preserve">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7" w:lineRule="exact"/>
        <w:rPr>
          <w:sz w:val="20"/>
          <w:szCs w:val="20"/>
          <w:color w:val="auto"/>
        </w:rPr>
      </w:pPr>
    </w:p>
    <w:p>
      <w:pPr>
        <w:ind w:left="660" w:hanging="328"/>
        <w:spacing w:after="0" w:line="261"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with GMSA also includes certain megawatt hour consumption thresholds and pro-rata adjustments. The Company’s production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consultants, personnel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53  Page</w:t>
      </w:r>
    </w:p>
    <w:p>
      <w:pPr>
        <w:sectPr>
          <w:pgSz w:w="11900" w:h="16838" w:orient="portrait"/>
          <w:cols w:equalWidth="0" w:num="1">
            <w:col w:w="11240"/>
          </w:cols>
          <w:pgMar w:left="320" w:top="22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assets markets and in BTC.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BTC)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this MD&amp;A) nor any material assets that may not be recovered or may otherwise be lost or misappropriated due to the bankruptcies, the failure or insolvency of large exchanges may cause the price of BTC to fall and decrease confidence in the ecosystem, which could adversely affect an investment in the Company. Such market volatility and decrease in BTC price have had a material and adverse effect on the Company’s results of operations and financial condition, and the Company expects its results of operations to continue to be affected by the BTC price as the results of its operations are significantly tied to the price of BTC.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BTC) or exchanges can result in a direct loss of the Company’s cryptocurrency and fiat currency assets, which loss may not be recoverable by the Company, whether under any insurance policies it has in place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54  Page</w:t>
      </w:r>
    </w:p>
    <w:p>
      <w:pPr>
        <w:sectPr>
          <w:pgSz w:w="11900" w:h="16838" w:orient="portrait"/>
          <w:cols w:equalWidth="0" w:num="1">
            <w:col w:w="11240"/>
          </w:cols>
          <w:pgMar w:left="320" w:top="22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mine is impossible to predict, but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If enacted into law,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55  Page</w:t>
      </w:r>
    </w:p>
    <w:p>
      <w:pPr>
        <w:sectPr>
          <w:pgSz w:w="11900" w:h="16838" w:orient="portrait"/>
          <w:cols w:equalWidth="0" w:num="1">
            <w:col w:w="11240"/>
          </w:cols>
          <w:pgMar w:left="320" w:top="225"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 In March 2023, the U.S. Treasury Department proposed a 30% excise tax on the cost of powering Mining facilities that, if enacted, would be based on the costs of electricity used in Mining and would be phased in over the next three years, increasing 10% each year. The proposal, if enacted, would also require Miners, like the Company, to report how much electricity they use and what type of power was tapped.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Failures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56  Page</w:t>
      </w:r>
    </w:p>
    <w:p>
      <w:pPr>
        <w:sectPr>
          <w:pgSz w:w="11900" w:h="16838" w:orient="portrait"/>
          <w:cols w:equalWidth="0" w:num="1">
            <w:col w:w="11240"/>
          </w:cols>
          <w:pgMar w:left="320" w:top="22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are not described herein, and this MD&amp;A is not intended to be, nor should it be construed to be, legal or tax advice to any particular shareholder. Existing and prospective shareholders should consult their own tax advisors with respect to any such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a potential to reduce the profitability of the Company’s operations or cause delays in the development of its Mining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Mine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for such matters may be significant and could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57  Page</w:t>
      </w:r>
    </w:p>
    <w:p>
      <w:pPr>
        <w:sectPr>
          <w:pgSz w:w="11900" w:h="16838" w:orient="portrait"/>
          <w:cols w:equalWidth="0" w:num="1">
            <w:col w:w="11240"/>
          </w:cols>
          <w:pgMar w:left="320" w:top="22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Erroneous Transactions and Human Error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spacing w:after="0" w:line="187" w:lineRule="exact"/>
        <w:rPr>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Developments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including, in particular, in Argentina.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58  Page</w:t>
      </w:r>
    </w:p>
    <w:p>
      <w:pPr>
        <w:sectPr>
          <w:pgSz w:w="11900" w:h="16838" w:orient="portrait"/>
          <w:cols w:equalWidth="0" w:num="1">
            <w:col w:w="11240"/>
          </w:cols>
          <w:pgMar w:left="320" w:top="225"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Insurance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is not insured. Although Coinbase Custody maintains an insurance policy of $320 million for its cold storage, the limits of that policy may not be available to the Company or, if available, sufficient to make the Company whole for any BTC that are lost or stolen from its account. Therefore, a loss may be suffered with respect to the Company’s BTC that is not covered by insurance and for which no person is liable in damages.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of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59  Page</w:t>
      </w:r>
    </w:p>
    <w:p>
      <w:pPr>
        <w:sectPr>
          <w:pgSz w:w="11900" w:h="16838" w:orient="portrait"/>
          <w:cols w:equalWidth="0" w:num="1">
            <w:col w:w="11240"/>
          </w:cols>
          <w:pgMar w:left="320" w:top="225"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of acceptance and/or Widespread Use of Cryptocurrency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High-voltage Electricity Transmission and Industrial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ESG Practices and the Impacts of Climate Change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BTC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however,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60  Page</w:t>
      </w:r>
    </w:p>
    <w:p>
      <w:pPr>
        <w:sectPr>
          <w:pgSz w:w="11900" w:h="16838" w:orient="portrait"/>
          <w:cols w:equalWidth="0" w:num="1">
            <w:col w:w="11240"/>
          </w:cols>
          <w:pgMar w:left="320" w:top="22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Corruption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Bitfarms Canada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Bitfarms Canada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Bitfarms Canada operates, could have a material adverse effect on its business, prospects, financial condition or results of operations. In addition, as a result of the Bitfarms Canada’s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Bitfarms Canada’s common shares to decline. Investigations by governmental authorities could also have a material adverse effect on the business, consolidated results of operations, and consolidated financial condition of Bitfarms Canada.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Bitfarms Shares may suffer adverse tax consequences, including the treatment of gains realized on the sale of Bitfarms Shares as ordinary income, rather than as capital gain, the loss of the preferential income tax rate applicable to dividends received on Bitfarms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61  Page</w:t>
      </w:r>
    </w:p>
    <w:p>
      <w:pPr>
        <w:sectPr>
          <w:pgSz w:w="11900" w:h="16838" w:orient="portrait"/>
          <w:cols w:equalWidth="0" w:num="1">
            <w:col w:w="11240"/>
          </w:cols>
          <w:pgMar w:left="320" w:top="225"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 and Infectious Disease Risk (including COVID-19)</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62  Page</w:t>
      </w:r>
    </w:p>
    <w:p>
      <w:pPr>
        <w:sectPr>
          <w:pgSz w:w="11900" w:h="16838" w:orient="portrait"/>
          <w:cols w:equalWidth="0" w:num="1">
            <w:col w:w="11240"/>
          </w:cols>
          <w:pgMar w:left="320" w:top="225"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management to make certain estimates, judgments and assumptions that affect the reported amounts of assets and liabilities at the date of the Financial Statements and the reported amounts of revenues and expenses during the reporting period. Actual outcomes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include estimates that, by their nature, are uncertain. Key areas of estimation uncertainty include those relating to:</w:t>
      </w:r>
    </w:p>
    <w:p>
      <w:pPr>
        <w:spacing w:after="0" w:line="225" w:lineRule="exact"/>
        <w:rPr>
          <w:sz w:val="20"/>
          <w:szCs w:val="20"/>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(Note 4 and Note 9 to the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 going concern (Note 2 and Note 4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(Note 4 and Note 18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intangible assets (Note 4, Note 12 and Note 13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reversal of impairment of non-financial assets (Note 4 and Note 11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(Note 4 and Note 5 to the Financial Statements);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of long-term debt (Note 4 and Note 17 to the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impacts of such estimates are pervasive throughout the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to the Financial Statements for more information regarding the Company’s significant accounting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POLICIES AND NEW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to the Financial Statements for more information regarding the Company’s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63  Page</w:t>
      </w:r>
    </w:p>
    <w:p>
      <w:pPr>
        <w:sectPr>
          <w:pgSz w:w="11900" w:h="16838" w:orient="portrait"/>
          <w:cols w:equalWidth="0" w:num="1">
            <w:col w:w="11240"/>
          </w:cols>
          <w:pgMar w:left="320" w:top="22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378" w:lineRule="exact"/>
        <w:rPr>
          <w:sz w:val="20"/>
          <w:szCs w:val="20"/>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and BTC network difficulty;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technology sector;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share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64  Page</w:t>
      </w:r>
    </w:p>
    <w:p>
      <w:pPr>
        <w:sectPr>
          <w:pgSz w:w="11900" w:h="16838" w:orient="portrait"/>
          <w:cols w:equalWidth="0" w:num="1">
            <w:col w:w="11240"/>
          </w:cols>
          <w:pgMar w:left="320" w:top="225"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risks and uncertainties include: (Continued)</w:t>
      </w:r>
    </w:p>
    <w:p>
      <w:pPr>
        <w:spacing w:after="0" w:line="27" w:lineRule="exact"/>
        <w:rPr>
          <w:sz w:val="20"/>
          <w:szCs w:val="20"/>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pandemic;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section “Risk Factors” of the Annual Information Form of the Company dated March 20, 2023.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NON-IFRS FINANCIAL MEASURES AND RATIOS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and do not have a standardized meaning prescribed by IFRS. They are therefore unlikely to be comparable to similar measures presented by other companies. The Company uses non-IFRS financial measures and ratios including “Gross margin,” “EBITDA,” “EBITDA margin,” “Adjusted EBITDA,” “Adjusted EBITDA margin,” “Gross Mining profit,” “Operating margin,” and “Gross Mining margin” as additional information to complement IFRS measures by providing further understanding of the Company’s results of operations from management’s perspective. Refer to Section 10 - </w:t>
      </w:r>
      <w:r>
        <w:rPr>
          <w:rFonts w:ascii="Times New Roman" w:cs="Times New Roman" w:eastAsia="Times New Roman" w:hAnsi="Times New Roman"/>
          <w:sz w:val="18"/>
          <w:szCs w:val="18"/>
          <w:i w:val="1"/>
          <w:iCs w:val="1"/>
          <w:color w:val="auto"/>
        </w:rPr>
        <w:t>Non-IFRS Financial Measures and Ratios</w:t>
      </w:r>
      <w:r>
        <w:rPr>
          <w:rFonts w:ascii="Times New Roman" w:cs="Times New Roman" w:eastAsia="Times New Roman" w:hAnsi="Times New Roman"/>
          <w:sz w:val="18"/>
          <w:szCs w:val="18"/>
          <w:color w:val="auto"/>
        </w:rPr>
        <w:t xml:space="preserve"> of the MD&amp;A for more details.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Annual Information Form, are available through the internet on SEDAR at www.sedar.com and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65  Page</w:t>
      </w:r>
    </w:p>
    <w:p>
      <w:pPr>
        <w:sectPr>
          <w:pgSz w:w="11900" w:h="16838" w:orient="portrait"/>
          <w:cols w:equalWidth="0" w:num="1">
            <w:col w:w="11240"/>
          </w:cols>
          <w:pgMar w:left="320" w:top="22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64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ASIC</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the SHA-256 algorithm, as well as other machines used in the Mining of Litecoin which use the Scrypt algorithm.</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Bitcoin (BTC)</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BTC network without the need for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known as the Blockchain. BTC is created when the BTC network issues Block Rewards through the Mining process.</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Block Reward</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 BTC block reward refers to the new BTC that are awarded by the Blockchain network to eligible cryptocurrency Miners for</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each block they successfully mine. The current block reward is 6.25 BTC per block.</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Blockchain</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 Blockchain</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grows as new sets of data, or ‘blocks’, are added to it through Mining. Each block contains a timestamp and a link to the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previous block, such that the series of blocks form a continuous chain. Given that each block has a separate hash and each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hash requires information from the previous block, altering information an established block would require recalculating all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hashes on the Blockchain which would require an enormous and impracticable amount of computing power. As a result,</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once a block is added to the Blockchain it is very difficult to edit and impossible to delete.</w:t>
            </w:r>
          </w:p>
        </w:tc>
      </w:tr>
      <w:tr>
        <w:trPr>
          <w:trHeight w:val="209"/>
        </w:trPr>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Exahash</w:t>
            </w: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One quintillion (1,000,000,000,000,000,000) hashes per second or one million Terahash.</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Hash</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BTC</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Hashrate</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Megawatt</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209"/>
        </w:trPr>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services, BTC Miners collect transaction fees for the transactions they confirm, along with newly created BTC as Block</w:t>
            </w:r>
          </w:p>
        </w:tc>
      </w:tr>
      <w:tr>
        <w:trPr>
          <w:trHeight w:val="234"/>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Rewards.</w:t>
            </w:r>
          </w:p>
        </w:tc>
      </w:tr>
      <w:tr>
        <w:trPr>
          <w:trHeight w:val="191"/>
        </w:trPr>
        <w:tc>
          <w:tcPr>
            <w:tcW w:w="16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Mining Pool</w:t>
            </w:r>
          </w:p>
        </w:tc>
        <w:tc>
          <w:tcPr>
            <w:tcW w:w="96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 increase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probability of finding a block on the BTC Blockchain. Mining pools administer regular payouts to mitigate the risk of</w:t>
            </w:r>
          </w:p>
        </w:tc>
      </w:tr>
      <w:tr>
        <w:trPr>
          <w:trHeight w:val="241"/>
        </w:trPr>
        <w:tc>
          <w:tcPr>
            <w:tcW w:w="1600" w:type="dxa"/>
            <w:vAlign w:val="bottom"/>
            <w:tcBorders>
              <w:bottom w:val="single" w:sz="8" w:color="auto"/>
            </w:tcBorders>
          </w:tcPr>
          <w:p>
            <w:pPr>
              <w:spacing w:after="0"/>
              <w:rPr>
                <w:sz w:val="20"/>
                <w:szCs w:val="20"/>
                <w:color w:val="auto"/>
              </w:rPr>
            </w:pPr>
          </w:p>
        </w:tc>
        <w:tc>
          <w:tcPr>
            <w:tcW w:w="96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Miners operating for a prolonged period of time without finding a block.</w:t>
            </w:r>
          </w:p>
        </w:tc>
      </w:tr>
      <w:tr>
        <w:trPr>
          <w:trHeight w:val="439"/>
        </w:trPr>
        <w:tc>
          <w:tcPr>
            <w:tcW w:w="16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9100" w:type="dxa"/>
            <w:vAlign w:val="bottom"/>
            <w:tcBorders>
              <w:right w:val="single" w:sz="8" w:color="auto"/>
            </w:tcBorders>
          </w:tcPr>
          <w:p>
            <w:pPr>
              <w:ind w:left="8840"/>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22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24. GLOSSARY OF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BTC network protocol</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automatically adjusts Network Difficulty by changing the target every 2,016 blocks hashed based on the time it took for the</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total computing power used in BTC Mining to solve the previous 2,016 blocks such that the average time to solve each block is</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ten minutes.</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Petahash</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One quadrillion (1,000,000,000,000,000) hashes per second or one thousand Terahash.</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 the</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cryptographic hash function used within the BTC network to validate transactions on the BTC Blockchain.</w:t>
            </w:r>
          </w:p>
        </w:tc>
      </w:tr>
      <w:tr>
        <w:trPr>
          <w:trHeight w:val="27"/>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Terahash</w:t>
            </w: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One trillion (1,000,000,000,000) hashes per second.</w:t>
            </w:r>
          </w:p>
        </w:tc>
      </w:tr>
      <w:tr>
        <w:trPr>
          <w:trHeight w:val="34"/>
        </w:trPr>
        <w:tc>
          <w:tcPr>
            <w:tcW w:w="174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655"/>
        </w:trPr>
        <w:tc>
          <w:tcPr>
            <w:tcW w:w="174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8960" w:type="dxa"/>
            <w:vAlign w:val="bottom"/>
            <w:tcBorders>
              <w:right w:val="single" w:sz="8" w:color="auto"/>
            </w:tcBorders>
          </w:tcPr>
          <w:p>
            <w:pPr>
              <w:ind w:left="8700"/>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225"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Geoffrey Morphy, certify that:</w:t>
      </w:r>
    </w:p>
    <w:p>
      <w:pPr>
        <w:spacing w:after="0" w:line="225" w:lineRule="exact"/>
        <w:rPr>
          <w:sz w:val="20"/>
          <w:szCs w:val="20"/>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Bitfarms Ltd. (the “issuer”);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2023</w:t>
      </w:r>
      <w:r>
        <w:rPr>
          <w:sz w:val="20"/>
          <w:szCs w:val="20"/>
          <w:color w:val="auto"/>
        </w:rPr>
        <w:tab/>
      </w:r>
      <w:r>
        <w:rPr>
          <w:rFonts w:ascii="Times New Roman" w:cs="Times New Roman" w:eastAsia="Times New Roman" w:hAnsi="Times New Roman"/>
          <w:sz w:val="17"/>
          <w:szCs w:val="17"/>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17"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certify that:</w:t>
      </w:r>
    </w:p>
    <w:p>
      <w:pPr>
        <w:spacing w:after="0" w:line="225" w:lineRule="exact"/>
        <w:rPr>
          <w:sz w:val="20"/>
          <w:szCs w:val="20"/>
          <w:color w:val="auto"/>
        </w:rPr>
      </w:pPr>
    </w:p>
    <w:p>
      <w:pPr>
        <w:ind w:left="660" w:hanging="328"/>
        <w:spacing w:after="0"/>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Bitfarms Ltd. (the “issuer”);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2023</w:t>
      </w:r>
      <w:r>
        <w:rPr>
          <w:sz w:val="20"/>
          <w:szCs w:val="20"/>
          <w:color w:val="auto"/>
        </w:rPr>
        <w:tab/>
      </w:r>
      <w:r>
        <w:rPr>
          <w:rFonts w:ascii="Times New Roman" w:cs="Times New Roman" w:eastAsia="Times New Roman" w:hAnsi="Times New Roman"/>
          <w:sz w:val="17"/>
          <w:szCs w:val="17"/>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 for the period ended December 31, 2022 as filed with the Securities and Exchange Commission on the date hereof (the “Report”), I, L. Geoffrey Morphy, Chief Executive Officer of the Company, certify, pursuant to 18 U.S.C.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2023</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 for the period ended December 31, 2022 as filed with the Securities and Exchange Commission on the date hereof (the “Report”), I, Jeffrey Lucas, Chief Financial Officer of the Company, certify, pursuant to 18 U.S.C.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2023</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14070" cy="6261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40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Annual Report on Form 40-F for the year ended December 31, 2022 of Bitfarms Ltd. of our report dated March 20, 2023, relating to the consolidated financial statements, which appears in Exhibit 99.2 to this Annual Report on Form 40-F.</w:t>
      </w:r>
    </w:p>
    <w:p>
      <w:pPr>
        <w:spacing w:after="0" w:line="16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We also consent to the incorporation by reference in the Registration Statement on Form F-10 (No. 333-258788) of Bitfarms Ltd. of our report dated March 20, 2023 referred to above. We also consent to the references to us under the heading “Interests of Experts”, which appears in the Annual Information Form included in Exhibit 99.1 incorporated by reference in this Annual Report on Form 40- F, which is incorporated by reference in such Registration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Oakville,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Centre, 354 Davis Road, Suite 600, Oakville, Ontario, Canada L6J 0C5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+1 905 815 6300, F: +1 905 815 6499, www.pwc.com/ca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refers to PricewaterhouseCoopers LLP, an Ontario limited liability partnership.</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lvl w:ilvl="1">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1"/>
      <w:numFmt w:val="decimal"/>
      <w:start w:val="104"/>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lvl w:ilvl="1">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lvl w:ilvl="1">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1)"/>
      <w:numFmt w:val="lowerRoman"/>
      <w:start w:val="1"/>
    </w:lvl>
  </w:abstractNum>
  <w:abstractNum w:abstractNumId="15">
    <w:nsid w:val="3DD15094"/>
    <w:multiLevelType w:val="hybridMultilevel"/>
    <w:lvl w:ilvl="0">
      <w:lvlJc w:val="left"/>
      <w:lvlText w:val="o"/>
      <w:numFmt w:val="bullet"/>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lvl w:ilvl="1">
      <w:lvlJc w:val="left"/>
      <w:lvlText w:val="%2)"/>
      <w:numFmt w:val="lowerLetter"/>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1)"/>
      <w:numFmt w:val="decimal"/>
      <w:start w:val="1"/>
    </w:lvl>
  </w:abstractNum>
  <w:abstractNum w:abstractNumId="24">
    <w:nsid w:val="56438D15"/>
    <w:multiLevelType w:val="hybridMultilevel"/>
    <w:lvl w:ilvl="0">
      <w:lvlJc w:val="left"/>
      <w:lvlText w:val="(%1)"/>
      <w:numFmt w:val="lowerLetter"/>
      <w:start w:val="1"/>
    </w:lvl>
  </w:abstractNum>
  <w:abstractNum w:abstractNumId="25">
    <w:nsid w:val="519E3149"/>
    <w:multiLevelType w:val="hybridMultilevel"/>
    <w:lvl w:ilvl="0">
      <w:lvlJc w:val="left"/>
      <w:lvlText w:val="(%1)"/>
      <w:numFmt w:val="lowerLetter"/>
      <w:start w:val="1"/>
    </w:lvl>
    <w:lvl w:ilvl="1">
      <w:lvlJc w:val="left"/>
      <w:lvlText w:val="(%2)"/>
      <w:numFmt w:val="lowerRoman"/>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1)"/>
      <w:numFmt w:val="decimal"/>
      <w:start w:val="1"/>
    </w:lvl>
  </w:abstractNum>
  <w:abstractNum w:abstractNumId="28">
    <w:nsid w:val="4DF72E4E"/>
    <w:multiLevelType w:val="hybridMultilevel"/>
    <w:lvl w:ilvl="0">
      <w:lvlJc w:val="left"/>
      <w:lvlText w:val="(%1)"/>
      <w:numFmt w:val="decimal"/>
      <w:start w:val="1"/>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1."/>
      <w:numFmt w:val="decimal"/>
      <w:start w:val="1"/>
    </w:lvl>
  </w:abstractNum>
  <w:abstractNum w:abstractNumId="31">
    <w:nsid w:val="2A082C70"/>
    <w:multiLevelType w:val="hybridMultilevel"/>
    <w:lvl w:ilvl="0">
      <w:lvlJc w:val="left"/>
      <w:lvlText w:val="%1."/>
      <w:numFmt w:val="decimal"/>
      <w:start w:val="1"/>
    </w:lvl>
  </w:abstractNum>
  <w:abstractNum w:abstractNumId="32">
    <w:nsid w:val="5EC6AFD4"/>
    <w:multiLevelType w:val="hybridMultilevel"/>
    <w:lvl w:ilvl="0">
      <w:lvlJc w:val="left"/>
      <w:lvlText w:val="(%1)"/>
      <w:numFmt w:val="lowerLetter"/>
      <w:start w:val="1"/>
    </w:lvl>
  </w:abstractNum>
  <w:abstractNum w:abstractNumId="33">
    <w:nsid w:val="19E21BB2"/>
    <w:multiLevelType w:val="hybridMultilevel"/>
    <w:lvl w:ilvl="0">
      <w:lvlJc w:val="left"/>
      <w:lvlText w:val="(%1)"/>
      <w:numFmt w:val="lowerLetter"/>
      <w:start w:val="1"/>
    </w:lvl>
  </w:abstractNum>
  <w:abstractNum w:abstractNumId="34">
    <w:nsid w:val="75E0858A"/>
    <w:multiLevelType w:val="hybridMultilevel"/>
    <w:lvl w:ilvl="0">
      <w:lvlJc w:val="left"/>
      <w:lvlText w:val="(%1)"/>
      <w:numFmt w:val="lowerLetter"/>
      <w:start w:val="1"/>
    </w:lvl>
  </w:abstractNum>
  <w:abstractNum w:abstractNumId="35">
    <w:nsid w:val="57A61A29"/>
    <w:multiLevelType w:val="hybridMultilevel"/>
    <w:lvl w:ilvl="0">
      <w:lvlJc w:val="left"/>
      <w:lvlText w:val="(%1)"/>
      <w:numFmt w:val="lowerLetter"/>
      <w:start w:val="5"/>
    </w:lvl>
  </w:abstractNum>
  <w:abstractNum w:abstractNumId="36">
    <w:nsid w:val="5399C654"/>
    <w:multiLevelType w:val="hybridMultilevel"/>
    <w:lvl w:ilvl="0">
      <w:lvlJc w:val="left"/>
      <w:lvlText w:val="(%1)"/>
      <w:numFmt w:val="lowerLetter"/>
      <w:start w:val="1"/>
    </w:lvl>
  </w:abstractNum>
  <w:abstractNum w:abstractNumId="37">
    <w:nsid w:val="20EE1348"/>
    <w:multiLevelType w:val="hybridMultilevel"/>
    <w:lvl w:ilvl="0">
      <w:lvlJc w:val="left"/>
      <w:lvlText w:val="(%1)"/>
      <w:numFmt w:val="lowerLetter"/>
      <w:start w:val="7"/>
    </w:lvl>
  </w:abstractNum>
  <w:abstractNum w:abstractNumId="38">
    <w:nsid w:val="4427069A"/>
    <w:multiLevelType w:val="hybridMultilevel"/>
    <w:lvl w:ilvl="0">
      <w:lvlJc w:val="left"/>
      <w:lvlText w:val="(%1)"/>
      <w:numFmt w:val="lowerLetter"/>
      <w:start w:val="1"/>
    </w:lvl>
  </w:abstractNum>
  <w:abstractNum w:abstractNumId="39">
    <w:nsid w:val="B37E80A"/>
    <w:multiLevelType w:val="hybridMultilevel"/>
    <w:lvl w:ilvl="0">
      <w:lvlJc w:val="left"/>
      <w:lvlText w:val="(%1)"/>
      <w:numFmt w:val="lowerLetter"/>
      <w:start w:val="1"/>
    </w:lvl>
  </w:abstractNum>
  <w:abstractNum w:abstractNumId="40">
    <w:nsid w:val="2157F6BC"/>
    <w:multiLevelType w:val="hybridMultilevel"/>
    <w:lvl w:ilvl="0">
      <w:lvlJc w:val="left"/>
      <w:lvlText w:val="(%1)"/>
      <w:numFmt w:val="lowerLetter"/>
      <w:start w:val="1"/>
    </w:lvl>
  </w:abstractNum>
  <w:abstractNum w:abstractNumId="41">
    <w:nsid w:val="704E1DD5"/>
    <w:multiLevelType w:val="hybridMultilevel"/>
    <w:lvl w:ilvl="0">
      <w:lvlJc w:val="left"/>
      <w:lvlText w:val="%1."/>
      <w:numFmt w:val="decimal"/>
      <w:start w:val="1"/>
    </w:lvl>
    <w:lvl w:ilvl="1">
      <w:lvlJc w:val="left"/>
      <w:lvlText w:val="(%2)"/>
      <w:numFmt w:val="lowerLetter"/>
      <w:start w:val="1"/>
    </w:lvl>
  </w:abstractNum>
  <w:abstractNum w:abstractNumId="42">
    <w:nsid w:val="57D2F10E"/>
    <w:multiLevelType w:val="hybridMultilevel"/>
    <w:lvl w:ilvl="0">
      <w:lvlJc w:val="left"/>
      <w:lvlText w:val="%1."/>
      <w:numFmt w:val="lowerLetter"/>
      <w:start w:val="1"/>
    </w:lvl>
  </w:abstractNum>
  <w:abstractNum w:abstractNumId="43">
    <w:nsid w:val="BFFAE18"/>
    <w:multiLevelType w:val="hybridMultilevel"/>
    <w:lvl w:ilvl="0">
      <w:lvlJc w:val="left"/>
      <w:lvlText w:val="%1."/>
      <w:numFmt w:val="lowerLetter"/>
      <w:start w:val="2"/>
    </w:lvl>
  </w:abstractNum>
  <w:abstractNum w:abstractNumId="44">
    <w:nsid w:val="E3E47A8"/>
    <w:multiLevelType w:val="hybridMultilevel"/>
    <w:lvl w:ilvl="0">
      <w:lvlJc w:val="left"/>
      <w:lvlText w:val="%1."/>
      <w:numFmt w:val="lowerLetter"/>
      <w:start w:val="2"/>
    </w:lvl>
  </w:abstractNum>
  <w:abstractNum w:abstractNumId="45">
    <w:nsid w:val="2E48F044"/>
    <w:multiLevelType w:val="hybridMultilevel"/>
    <w:lvl w:ilvl="0">
      <w:lvlJc w:val="left"/>
      <w:lvlText w:val="%1."/>
      <w:numFmt w:val="lowerRoman"/>
      <w:start w:val="1"/>
    </w:lvl>
  </w:abstractNum>
  <w:abstractNum w:abstractNumId="46">
    <w:nsid w:val="49D0FEAC"/>
    <w:multiLevelType w:val="hybridMultilevel"/>
    <w:lvl w:ilvl="0">
      <w:lvlJc w:val="left"/>
      <w:lvlText w:val="%1."/>
      <w:numFmt w:val="lowerRoman"/>
      <w:start w:val="2"/>
    </w:lvl>
  </w:abstractNum>
  <w:abstractNum w:abstractNumId="47">
    <w:nsid w:val="4BEE5A5B"/>
    <w:multiLevelType w:val="hybridMultilevel"/>
    <w:lvl w:ilvl="0">
      <w:lvlJc w:val="left"/>
      <w:lvlText w:val="%1."/>
      <w:numFmt w:val="lowerLetter"/>
      <w:start w:val="2"/>
    </w:lvl>
  </w:abstractNum>
  <w:abstractNum w:abstractNumId="48">
    <w:nsid w:val="5551B9F3"/>
    <w:multiLevelType w:val="hybridMultilevel"/>
    <w:lvl w:ilvl="0">
      <w:lvlJc w:val="left"/>
      <w:lvlText w:val="%1."/>
      <w:numFmt w:val="lowerRoman"/>
      <w:start w:val="1"/>
    </w:lvl>
  </w:abstractNum>
  <w:abstractNum w:abstractNumId="49">
    <w:nsid w:val="24F6AB8E"/>
    <w:multiLevelType w:val="hybridMultilevel"/>
    <w:lvl w:ilvl="0">
      <w:lvlJc w:val="left"/>
      <w:lvlText w:val="%1."/>
      <w:numFmt w:val="lowerRoman"/>
      <w:start w:val="2"/>
    </w:lvl>
  </w:abstractNum>
  <w:abstractNum w:abstractNumId="50">
    <w:nsid w:val="634C574C"/>
    <w:multiLevelType w:val="hybridMultilevel"/>
    <w:lvl w:ilvl="0">
      <w:lvlJc w:val="left"/>
      <w:lvlText w:val="%1."/>
      <w:numFmt w:val="lowerRoman"/>
      <w:start w:val="3"/>
    </w:lvl>
  </w:abstractNum>
  <w:abstractNum w:abstractNumId="51">
    <w:nsid w:val="24E99DD7"/>
    <w:multiLevelType w:val="hybridMultilevel"/>
    <w:lvl w:ilvl="0">
      <w:lvlJc w:val="left"/>
      <w:lvlText w:val="%1."/>
      <w:numFmt w:val="lowerLetter"/>
      <w:start w:val="2"/>
    </w:lvl>
  </w:abstractNum>
  <w:abstractNum w:abstractNumId="52">
    <w:nsid w:val="2A31B62D"/>
    <w:multiLevelType w:val="hybridMultilevel"/>
    <w:lvl w:ilvl="0">
      <w:lvlJc w:val="left"/>
      <w:lvlText w:val="%1."/>
      <w:numFmt w:val="lowerRoman"/>
      <w:start w:val="1"/>
    </w:lvl>
  </w:abstractNum>
  <w:abstractNum w:abstractNumId="53">
    <w:nsid w:val="1849C29B"/>
    <w:multiLevelType w:val="hybridMultilevel"/>
    <w:lvl w:ilvl="0">
      <w:lvlJc w:val="left"/>
      <w:lvlText w:val="%1."/>
      <w:numFmt w:val="lowerRoman"/>
      <w:start w:val="2"/>
    </w:lvl>
  </w:abstractNum>
  <w:abstractNum w:abstractNumId="54">
    <w:nsid w:val="7DFF9D09"/>
    <w:multiLevelType w:val="hybridMultilevel"/>
    <w:lvl w:ilvl="0">
      <w:lvlJc w:val="left"/>
      <w:lvlText w:val="%1."/>
      <w:numFmt w:val="lowerLetter"/>
      <w:start w:val="2"/>
    </w:lvl>
  </w:abstractNum>
  <w:abstractNum w:abstractNumId="55">
    <w:nsid w:val="754342"/>
    <w:multiLevelType w:val="hybridMultilevel"/>
    <w:lvl w:ilvl="0">
      <w:lvlJc w:val="left"/>
      <w:lvlText w:val="%1."/>
      <w:numFmt w:val="lowerRoman"/>
      <w:start w:val="1"/>
    </w:lvl>
  </w:abstractNum>
  <w:abstractNum w:abstractNumId="56">
    <w:nsid w:val="69E7F3E5"/>
    <w:multiLevelType w:val="hybridMultilevel"/>
    <w:lvl w:ilvl="0">
      <w:lvlJc w:val="left"/>
      <w:lvlText w:val="%1."/>
      <w:numFmt w:val="lowerLetter"/>
      <w:start w:val="2"/>
    </w:lvl>
  </w:abstractNum>
  <w:abstractNum w:abstractNumId="57">
    <w:nsid w:val="2A6DE806"/>
    <w:multiLevelType w:val="hybridMultilevel"/>
    <w:lvl w:ilvl="0">
      <w:lvlJc w:val="left"/>
      <w:lvlText w:val="%1."/>
      <w:numFmt w:val="lowerRoman"/>
      <w:start w:val="2"/>
    </w:lvl>
  </w:abstractNum>
  <w:abstractNum w:abstractNumId="58">
    <w:nsid w:val="1816F8C4"/>
    <w:multiLevelType w:val="hybridMultilevel"/>
    <w:lvl w:ilvl="0">
      <w:lvlJc w:val="left"/>
      <w:lvlText w:val="%1."/>
      <w:numFmt w:val="lowerRoman"/>
      <w:start w:val="3"/>
    </w:lvl>
  </w:abstractNum>
  <w:abstractNum w:abstractNumId="59">
    <w:nsid w:val="37DF2233"/>
    <w:multiLevelType w:val="hybridMultilevel"/>
    <w:lvl w:ilvl="0">
      <w:lvlJc w:val="left"/>
      <w:lvlText w:val="%1."/>
      <w:numFmt w:val="lowerLetter"/>
      <w:start w:val="2"/>
    </w:lvl>
  </w:abstractNum>
  <w:abstractNum w:abstractNumId="60">
    <w:nsid w:val="7AB49DAF"/>
    <w:multiLevelType w:val="hybridMultilevel"/>
    <w:lvl w:ilvl="0">
      <w:lvlJc w:val="left"/>
      <w:lvlText w:val="%1."/>
      <w:numFmt w:val="lowerLetter"/>
      <w:start w:val="2"/>
    </w:lvl>
  </w:abstractNum>
  <w:abstractNum w:abstractNumId="61">
    <w:nsid w:val="759F82CD"/>
    <w:multiLevelType w:val="hybridMultilevel"/>
    <w:lvl w:ilvl="0">
      <w:lvlJc w:val="left"/>
      <w:lvlText w:val="%1."/>
      <w:numFmt w:val="lowerRoman"/>
      <w:start w:val="1"/>
    </w:lvl>
  </w:abstractNum>
  <w:abstractNum w:abstractNumId="62">
    <w:nsid w:val="61E74EA3"/>
    <w:multiLevelType w:val="hybridMultilevel"/>
    <w:lvl w:ilvl="0">
      <w:lvlJc w:val="left"/>
      <w:lvlText w:val="%1."/>
      <w:numFmt w:val="lowerRoman"/>
      <w:start w:val="2"/>
    </w:lvl>
  </w:abstractNum>
  <w:abstractNum w:abstractNumId="63">
    <w:nsid w:val="597B4D84"/>
    <w:multiLevelType w:val="hybridMultilevel"/>
    <w:lvl w:ilvl="0">
      <w:lvlJc w:val="left"/>
      <w:lvlText w:val="%1."/>
      <w:numFmt w:val="lowerLetter"/>
      <w:start w:val="2"/>
    </w:lvl>
  </w:abstractNum>
  <w:abstractNum w:abstractNumId="64">
    <w:nsid w:val="F819E7F"/>
    <w:multiLevelType w:val="hybridMultilevel"/>
    <w:lvl w:ilvl="0">
      <w:lvlJc w:val="left"/>
      <w:lvlText w:val="%1."/>
      <w:numFmt w:val="lowerRoman"/>
      <w:start w:val="1"/>
    </w:lvl>
  </w:abstractNum>
  <w:abstractNum w:abstractNumId="65">
    <w:nsid w:val="57C7D42D"/>
    <w:multiLevelType w:val="hybridMultilevel"/>
    <w:lvl w:ilvl="0">
      <w:lvlJc w:val="left"/>
      <w:lvlText w:val="%1."/>
      <w:numFmt w:val="lowerLetter"/>
      <w:start w:val="2"/>
    </w:lvl>
  </w:abstractNum>
  <w:abstractNum w:abstractNumId="66">
    <w:nsid w:val="312167AD"/>
    <w:multiLevelType w:val="hybridMultilevel"/>
    <w:lvl w:ilvl="0">
      <w:lvlJc w:val="left"/>
      <w:lvlText w:val="%1."/>
      <w:numFmt w:val="lowerRoman"/>
      <w:start w:val="2"/>
    </w:lvl>
  </w:abstractNum>
  <w:abstractNum w:abstractNumId="67">
    <w:nsid w:val="631B64D4"/>
    <w:multiLevelType w:val="hybridMultilevel"/>
    <w:lvl w:ilvl="0">
      <w:lvlJc w:val="left"/>
      <w:lvlText w:val="%1."/>
      <w:numFmt w:val="lowerRoman"/>
      <w:start w:val="3"/>
    </w:lvl>
  </w:abstractNum>
  <w:abstractNum w:abstractNumId="68">
    <w:nsid w:val="78B5E776"/>
    <w:multiLevelType w:val="hybridMultilevel"/>
    <w:lvl w:ilvl="0">
      <w:lvlJc w:val="left"/>
      <w:lvlText w:val="%1."/>
      <w:numFmt w:val="lowerRoman"/>
      <w:start w:val="4"/>
    </w:lvl>
  </w:abstractNum>
  <w:abstractNum w:abstractNumId="69">
    <w:nsid w:val="75486E47"/>
    <w:multiLevelType w:val="hybridMultilevel"/>
    <w:lvl w:ilvl="0">
      <w:lvlJc w:val="left"/>
      <w:lvlText w:val="%1."/>
      <w:numFmt w:val="lowerLetter"/>
      <w:start w:val="2"/>
    </w:lvl>
  </w:abstractNum>
  <w:abstractNum w:abstractNumId="70">
    <w:nsid w:val="6E534CDE"/>
    <w:multiLevelType w:val="hybridMultilevel"/>
    <w:lvl w:ilvl="0">
      <w:lvlJc w:val="left"/>
      <w:lvlText w:val="%1."/>
      <w:numFmt w:val="lowerLetter"/>
      <w:start w:val="2"/>
    </w:lvl>
  </w:abstractNum>
  <w:abstractNum w:abstractNumId="71">
    <w:nsid w:val="1A0DDE32"/>
    <w:multiLevelType w:val="hybridMultilevel"/>
    <w:lvl w:ilvl="0">
      <w:lvlJc w:val="left"/>
      <w:lvlText w:val="%1."/>
      <w:numFmt w:val="lowerLetter"/>
      <w:start w:val="3"/>
    </w:lvl>
  </w:abstractNum>
  <w:abstractNum w:abstractNumId="72">
    <w:nsid w:val="65968C1C"/>
    <w:multiLevelType w:val="hybridMultilevel"/>
    <w:lvl w:ilvl="0">
      <w:lvlJc w:val="left"/>
      <w:lvlText w:val="%1."/>
      <w:numFmt w:val="lowerLetter"/>
      <w:start w:val="4"/>
    </w:lvl>
  </w:abstractNum>
  <w:abstractNum w:abstractNumId="73">
    <w:nsid w:val="46263DEC"/>
    <w:multiLevelType w:val="hybridMultilevel"/>
    <w:lvl w:ilvl="0">
      <w:lvlJc w:val="left"/>
      <w:lvlText w:val="%1."/>
      <w:numFmt w:val="lowerLetter"/>
      <w:start w:val="5"/>
    </w:lvl>
  </w:abstractNum>
  <w:abstractNum w:abstractNumId="74">
    <w:nsid w:val="260D8C4A"/>
    <w:multiLevelType w:val="hybridMultilevel"/>
    <w:lvl w:ilvl="0">
      <w:lvlJc w:val="left"/>
      <w:lvlText w:val="%1."/>
      <w:numFmt w:val="lowerLetter"/>
      <w:start w:val="1"/>
    </w:lvl>
  </w:abstractNum>
  <w:abstractNum w:abstractNumId="75">
    <w:nsid w:val="73D4D3C4"/>
    <w:multiLevelType w:val="hybridMultilevel"/>
    <w:lvl w:ilvl="0">
      <w:lvlJc w:val="left"/>
      <w:lvlText w:val="%1."/>
      <w:numFmt w:val="lowerLetter"/>
      <w:start w:val="2"/>
    </w:lvl>
  </w:abstractNum>
  <w:abstractNum w:abstractNumId="76">
    <w:nsid w:val="746F2E30"/>
    <w:multiLevelType w:val="hybridMultilevel"/>
    <w:lvl w:ilvl="0">
      <w:lvlJc w:val="left"/>
      <w:lvlText w:val="%1."/>
      <w:numFmt w:val="lowerLetter"/>
      <w:start w:val="2"/>
    </w:lvl>
  </w:abstractNum>
  <w:abstractNum w:abstractNumId="77">
    <w:nsid w:val="6FDE8AF6"/>
    <w:multiLevelType w:val="hybridMultilevel"/>
    <w:lvl w:ilvl="0">
      <w:lvlJc w:val="left"/>
      <w:lvlText w:val="%1."/>
      <w:numFmt w:val="lowerLetter"/>
      <w:start w:val="2"/>
    </w:lvl>
  </w:abstractNum>
  <w:abstractNum w:abstractNumId="78">
    <w:nsid w:val="3FC32E20"/>
    <w:multiLevelType w:val="hybridMultilevel"/>
    <w:lvl w:ilvl="0">
      <w:lvlJc w:val="left"/>
      <w:lvlText w:val="*"/>
      <w:numFmt w:val="bullet"/>
      <w:start w:val="1"/>
    </w:lvl>
  </w:abstractNum>
  <w:abstractNum w:abstractNumId="79">
    <w:nsid w:val="49C0E823"/>
    <w:multiLevelType w:val="hybridMultilevel"/>
    <w:lvl w:ilvl="0">
      <w:lvlJc w:val="left"/>
      <w:lvlText w:val="%1."/>
      <w:numFmt w:val="lowerLetter"/>
      <w:start w:val="1"/>
    </w:lvl>
  </w:abstractNum>
  <w:abstractNum w:abstractNumId="80">
    <w:nsid w:val="14D53685"/>
    <w:multiLevelType w:val="hybridMultilevel"/>
    <w:lvl w:ilvl="0">
      <w:lvlJc w:val="left"/>
      <w:lvlText w:val="%1."/>
      <w:numFmt w:val="lowerLetter"/>
      <w:start w:val="2"/>
    </w:lvl>
  </w:abstractNum>
  <w:abstractNum w:abstractNumId="81">
    <w:nsid w:val="230F856C"/>
    <w:multiLevelType w:val="hybridMultilevel"/>
    <w:lvl w:ilvl="0">
      <w:lvlJc w:val="left"/>
      <w:lvlText w:val="%1."/>
      <w:numFmt w:val="lowerLetter"/>
      <w:start w:val="3"/>
    </w:lvl>
  </w:abstractNum>
  <w:abstractNum w:abstractNumId="82">
    <w:nsid w:val="6EAA85FB"/>
    <w:multiLevelType w:val="hybridMultilevel"/>
    <w:lvl w:ilvl="0">
      <w:lvlJc w:val="left"/>
      <w:lvlText w:val="%1."/>
      <w:numFmt w:val="lowerLetter"/>
      <w:start w:val="1"/>
    </w:lvl>
  </w:abstractNum>
  <w:abstractNum w:abstractNumId="83">
    <w:nsid w:val="3F06ECB2"/>
    <w:multiLevelType w:val="hybridMultilevel"/>
    <w:lvl w:ilvl="0">
      <w:lvlJc w:val="left"/>
      <w:lvlText w:val="%1."/>
      <w:numFmt w:val="lowerRoman"/>
      <w:start w:val="1"/>
    </w:lvl>
  </w:abstractNum>
  <w:abstractNum w:abstractNumId="84">
    <w:nsid w:val="3B594807"/>
    <w:multiLevelType w:val="hybridMultilevel"/>
    <w:lvl w:ilvl="0">
      <w:lvlJc w:val="left"/>
      <w:lvlText w:val="%1."/>
      <w:numFmt w:val="lowerRoman"/>
      <w:start w:val="2"/>
    </w:lvl>
  </w:abstractNum>
  <w:abstractNum w:abstractNumId="85">
    <w:nsid w:val="6CAA2304"/>
    <w:multiLevelType w:val="hybridMultilevel"/>
    <w:lvl w:ilvl="0">
      <w:lvlJc w:val="left"/>
      <w:lvlText w:val="%1."/>
      <w:numFmt w:val="lowerLetter"/>
      <w:start w:val="2"/>
    </w:lvl>
  </w:abstractNum>
  <w:abstractNum w:abstractNumId="86">
    <w:nsid w:val="3F7C2FF4"/>
    <w:multiLevelType w:val="hybridMultilevel"/>
    <w:lvl w:ilvl="0">
      <w:lvlJc w:val="left"/>
      <w:lvlText w:val="%1."/>
      <w:numFmt w:val="lowerRoman"/>
      <w:start w:val="1"/>
    </w:lvl>
  </w:abstractNum>
  <w:abstractNum w:abstractNumId="87">
    <w:nsid w:val="25413BEC"/>
    <w:multiLevelType w:val="hybridMultilevel"/>
    <w:lvl w:ilvl="0">
      <w:lvlJc w:val="left"/>
      <w:lvlText w:val="%1."/>
      <w:numFmt w:val="lowerRoman"/>
      <w:start w:val="2"/>
    </w:lvl>
  </w:abstractNum>
  <w:abstractNum w:abstractNumId="88">
    <w:nsid w:val="17180B0B"/>
    <w:multiLevelType w:val="hybridMultilevel"/>
    <w:lvl w:ilvl="0">
      <w:lvlJc w:val="left"/>
      <w:lvlText w:val="%1."/>
      <w:numFmt w:val="lowerLetter"/>
      <w:start w:val="3"/>
    </w:lvl>
  </w:abstractNum>
  <w:abstractNum w:abstractNumId="89">
    <w:nsid w:val="579328B9"/>
    <w:multiLevelType w:val="hybridMultilevel"/>
    <w:lvl w:ilvl="0">
      <w:lvlJc w:val="left"/>
      <w:lvlText w:val="%1."/>
      <w:numFmt w:val="lowerRoman"/>
      <w:start w:val="1"/>
    </w:lvl>
  </w:abstractNum>
  <w:abstractNum w:abstractNumId="90">
    <w:nsid w:val="5D205E20"/>
    <w:multiLevelType w:val="hybridMultilevel"/>
    <w:lvl w:ilvl="0">
      <w:lvlJc w:val="left"/>
      <w:lvlText w:val="%1."/>
      <w:numFmt w:val="lowerRoman"/>
      <w:start w:val="2"/>
    </w:lvl>
  </w:abstractNum>
  <w:abstractNum w:abstractNumId="91">
    <w:nsid w:val="11CCA8BA"/>
    <w:multiLevelType w:val="hybridMultilevel"/>
    <w:lvl w:ilvl="0">
      <w:lvlJc w:val="left"/>
      <w:lvlText w:val="%1."/>
      <w:numFmt w:val="lowerRoman"/>
      <w:start w:val="3"/>
    </w:lvl>
  </w:abstractNum>
  <w:abstractNum w:abstractNumId="92">
    <w:nsid w:val="4D32AB86"/>
    <w:multiLevelType w:val="hybridMultilevel"/>
    <w:lvl w:ilvl="0">
      <w:lvlJc w:val="left"/>
      <w:lvlText w:val="%1."/>
      <w:numFmt w:val="lowerLetter"/>
      <w:start w:val="3"/>
    </w:lvl>
  </w:abstractNum>
  <w:abstractNum w:abstractNumId="93">
    <w:nsid w:val="3F07ACC3"/>
    <w:multiLevelType w:val="hybridMultilevel"/>
    <w:lvl w:ilvl="0">
      <w:lvlJc w:val="left"/>
      <w:lvlText w:val="%1."/>
      <w:numFmt w:val="lowerRoman"/>
      <w:start w:val="4"/>
    </w:lvl>
  </w:abstractNum>
  <w:abstractNum w:abstractNumId="94">
    <w:nsid w:val="6B47F63E"/>
    <w:multiLevelType w:val="hybridMultilevel"/>
    <w:lvl w:ilvl="0">
      <w:lvlJc w:val="left"/>
      <w:lvlText w:val="%1."/>
      <w:numFmt w:val="lowerLetter"/>
      <w:start w:val="4"/>
    </w:lvl>
  </w:abstractNum>
  <w:abstractNum w:abstractNumId="95">
    <w:nsid w:val="5CB44A05"/>
    <w:multiLevelType w:val="hybridMultilevel"/>
    <w:lvl w:ilvl="0">
      <w:lvlJc w:val="left"/>
      <w:lvlText w:val="%1."/>
      <w:numFmt w:val="lowerRoman"/>
      <w:start w:val="1"/>
    </w:lvl>
  </w:abstractNum>
  <w:abstractNum w:abstractNumId="96">
    <w:nsid w:val="16CF80F1"/>
    <w:multiLevelType w:val="hybridMultilevel"/>
    <w:lvl w:ilvl="0">
      <w:lvlJc w:val="left"/>
      <w:lvlText w:val="%1."/>
      <w:numFmt w:val="lowerRoman"/>
      <w:start w:val="2"/>
    </w:lvl>
  </w:abstractNum>
  <w:abstractNum w:abstractNumId="97">
    <w:nsid w:val="1C695DEC"/>
    <w:multiLevelType w:val="hybridMultilevel"/>
    <w:lvl w:ilvl="0">
      <w:lvlJc w:val="left"/>
      <w:lvlText w:val="*"/>
      <w:numFmt w:val="bullet"/>
      <w:start w:val="1"/>
    </w:lvl>
  </w:abstractNum>
  <w:abstractNum w:abstractNumId="98">
    <w:nsid w:val="3FCFAED9"/>
    <w:multiLevelType w:val="hybridMultilevel"/>
    <w:lvl w:ilvl="0">
      <w:lvlJc w:val="left"/>
      <w:lvlText w:val="%1."/>
      <w:numFmt w:val="lowerLetter"/>
      <w:start w:val="1"/>
    </w:lvl>
  </w:abstractNum>
  <w:abstractNum w:abstractNumId="99">
    <w:nsid w:val="F856867"/>
    <w:multiLevelType w:val="hybridMultilevel"/>
    <w:lvl w:ilvl="0">
      <w:lvlJc w:val="left"/>
      <w:lvlText w:val="%1."/>
      <w:numFmt w:val="lowerLetter"/>
      <w:start w:val="2"/>
    </w:lvl>
  </w:abstractNum>
  <w:abstractNum w:abstractNumId="100">
    <w:nsid w:val="11B1CC33"/>
    <w:multiLevelType w:val="hybridMultilevel"/>
    <w:lvl w:ilvl="0">
      <w:lvlJc w:val="left"/>
      <w:lvlText w:val="*"/>
      <w:numFmt w:val="bullet"/>
      <w:start w:val="1"/>
    </w:lvl>
  </w:abstractNum>
  <w:abstractNum w:abstractNumId="101">
    <w:nsid w:val="2E22FBB7"/>
    <w:multiLevelType w:val="hybridMultilevel"/>
    <w:lvl w:ilvl="0">
      <w:lvlJc w:val="left"/>
      <w:lvlText w:val="%1."/>
      <w:numFmt w:val="lowerLetter"/>
      <w:start w:val="1"/>
    </w:lvl>
  </w:abstractNum>
  <w:abstractNum w:abstractNumId="102">
    <w:nsid w:val="29934699"/>
    <w:multiLevelType w:val="hybridMultilevel"/>
    <w:lvl w:ilvl="0">
      <w:lvlJc w:val="left"/>
      <w:lvlText w:val="%1."/>
      <w:numFmt w:val="lowerLetter"/>
      <w:start w:val="2"/>
    </w:lvl>
  </w:abstractNum>
  <w:abstractNum w:abstractNumId="103">
    <w:nsid w:val="77485850"/>
    <w:multiLevelType w:val="hybridMultilevel"/>
    <w:lvl w:ilvl="0">
      <w:lvlJc w:val="left"/>
      <w:lvlText w:val="%1."/>
      <w:numFmt w:val="lowerLetter"/>
      <w:start w:val="1"/>
    </w:lvl>
  </w:abstractNum>
  <w:abstractNum w:abstractNumId="104">
    <w:nsid w:val="744939A3"/>
    <w:multiLevelType w:val="hybridMultilevel"/>
    <w:lvl w:ilvl="0">
      <w:lvlJc w:val="left"/>
      <w:lvlText w:val="%1."/>
      <w:numFmt w:val="lowerLetter"/>
      <w:start w:val="1"/>
    </w:lvl>
  </w:abstractNum>
  <w:abstractNum w:abstractNumId="105">
    <w:nsid w:val="4FA0D2E3"/>
    <w:multiLevelType w:val="hybridMultilevel"/>
    <w:lvl w:ilvl="0">
      <w:lvlJc w:val="left"/>
      <w:lvlText w:val="%1."/>
      <w:numFmt w:val="lowerLetter"/>
      <w:start w:val="3"/>
    </w:lvl>
  </w:abstractNum>
  <w:abstractNum w:abstractNumId="106">
    <w:nsid w:val="6B1D2C14"/>
    <w:multiLevelType w:val="hybridMultilevel"/>
    <w:lvl w:ilvl="0">
      <w:lvlJc w:val="left"/>
      <w:lvlText w:val="**"/>
      <w:numFmt w:val="bullet"/>
      <w:start w:val="1"/>
    </w:lvl>
  </w:abstractNum>
  <w:abstractNum w:abstractNumId="107">
    <w:nsid w:val="68B867D3"/>
    <w:multiLevelType w:val="hybridMultilevel"/>
    <w:lvl w:ilvl="0">
      <w:lvlJc w:val="left"/>
      <w:lvlText w:val="%1."/>
      <w:numFmt w:val="lowerLetter"/>
      <w:start w:val="4"/>
    </w:lvl>
  </w:abstractNum>
  <w:abstractNum w:abstractNumId="108">
    <w:nsid w:val="3F7F5DD9"/>
    <w:multiLevelType w:val="hybridMultilevel"/>
    <w:lvl w:ilvl="0">
      <w:lvlJc w:val="left"/>
      <w:lvlText w:val="%1."/>
      <w:numFmt w:val="lowerRoman"/>
      <w:start w:val="1"/>
    </w:lvl>
  </w:abstractNum>
  <w:abstractNum w:abstractNumId="109">
    <w:nsid w:val="2AE05A34"/>
    <w:multiLevelType w:val="hybridMultilevel"/>
    <w:lvl w:ilvl="0">
      <w:lvlJc w:val="left"/>
      <w:lvlText w:val="%1."/>
      <w:numFmt w:val="lowerRoman"/>
      <w:start w:val="2"/>
    </w:lvl>
  </w:abstractNum>
  <w:abstractNum w:abstractNumId="110">
    <w:nsid w:val="32794FF7"/>
    <w:multiLevelType w:val="hybridMultilevel"/>
    <w:lvl w:ilvl="0">
      <w:lvlJc w:val="left"/>
      <w:lvlText w:val="%1."/>
      <w:numFmt w:val="lowerRoman"/>
      <w:start w:val="3"/>
    </w:lvl>
  </w:abstractNum>
  <w:abstractNum w:abstractNumId="111">
    <w:nsid w:val="5454945E"/>
    <w:multiLevelType w:val="hybridMultilevel"/>
    <w:lvl w:ilvl="0">
      <w:lvlJc w:val="left"/>
      <w:lvlText w:val="%1."/>
      <w:numFmt w:val="lowerLetter"/>
      <w:start w:val="1"/>
    </w:lvl>
  </w:abstractNum>
  <w:abstractNum w:abstractNumId="112">
    <w:nsid w:val="4DEFDFA0"/>
    <w:multiLevelType w:val="hybridMultilevel"/>
    <w:lvl w:ilvl="0">
      <w:lvlJc w:val="left"/>
      <w:lvlText w:val="%1."/>
      <w:numFmt w:val="lowerLetter"/>
      <w:start w:val="2"/>
    </w:lvl>
  </w:abstractNum>
  <w:abstractNum w:abstractNumId="113">
    <w:nsid w:val="2123D5F2"/>
    <w:multiLevelType w:val="hybridMultilevel"/>
    <w:lvl w:ilvl="0">
      <w:lvlJc w:val="left"/>
      <w:lvlText w:val="%1"/>
      <w:numFmt w:val="decimal"/>
      <w:start w:val="68"/>
    </w:lvl>
  </w:abstractNum>
  <w:abstractNum w:abstractNumId="114">
    <w:nsid w:val="135B8110"/>
    <w:multiLevelType w:val="hybridMultilevel"/>
    <w:lvl w:ilvl="0">
      <w:lvlJc w:val="left"/>
      <w:lvlText w:val="%1."/>
      <w:numFmt w:val="lowerRoman"/>
      <w:start w:val="1"/>
    </w:lvl>
  </w:abstractNum>
  <w:abstractNum w:abstractNumId="115">
    <w:nsid w:val="94927A8"/>
    <w:multiLevelType w:val="hybridMultilevel"/>
    <w:lvl w:ilvl="0">
      <w:lvlJc w:val="left"/>
      <w:lvlText w:val="%1."/>
      <w:numFmt w:val="lowerRoman"/>
      <w:start w:val="2"/>
    </w:lvl>
  </w:abstractNum>
  <w:abstractNum w:abstractNumId="116">
    <w:nsid w:val="DCDF8F6"/>
    <w:multiLevelType w:val="hybridMultilevel"/>
    <w:lvl w:ilvl="0">
      <w:lvlJc w:val="left"/>
      <w:lvlText w:val="%1."/>
      <w:numFmt w:val="lowerRoman"/>
      <w:start w:val="3"/>
    </w:lvl>
  </w:abstractNum>
  <w:abstractNum w:abstractNumId="117">
    <w:nsid w:val="52D7B105"/>
    <w:multiLevelType w:val="hybridMultilevel"/>
    <w:lvl w:ilvl="0">
      <w:lvlJc w:val="left"/>
      <w:lvlText w:val="%1."/>
      <w:numFmt w:val="lowerRoman"/>
      <w:start w:val="4"/>
    </w:lvl>
  </w:abstractNum>
  <w:abstractNum w:abstractNumId="118">
    <w:nsid w:val="2E8A6394"/>
    <w:multiLevelType w:val="hybridMultilevel"/>
    <w:lvl w:ilvl="0">
      <w:lvlJc w:val="left"/>
      <w:lvlText w:val="%1."/>
      <w:numFmt w:val="lowerRoman"/>
      <w:start w:val="5"/>
    </w:lvl>
  </w:abstractNum>
  <w:abstractNum w:abstractNumId="119">
    <w:nsid w:val="24E60401"/>
    <w:multiLevelType w:val="hybridMultilevel"/>
    <w:lvl w:ilvl="0">
      <w:lvlJc w:val="left"/>
      <w:lvlText w:val="%1."/>
      <w:numFmt w:val="lowerRoman"/>
      <w:start w:val="6"/>
    </w:lvl>
  </w:abstractNum>
  <w:abstractNum w:abstractNumId="120">
    <w:nsid w:val="2A6AD9BE"/>
    <w:multiLevelType w:val="hybridMultilevel"/>
    <w:lvl w:ilvl="0">
      <w:lvlJc w:val="left"/>
      <w:lvlText w:val="%1."/>
      <w:numFmt w:val="lowerRoman"/>
      <w:start w:val="7"/>
    </w:lvl>
  </w:abstractNum>
  <w:abstractNum w:abstractNumId="121">
    <w:nsid w:val="BAAC1B4"/>
    <w:multiLevelType w:val="hybridMultilevel"/>
    <w:lvl w:ilvl="0">
      <w:lvlJc w:val="left"/>
      <w:lvlText w:val="%1."/>
      <w:numFmt w:val="lowerLetter"/>
      <w:start w:val="1"/>
    </w:lvl>
  </w:abstractNum>
  <w:abstractNum w:abstractNumId="122">
    <w:nsid w:val="36B2ACBC"/>
    <w:multiLevelType w:val="hybridMultilevel"/>
    <w:lvl w:ilvl="0">
      <w:lvlJc w:val="left"/>
      <w:lvlText w:val="%1."/>
      <w:numFmt w:val="lowerLetter"/>
      <w:start w:val="2"/>
    </w:lvl>
  </w:abstractNum>
  <w:abstractNum w:abstractNumId="123">
    <w:nsid w:val="779D8544"/>
    <w:multiLevelType w:val="hybridMultilevel"/>
    <w:lvl w:ilvl="0">
      <w:lvlJc w:val="left"/>
      <w:lvlText w:val="1"/>
      <w:numFmt w:val="bullet"/>
      <w:start w:val="1"/>
    </w:lvl>
  </w:abstractNum>
  <w:abstractNum w:abstractNumId="124">
    <w:nsid w:val="4AB26E78"/>
    <w:multiLevelType w:val="hybridMultilevel"/>
    <w:lvl w:ilvl="0">
      <w:lvlJc w:val="left"/>
      <w:lvlText w:val="1"/>
      <w:numFmt w:val="bullet"/>
      <w:start w:val="1"/>
    </w:lvl>
  </w:abstractNum>
  <w:abstractNum w:abstractNumId="125">
    <w:nsid w:val="21FAA2FA"/>
    <w:multiLevelType w:val="hybridMultilevel"/>
    <w:lvl w:ilvl="0">
      <w:lvlJc w:val="left"/>
      <w:lvlText w:val="●"/>
      <w:numFmt w:val="bullet"/>
      <w:start w:val="1"/>
    </w:lvl>
  </w:abstractNum>
  <w:abstractNum w:abstractNumId="126">
    <w:nsid w:val="5451CF49"/>
    <w:multiLevelType w:val="hybridMultilevel"/>
    <w:lvl w:ilvl="0">
      <w:lvlJc w:val="left"/>
      <w:lvlText w:val="●"/>
      <w:numFmt w:val="bullet"/>
      <w:start w:val="1"/>
    </w:lvl>
  </w:abstractNum>
  <w:abstractNum w:abstractNumId="127">
    <w:nsid w:val="6181EF69"/>
    <w:multiLevelType w:val="hybridMultilevel"/>
    <w:lvl w:ilvl="0">
      <w:lvlJc w:val="left"/>
      <w:lvlText w:val="●"/>
      <w:numFmt w:val="bullet"/>
      <w:start w:val="1"/>
    </w:lvl>
  </w:abstractNum>
  <w:abstractNum w:abstractNumId="128">
    <w:nsid w:val="3E6400E6"/>
    <w:multiLevelType w:val="hybridMultilevel"/>
    <w:lvl w:ilvl="0">
      <w:lvlJc w:val="left"/>
      <w:lvlText w:val="●"/>
      <w:numFmt w:val="bullet"/>
      <w:start w:val="1"/>
    </w:lvl>
  </w:abstractNum>
  <w:abstractNum w:abstractNumId="129">
    <w:nsid w:val="14217E23"/>
    <w:multiLevelType w:val="hybridMultilevel"/>
    <w:lvl w:ilvl="0">
      <w:lvlJc w:val="left"/>
      <w:lvlText w:val="1"/>
      <w:numFmt w:val="bullet"/>
      <w:start w:val="1"/>
    </w:lvl>
  </w:abstractNum>
  <w:abstractNum w:abstractNumId="130">
    <w:nsid w:val="710757D0"/>
    <w:multiLevelType w:val="hybridMultilevel"/>
    <w:lvl w:ilvl="0">
      <w:lvlJc w:val="left"/>
      <w:lvlText w:val="2"/>
      <w:numFmt w:val="bullet"/>
      <w:start w:val="1"/>
    </w:lvl>
  </w:abstractNum>
  <w:abstractNum w:abstractNumId="131">
    <w:nsid w:val="5015CD1A"/>
    <w:multiLevelType w:val="hybridMultilevel"/>
    <w:lvl w:ilvl="0">
      <w:lvlJc w:val="left"/>
      <w:lvlText w:val="●"/>
      <w:numFmt w:val="bullet"/>
      <w:start w:val="1"/>
    </w:lvl>
  </w:abstractNum>
  <w:abstractNum w:abstractNumId="132">
    <w:nsid w:val="424479DA"/>
    <w:multiLevelType w:val="hybridMultilevel"/>
    <w:lvl w:ilvl="0">
      <w:lvlJc w:val="left"/>
      <w:lvlText w:val="●"/>
      <w:numFmt w:val="bullet"/>
      <w:start w:val="1"/>
    </w:lvl>
  </w:abstractNum>
  <w:abstractNum w:abstractNumId="133">
    <w:nsid w:val="1A9A9E69"/>
    <w:multiLevelType w:val="hybridMultilevel"/>
    <w:lvl w:ilvl="0">
      <w:lvlJc w:val="left"/>
      <w:lvlText w:val="●"/>
      <w:numFmt w:val="bullet"/>
      <w:start w:val="1"/>
    </w:lvl>
  </w:abstractNum>
  <w:abstractNum w:abstractNumId="134">
    <w:nsid w:val="475E256A"/>
    <w:multiLevelType w:val="hybridMultilevel"/>
    <w:lvl w:ilvl="0">
      <w:lvlJc w:val="left"/>
      <w:lvlText w:val="●"/>
      <w:numFmt w:val="bullet"/>
      <w:start w:val="1"/>
    </w:lvl>
  </w:abstractNum>
  <w:abstractNum w:abstractNumId="135">
    <w:nsid w:val="368DB37E"/>
    <w:multiLevelType w:val="hybridMultilevel"/>
    <w:lvl w:ilvl="0">
      <w:lvlJc w:val="left"/>
      <w:lvlText w:val="●"/>
      <w:numFmt w:val="bullet"/>
      <w:start w:val="1"/>
    </w:lvl>
  </w:abstractNum>
  <w:abstractNum w:abstractNumId="136">
    <w:nsid w:val="6A3B714C"/>
    <w:multiLevelType w:val="hybridMultilevel"/>
    <w:lvl w:ilvl="0">
      <w:lvlJc w:val="left"/>
      <w:lvlText w:val="●"/>
      <w:numFmt w:val="bullet"/>
      <w:start w:val="1"/>
    </w:lvl>
  </w:abstractNum>
  <w:abstractNum w:abstractNumId="137">
    <w:nsid w:val="327B517E"/>
    <w:multiLevelType w:val="hybridMultilevel"/>
    <w:lvl w:ilvl="0">
      <w:lvlJc w:val="left"/>
      <w:lvlText w:val="1"/>
      <w:numFmt w:val="bullet"/>
      <w:start w:val="1"/>
    </w:lvl>
  </w:abstractNum>
  <w:abstractNum w:abstractNumId="138">
    <w:nsid w:val="1F461B51"/>
    <w:multiLevelType w:val="hybridMultilevel"/>
    <w:lvl w:ilvl="0">
      <w:lvlJc w:val="left"/>
      <w:lvlText w:val="2"/>
      <w:numFmt w:val="bullet"/>
      <w:start w:val="1"/>
    </w:lvl>
  </w:abstractNum>
  <w:abstractNum w:abstractNumId="139">
    <w:nsid w:val="29BACF25"/>
    <w:multiLevelType w:val="hybridMultilevel"/>
    <w:lvl w:ilvl="0">
      <w:lvlJc w:val="left"/>
      <w:lvlText w:val="●"/>
      <w:numFmt w:val="bullet"/>
      <w:start w:val="1"/>
    </w:lvl>
  </w:abstractNum>
  <w:abstractNum w:abstractNumId="140">
    <w:nsid w:val="5D5BABB3"/>
    <w:multiLevelType w:val="hybridMultilevel"/>
    <w:lvl w:ilvl="0">
      <w:lvlJc w:val="left"/>
      <w:lvlText w:val="%1."/>
      <w:numFmt w:val="decimal"/>
      <w:start w:val="6"/>
    </w:lvl>
  </w:abstractNum>
  <w:abstractNum w:abstractNumId="141">
    <w:nsid w:val="51BF6B48"/>
    <w:multiLevelType w:val="hybridMultilevel"/>
    <w:lvl w:ilvl="0">
      <w:lvlJc w:val="left"/>
      <w:lvlText w:val="●"/>
      <w:numFmt w:val="bullet"/>
      <w:start w:val="1"/>
    </w:lvl>
  </w:abstractNum>
  <w:abstractNum w:abstractNumId="142">
    <w:nsid w:val="7E0F6384"/>
    <w:multiLevelType w:val="hybridMultilevel"/>
    <w:lvl w:ilvl="0">
      <w:lvlJc w:val="left"/>
      <w:lvlText w:val="●"/>
      <w:numFmt w:val="bullet"/>
      <w:start w:val="1"/>
    </w:lvl>
  </w:abstractNum>
  <w:abstractNum w:abstractNumId="143">
    <w:nsid w:val="2B4B8B53"/>
    <w:multiLevelType w:val="hybridMultilevel"/>
    <w:lvl w:ilvl="0">
      <w:lvlJc w:val="left"/>
      <w:lvlText w:val="●"/>
      <w:numFmt w:val="bullet"/>
      <w:start w:val="1"/>
    </w:lvl>
  </w:abstractNum>
  <w:abstractNum w:abstractNumId="144">
    <w:nsid w:val="72E3413A"/>
    <w:multiLevelType w:val="hybridMultilevel"/>
    <w:lvl w:ilvl="0">
      <w:lvlJc w:val="left"/>
      <w:lvlText w:val="%1."/>
      <w:numFmt w:val="upperLetter"/>
      <w:start w:val="1"/>
    </w:lvl>
  </w:abstractNum>
  <w:abstractNum w:abstractNumId="145">
    <w:nsid w:val="116AE494"/>
    <w:multiLevelType w:val="hybridMultilevel"/>
    <w:lvl w:ilvl="0">
      <w:lvlJc w:val="left"/>
      <w:lvlText w:val="%1."/>
      <w:numFmt w:val="upperLetter"/>
      <w:start w:val="1"/>
    </w:lvl>
  </w:abstractNum>
  <w:abstractNum w:abstractNumId="146">
    <w:nsid w:val="3494B2FB"/>
    <w:multiLevelType w:val="hybridMultilevel"/>
    <w:lvl w:ilvl="0">
      <w:lvlJc w:val="left"/>
      <w:lvlText w:val="●"/>
      <w:numFmt w:val="bullet"/>
      <w:start w:val="1"/>
    </w:lvl>
  </w:abstractNum>
  <w:abstractNum w:abstractNumId="147">
    <w:nsid w:val="B13A31"/>
    <w:multiLevelType w:val="hybridMultilevel"/>
    <w:lvl w:ilvl="0">
      <w:lvlJc w:val="left"/>
      <w:lvlText w:val="%1."/>
      <w:numFmt w:val="upperLetter"/>
      <w:start w:val="2"/>
    </w:lvl>
  </w:abstractNum>
  <w:abstractNum w:abstractNumId="148">
    <w:nsid w:val="64429599"/>
    <w:multiLevelType w:val="hybridMultilevel"/>
    <w:lvl w:ilvl="0">
      <w:lvlJc w:val="left"/>
      <w:lvlText w:val="%1."/>
      <w:numFmt w:val="upperLetter"/>
      <w:start w:val="2"/>
    </w:lvl>
  </w:abstractNum>
  <w:abstractNum w:abstractNumId="149">
    <w:nsid w:val="631F1690"/>
    <w:multiLevelType w:val="hybridMultilevel"/>
    <w:lvl w:ilvl="0">
      <w:lvlJc w:val="left"/>
      <w:lvlText w:val="%1."/>
      <w:numFmt w:val="upperLetter"/>
      <w:start w:val="2"/>
    </w:lvl>
  </w:abstractNum>
  <w:abstractNum w:abstractNumId="150">
    <w:nsid w:val="25973E32"/>
    <w:multiLevelType w:val="hybridMultilevel"/>
    <w:lvl w:ilvl="0">
      <w:lvlJc w:val="left"/>
      <w:lvlText w:val="%1."/>
      <w:numFmt w:val="upperLetter"/>
      <w:start w:val="3"/>
    </w:lvl>
  </w:abstractNum>
  <w:abstractNum w:abstractNumId="151">
    <w:nsid w:val="EAD6F57"/>
    <w:multiLevelType w:val="hybridMultilevel"/>
    <w:lvl w:ilvl="0">
      <w:lvlJc w:val="left"/>
      <w:lvlText w:val="%1."/>
      <w:numFmt w:val="upperLetter"/>
      <w:start w:val="3"/>
    </w:lvl>
  </w:abstractNum>
  <w:abstractNum w:abstractNumId="152">
    <w:nsid w:val="6EC9D844"/>
    <w:multiLevelType w:val="hybridMultilevel"/>
    <w:lvl w:ilvl="0">
      <w:lvlJc w:val="left"/>
      <w:lvlText w:val="%1."/>
      <w:numFmt w:val="upperLetter"/>
      <w:start w:val="4"/>
    </w:lvl>
  </w:abstractNum>
  <w:abstractNum w:abstractNumId="153">
    <w:nsid w:val="5C49EAEE"/>
    <w:multiLevelType w:val="hybridMultilevel"/>
    <w:lvl w:ilvl="0">
      <w:lvlJc w:val="left"/>
      <w:lvlText w:val="%1."/>
      <w:numFmt w:val="decimal"/>
      <w:start w:val="8"/>
    </w:lvl>
  </w:abstractNum>
  <w:abstractNum w:abstractNumId="154">
    <w:nsid w:val="64AF49B"/>
    <w:multiLevelType w:val="hybridMultilevel"/>
    <w:lvl w:ilvl="0">
      <w:lvlJc w:val="left"/>
      <w:lvlText w:val="1"/>
      <w:numFmt w:val="bullet"/>
      <w:start w:val="1"/>
    </w:lvl>
  </w:abstractNum>
  <w:abstractNum w:abstractNumId="155">
    <w:nsid w:val="397C46BC"/>
    <w:multiLevelType w:val="hybridMultilevel"/>
    <w:lvl w:ilvl="0">
      <w:lvlJc w:val="left"/>
      <w:lvlText w:val="%1."/>
      <w:numFmt w:val="upperLetter"/>
      <w:start w:val="1"/>
    </w:lvl>
  </w:abstractNum>
  <w:abstractNum w:abstractNumId="156">
    <w:nsid w:val="7E448DE9"/>
    <w:multiLevelType w:val="hybridMultilevel"/>
    <w:lvl w:ilvl="0">
      <w:lvlJc w:val="left"/>
      <w:lvlText w:val="1"/>
      <w:numFmt w:val="bullet"/>
      <w:start w:val="1"/>
    </w:lvl>
  </w:abstractNum>
  <w:abstractNum w:abstractNumId="157">
    <w:nsid w:val="5A9CC3E5"/>
    <w:multiLevelType w:val="hybridMultilevel"/>
    <w:lvl w:ilvl="0">
      <w:lvlJc w:val="left"/>
      <w:lvlText w:val="2"/>
      <w:numFmt w:val="bullet"/>
      <w:start w:val="1"/>
    </w:lvl>
  </w:abstractNum>
  <w:abstractNum w:abstractNumId="158">
    <w:nsid w:val="1AFE3625"/>
    <w:multiLevelType w:val="hybridMultilevel"/>
    <w:lvl w:ilvl="0">
      <w:lvlJc w:val="left"/>
      <w:lvlText w:val="%1."/>
      <w:numFmt w:val="upperLetter"/>
      <w:start w:val="1"/>
    </w:lvl>
  </w:abstractNum>
  <w:abstractNum w:abstractNumId="159">
    <w:nsid w:val="3CA88ECF"/>
    <w:multiLevelType w:val="hybridMultilevel"/>
    <w:lvl w:ilvl="0">
      <w:lvlJc w:val="left"/>
      <w:lvlText w:val="1"/>
      <w:numFmt w:val="bullet"/>
      <w:start w:val="1"/>
    </w:lvl>
  </w:abstractNum>
  <w:abstractNum w:abstractNumId="160">
    <w:nsid w:val="6EBE4208"/>
    <w:multiLevelType w:val="hybridMultilevel"/>
    <w:lvl w:ilvl="0">
      <w:lvlJc w:val="left"/>
      <w:lvlText w:val="2"/>
      <w:numFmt w:val="bullet"/>
      <w:start w:val="1"/>
    </w:lvl>
  </w:abstractNum>
  <w:abstractNum w:abstractNumId="161">
    <w:nsid w:val="C058DF5"/>
    <w:multiLevelType w:val="hybridMultilevel"/>
    <w:lvl w:ilvl="0">
      <w:lvlJc w:val="left"/>
      <w:lvlText w:val="●"/>
      <w:numFmt w:val="bullet"/>
      <w:start w:val="1"/>
    </w:lvl>
  </w:abstractNum>
  <w:abstractNum w:abstractNumId="162">
    <w:nsid w:val="CBE5BE9"/>
    <w:multiLevelType w:val="hybridMultilevel"/>
    <w:lvl w:ilvl="0">
      <w:lvlJc w:val="left"/>
      <w:lvlText w:val="●"/>
      <w:numFmt w:val="bullet"/>
      <w:start w:val="1"/>
    </w:lvl>
  </w:abstractNum>
  <w:abstractNum w:abstractNumId="163">
    <w:nsid w:val="3102BBE2"/>
    <w:multiLevelType w:val="hybridMultilevel"/>
    <w:lvl w:ilvl="0">
      <w:lvlJc w:val="left"/>
      <w:lvlText w:val="%1."/>
      <w:numFmt w:val="upperLetter"/>
      <w:start w:val="2"/>
    </w:lvl>
  </w:abstractNum>
  <w:abstractNum w:abstractNumId="164">
    <w:nsid w:val="26A02C5E"/>
    <w:multiLevelType w:val="hybridMultilevel"/>
    <w:lvl w:ilvl="0">
      <w:lvlJc w:val="left"/>
      <w:lvlText w:val="●"/>
      <w:numFmt w:val="bullet"/>
      <w:start w:val="1"/>
    </w:lvl>
  </w:abstractNum>
  <w:abstractNum w:abstractNumId="165">
    <w:nsid w:val="541C8153"/>
    <w:multiLevelType w:val="hybridMultilevel"/>
    <w:lvl w:ilvl="0">
      <w:lvlJc w:val="left"/>
      <w:lvlText w:val="%1."/>
      <w:numFmt w:val="upperLetter"/>
      <w:start w:val="3"/>
    </w:lvl>
  </w:abstractNum>
  <w:abstractNum w:abstractNumId="166">
    <w:nsid w:val="67906F60"/>
    <w:multiLevelType w:val="hybridMultilevel"/>
    <w:lvl w:ilvl="0">
      <w:lvlJc w:val="left"/>
      <w:lvlText w:val="●"/>
      <w:numFmt w:val="bullet"/>
      <w:start w:val="1"/>
    </w:lvl>
  </w:abstractNum>
  <w:abstractNum w:abstractNumId="167">
    <w:nsid w:val="10DB9DAA"/>
    <w:multiLevelType w:val="hybridMultilevel"/>
    <w:lvl w:ilvl="0">
      <w:lvlJc w:val="left"/>
      <w:lvlText w:val="%1."/>
      <w:numFmt w:val="upperLetter"/>
      <w:start w:val="3"/>
    </w:lvl>
  </w:abstractNum>
  <w:abstractNum w:abstractNumId="168">
    <w:nsid w:val="697D2D2"/>
    <w:multiLevelType w:val="hybridMultilevel"/>
    <w:lvl w:ilvl="0">
      <w:lvlJc w:val="left"/>
      <w:lvlText w:val="●"/>
      <w:numFmt w:val="bullet"/>
      <w:start w:val="1"/>
    </w:lvl>
  </w:abstractNum>
  <w:abstractNum w:abstractNumId="169">
    <w:nsid w:val="6D68AB2"/>
    <w:multiLevelType w:val="hybridMultilevel"/>
    <w:lvl w:ilvl="0">
      <w:lvlJc w:val="left"/>
      <w:lvlText w:val="●"/>
      <w:numFmt w:val="bullet"/>
      <w:start w:val="1"/>
    </w:lvl>
  </w:abstractNum>
  <w:abstractNum w:abstractNumId="170">
    <w:nsid w:val="3A966CD0"/>
    <w:multiLevelType w:val="hybridMultilevel"/>
    <w:lvl w:ilvl="0">
      <w:lvlJc w:val="left"/>
      <w:lvlText w:val="%1."/>
      <w:numFmt w:val="upperLetter"/>
      <w:start w:val="4"/>
    </w:lvl>
  </w:abstractNum>
  <w:abstractNum w:abstractNumId="171">
    <w:nsid w:val="63F37E85"/>
    <w:multiLevelType w:val="hybridMultilevel"/>
    <w:lvl w:ilvl="0">
      <w:lvlJc w:val="left"/>
      <w:lvlText w:val="%1."/>
      <w:numFmt w:val="upperLetter"/>
      <w:start w:val="4"/>
    </w:lvl>
  </w:abstractNum>
  <w:abstractNum w:abstractNumId="172">
    <w:nsid w:val="5895F5FA"/>
    <w:multiLevelType w:val="hybridMultilevel"/>
    <w:lvl w:ilvl="0">
      <w:lvlJc w:val="left"/>
      <w:lvlText w:val="●"/>
      <w:numFmt w:val="bullet"/>
      <w:start w:val="1"/>
    </w:lvl>
  </w:abstractNum>
  <w:abstractNum w:abstractNumId="173">
    <w:nsid w:val="38A5D054"/>
    <w:multiLevelType w:val="hybridMultilevel"/>
    <w:lvl w:ilvl="0">
      <w:lvlJc w:val="left"/>
      <w:lvlText w:val="●"/>
      <w:numFmt w:val="bullet"/>
      <w:start w:val="1"/>
    </w:lvl>
  </w:abstractNum>
  <w:abstractNum w:abstractNumId="174">
    <w:nsid w:val="F3F09D8"/>
    <w:multiLevelType w:val="hybridMultilevel"/>
    <w:lvl w:ilvl="0">
      <w:lvlJc w:val="left"/>
      <w:lvlText w:val="●"/>
      <w:numFmt w:val="bullet"/>
      <w:start w:val="1"/>
    </w:lvl>
  </w:abstractNum>
  <w:abstractNum w:abstractNumId="175">
    <w:nsid w:val="4B793735"/>
    <w:multiLevelType w:val="hybridMultilevel"/>
    <w:lvl w:ilvl="0">
      <w:lvlJc w:val="left"/>
      <w:lvlText w:val="●"/>
      <w:numFmt w:val="bullet"/>
      <w:start w:val="1"/>
    </w:lvl>
  </w:abstractNum>
  <w:abstractNum w:abstractNumId="176">
    <w:nsid w:val="4A10B4E8"/>
    <w:multiLevelType w:val="hybridMultilevel"/>
    <w:lvl w:ilvl="0">
      <w:lvlJc w:val="left"/>
      <w:lvlText w:val="%1."/>
      <w:numFmt w:val="upperLetter"/>
      <w:start w:val="5"/>
    </w:lvl>
  </w:abstractNum>
  <w:abstractNum w:abstractNumId="177">
    <w:nsid w:val="43D3BCD4"/>
    <w:multiLevelType w:val="hybridMultilevel"/>
    <w:lvl w:ilvl="0">
      <w:lvlJc w:val="left"/>
      <w:lvlText w:val="%1."/>
      <w:numFmt w:val="upperLetter"/>
      <w:start w:val="5"/>
    </w:lvl>
  </w:abstractNum>
  <w:abstractNum w:abstractNumId="178">
    <w:nsid w:val="4C2A7166"/>
    <w:multiLevelType w:val="hybridMultilevel"/>
    <w:lvl w:ilvl="0">
      <w:lvlJc w:val="left"/>
      <w:lvlText w:val="%1."/>
      <w:numFmt w:val="upperLetter"/>
      <w:start w:val="5"/>
    </w:lvl>
  </w:abstractNum>
  <w:abstractNum w:abstractNumId="179">
    <w:nsid w:val="2E534A82"/>
    <w:multiLevelType w:val="hybridMultilevel"/>
    <w:lvl w:ilvl="0">
      <w:lvlJc w:val="left"/>
      <w:lvlText w:val="-"/>
      <w:numFmt w:val="bullet"/>
      <w:start w:val="1"/>
    </w:lvl>
  </w:abstractNum>
  <w:abstractNum w:abstractNumId="180">
    <w:nsid w:val="26F2D364"/>
    <w:multiLevelType w:val="hybridMultilevel"/>
    <w:lvl w:ilvl="0">
      <w:lvlJc w:val="left"/>
      <w:lvlText w:val="●"/>
      <w:numFmt w:val="bullet"/>
      <w:start w:val="1"/>
    </w:lvl>
  </w:abstractNum>
  <w:abstractNum w:abstractNumId="181">
    <w:nsid w:val="71C1AF98"/>
    <w:multiLevelType w:val="hybridMultilevel"/>
    <w:lvl w:ilvl="0">
      <w:lvlJc w:val="left"/>
      <w:lvlText w:val="●"/>
      <w:numFmt w:val="bullet"/>
      <w:start w:val="1"/>
    </w:lvl>
  </w:abstractNum>
  <w:abstractNum w:abstractNumId="182">
    <w:nsid w:val="3D00B9D9"/>
    <w:multiLevelType w:val="hybridMultilevel"/>
    <w:lvl w:ilvl="0">
      <w:lvlJc w:val="left"/>
      <w:lvlText w:val="●"/>
      <w:numFmt w:val="bullet"/>
      <w:start w:val="1"/>
    </w:lvl>
  </w:abstractNum>
  <w:abstractNum w:abstractNumId="183">
    <w:nsid w:val="15BCABA8"/>
    <w:multiLevelType w:val="hybridMultilevel"/>
    <w:lvl w:ilvl="0">
      <w:lvlJc w:val="left"/>
      <w:lvlText w:val="%1."/>
      <w:numFmt w:val="upperLetter"/>
      <w:start w:val="1"/>
    </w:lvl>
  </w:abstractNum>
  <w:abstractNum w:abstractNumId="184">
    <w:nsid w:val="4E0B9A87"/>
    <w:multiLevelType w:val="hybridMultilevel"/>
    <w:lvl w:ilvl="0">
      <w:lvlJc w:val="left"/>
      <w:lvlText w:val="%1."/>
      <w:numFmt w:val="upperLetter"/>
      <w:start w:val="2"/>
    </w:lvl>
  </w:abstractNum>
  <w:abstractNum w:abstractNumId="185">
    <w:nsid w:val="434BAE75"/>
    <w:multiLevelType w:val="hybridMultilevel"/>
    <w:lvl w:ilvl="0">
      <w:lvlJc w:val="left"/>
      <w:lvlText w:val="(%1)"/>
      <w:numFmt w:val="decimal"/>
      <w:start w:val="2"/>
    </w:lvl>
  </w:abstractNum>
  <w:abstractNum w:abstractNumId="186">
    <w:nsid w:val="4F38F265"/>
    <w:multiLevelType w:val="hybridMultilevel"/>
    <w:lvl w:ilvl="0">
      <w:lvlJc w:val="left"/>
      <w:lvlText w:val="●"/>
      <w:numFmt w:val="bullet"/>
      <w:start w:val="1"/>
    </w:lvl>
  </w:abstractNum>
  <w:abstractNum w:abstractNumId="187">
    <w:nsid w:val="4C502870"/>
    <w:multiLevelType w:val="hybridMultilevel"/>
    <w:lvl w:ilvl="0">
      <w:lvlJc w:val="left"/>
      <w:lvlText w:val="●"/>
      <w:numFmt w:val="bullet"/>
      <w:start w:val="1"/>
    </w:lvl>
  </w:abstractNum>
  <w:abstractNum w:abstractNumId="188">
    <w:nsid w:val="1DE8725A"/>
    <w:multiLevelType w:val="hybridMultilevel"/>
    <w:lvl w:ilvl="0">
      <w:lvlJc w:val="left"/>
      <w:lvlText w:val="%1."/>
      <w:numFmt w:val="upperLetter"/>
      <w:start w:val="1"/>
    </w:lvl>
  </w:abstractNum>
  <w:abstractNum w:abstractNumId="189">
    <w:nsid w:val="6A37288A"/>
    <w:multiLevelType w:val="hybridMultilevel"/>
    <w:lvl w:ilvl="0">
      <w:lvlJc w:val="left"/>
      <w:lvlText w:val="●"/>
      <w:numFmt w:val="bullet"/>
      <w:start w:val="1"/>
    </w:lvl>
  </w:abstractNum>
  <w:abstractNum w:abstractNumId="190">
    <w:nsid w:val="8F8B73F"/>
    <w:multiLevelType w:val="hybridMultilevel"/>
    <w:lvl w:ilvl="0">
      <w:lvlJc w:val="left"/>
      <w:lvlText w:val="●"/>
      <w:numFmt w:val="bullet"/>
      <w:start w:val="1"/>
    </w:lvl>
  </w:abstractNum>
  <w:abstractNum w:abstractNumId="191">
    <w:nsid w:val="CA6B462"/>
    <w:multiLevelType w:val="hybridMultilevel"/>
    <w:lvl w:ilvl="0">
      <w:lvlJc w:val="left"/>
      <w:lvlText w:val="●"/>
      <w:numFmt w:val="bullet"/>
      <w:start w:val="1"/>
    </w:lvl>
  </w:abstractNum>
  <w:abstractNum w:abstractNumId="192">
    <w:nsid w:val="763CB680"/>
    <w:multiLevelType w:val="hybridMultilevel"/>
    <w:lvl w:ilvl="0">
      <w:lvlJc w:val="left"/>
      <w:lvlText w:val="%1."/>
      <w:numFmt w:val="upperLetter"/>
      <w:start w:val="1"/>
    </w:lvl>
  </w:abstractNum>
  <w:abstractNum w:abstractNumId="193">
    <w:nsid w:val="15B71329"/>
    <w:multiLevelType w:val="hybridMultilevel"/>
    <w:lvl w:ilvl="0">
      <w:lvlJc w:val="left"/>
      <w:lvlText w:val="%1."/>
      <w:numFmt w:val="upperLetter"/>
      <w:start w:val="1"/>
    </w:lvl>
  </w:abstractNum>
  <w:abstractNum w:abstractNumId="194">
    <w:nsid w:val="3DA97044"/>
    <w:multiLevelType w:val="hybridMultilevel"/>
    <w:lvl w:ilvl="0">
      <w:lvlJc w:val="left"/>
      <w:lvlText w:val="%1."/>
      <w:numFmt w:val="upperLetter"/>
      <w:start w:val="2"/>
    </w:lvl>
  </w:abstractNum>
  <w:abstractNum w:abstractNumId="195">
    <w:nsid w:val="1CDCE2DE"/>
    <w:multiLevelType w:val="hybridMultilevel"/>
    <w:lvl w:ilvl="0">
      <w:lvlJc w:val="left"/>
      <w:lvlText w:val="%1."/>
      <w:numFmt w:val="upperLetter"/>
      <w:start w:val="2"/>
    </w:lvl>
  </w:abstractNum>
  <w:abstractNum w:abstractNumId="196">
    <w:nsid w:val="69D3947C"/>
    <w:multiLevelType w:val="hybridMultilevel"/>
    <w:lvl w:ilvl="0">
      <w:lvlJc w:val="left"/>
      <w:lvlText w:val="(%1)"/>
      <w:numFmt w:val="lowerRoman"/>
      <w:start w:val="1"/>
    </w:lvl>
  </w:abstractNum>
  <w:abstractNum w:abstractNumId="197">
    <w:nsid w:val="2539DFA5"/>
    <w:multiLevelType w:val="hybridMultilevel"/>
    <w:lvl w:ilvl="0">
      <w:lvlJc w:val="left"/>
      <w:lvlText w:val="%1."/>
      <w:numFmt w:val="upperLetter"/>
      <w:start w:val="3"/>
    </w:lvl>
  </w:abstractNum>
  <w:abstractNum w:abstractNumId="198">
    <w:nsid w:val="2DB88089"/>
    <w:multiLevelType w:val="hybridMultilevel"/>
    <w:lvl w:ilvl="0">
      <w:lvlJc w:val="left"/>
      <w:lvlText w:val="%1."/>
      <w:numFmt w:val="upperLetter"/>
      <w:start w:val="4"/>
    </w:lvl>
  </w:abstractNum>
  <w:abstractNum w:abstractNumId="199">
    <w:nsid w:val="706B674E"/>
    <w:multiLevelType w:val="hybridMultilevel"/>
    <w:lvl w:ilvl="0">
      <w:lvlJc w:val="left"/>
      <w:lvlText w:val="%1."/>
      <w:numFmt w:val="upperLetter"/>
      <w:start w:val="5"/>
    </w:lvl>
  </w:abstractNum>
  <w:abstractNum w:abstractNumId="200">
    <w:nsid w:val="2C106A57"/>
    <w:multiLevelType w:val="hybridMultilevel"/>
    <w:lvl w:ilvl="0">
      <w:lvlJc w:val="left"/>
      <w:lvlText w:val="%1."/>
      <w:numFmt w:val="upperLetter"/>
      <w:start w:val="1"/>
    </w:lvl>
  </w:abstractNum>
  <w:abstractNum w:abstractNumId="201">
    <w:nsid w:val="684EED59"/>
    <w:multiLevelType w:val="hybridMultilevel"/>
    <w:lvl w:ilvl="0">
      <w:lvlJc w:val="left"/>
      <w:lvlText w:val="%1."/>
      <w:numFmt w:val="upperLetter"/>
      <w:start w:val="2"/>
    </w:lvl>
  </w:abstractNum>
  <w:abstractNum w:abstractNumId="202">
    <w:nsid w:val="545EE5D3"/>
    <w:multiLevelType w:val="hybridMultilevel"/>
    <w:lvl w:ilvl="0">
      <w:lvlJc w:val="left"/>
      <w:lvlText w:val="%1."/>
      <w:numFmt w:val="upperLetter"/>
      <w:start w:val="1"/>
    </w:lvl>
  </w:abstractNum>
  <w:abstractNum w:abstractNumId="203">
    <w:nsid w:val="4A66051"/>
    <w:multiLevelType w:val="hybridMultilevel"/>
    <w:lvl w:ilvl="0">
      <w:lvlJc w:val="left"/>
      <w:lvlText w:val="%1)"/>
      <w:numFmt w:val="lowerRoman"/>
      <w:start w:val="1"/>
    </w:lvl>
  </w:abstractNum>
  <w:abstractNum w:abstractNumId="204">
    <w:nsid w:val="20F4BDAD"/>
    <w:multiLevelType w:val="hybridMultilevel"/>
    <w:lvl w:ilvl="0">
      <w:lvlJc w:val="left"/>
      <w:lvlText w:val="%1."/>
      <w:numFmt w:val="upperLetter"/>
      <w:start w:val="2"/>
    </w:lvl>
  </w:abstractNum>
  <w:abstractNum w:abstractNumId="205">
    <w:nsid w:val="639DEFAC"/>
    <w:multiLevelType w:val="hybridMultilevel"/>
    <w:lvl w:ilvl="0">
      <w:lvlJc w:val="left"/>
      <w:lvlText w:val="%1."/>
      <w:numFmt w:val="upperLetter"/>
      <w:start w:val="3"/>
    </w:lvl>
  </w:abstractNum>
  <w:abstractNum w:abstractNumId="206">
    <w:nsid w:val="501F9786"/>
    <w:multiLevelType w:val="hybridMultilevel"/>
    <w:lvl w:ilvl="0">
      <w:lvlJc w:val="left"/>
      <w:lvlText w:val="%1."/>
      <w:numFmt w:val="upperLetter"/>
      <w:start w:val="4"/>
    </w:lvl>
  </w:abstractNum>
  <w:abstractNum w:abstractNumId="207">
    <w:nsid w:val="6B057295"/>
    <w:multiLevelType w:val="hybridMultilevel"/>
    <w:lvl w:ilvl="0">
      <w:lvlJc w:val="left"/>
      <w:lvlText w:val="%1."/>
      <w:numFmt w:val="upperLetter"/>
      <w:start w:val="1"/>
    </w:lvl>
  </w:abstractNum>
  <w:abstractNum w:abstractNumId="208">
    <w:nsid w:val="2771AC80"/>
    <w:multiLevelType w:val="hybridMultilevel"/>
    <w:lvl w:ilvl="0">
      <w:lvlJc w:val="left"/>
      <w:lvlText w:val="%1."/>
      <w:numFmt w:val="upperLetter"/>
      <w:start w:val="1"/>
    </w:lvl>
  </w:abstractNum>
  <w:abstractNum w:abstractNumId="209">
    <w:nsid w:val="1C4A08EC"/>
    <w:multiLevelType w:val="hybridMultilevel"/>
    <w:lvl w:ilvl="0">
      <w:lvlJc w:val="left"/>
      <w:lvlText w:val="%1."/>
      <w:numFmt w:val="upperLetter"/>
      <w:start w:val="1"/>
    </w:lvl>
  </w:abstractNum>
  <w:abstractNum w:abstractNumId="210">
    <w:nsid w:val="1958BD17"/>
    <w:multiLevelType w:val="hybridMultilevel"/>
    <w:lvl w:ilvl="0">
      <w:lvlJc w:val="left"/>
      <w:lvlText w:val="%1."/>
      <w:numFmt w:val="upperLetter"/>
      <w:start w:val="1"/>
    </w:lvl>
  </w:abstractNum>
  <w:abstractNum w:abstractNumId="211">
    <w:nsid w:val="4E647FE4"/>
    <w:multiLevelType w:val="hybridMultilevel"/>
    <w:lvl w:ilvl="0">
      <w:lvlJc w:val="left"/>
      <w:lvlText w:val="%1."/>
      <w:numFmt w:val="upperLetter"/>
      <w:start w:val="1"/>
    </w:lvl>
  </w:abstractNum>
  <w:abstractNum w:abstractNumId="212">
    <w:nsid w:val="E0BB885"/>
    <w:multiLevelType w:val="hybridMultilevel"/>
    <w:lvl w:ilvl="0">
      <w:lvlJc w:val="left"/>
      <w:lvlText w:val="●"/>
      <w:numFmt w:val="bullet"/>
      <w:start w:val="1"/>
    </w:lvl>
  </w:abstractNum>
  <w:abstractNum w:abstractNumId="213">
    <w:nsid w:val="565976F1"/>
    <w:multiLevelType w:val="hybridMultilevel"/>
    <w:lvl w:ilvl="0">
      <w:lvlJc w:val="left"/>
      <w:lvlText w:val="●"/>
      <w:numFmt w:val="bullet"/>
      <w:start w:val="1"/>
    </w:lvl>
  </w:abstractNum>
  <w:abstractNum w:abstractNumId="214">
    <w:nsid w:val="64212B8C"/>
    <w:multiLevelType w:val="hybridMultilevel"/>
    <w:lvl w:ilvl="0">
      <w:lvlJc w:val="left"/>
      <w:lvlText w:val="●"/>
      <w:numFmt w:val="bullet"/>
      <w:start w:val="1"/>
    </w:lvl>
  </w:abstractNum>
  <w:abstractNum w:abstractNumId="215">
    <w:nsid w:val="5C17530C"/>
    <w:multiLevelType w:val="hybridMultilevel"/>
    <w:lvl w:ilvl="0">
      <w:lvlJc w:val="left"/>
      <w:lvlText w:val="●"/>
      <w:numFmt w:val="bullet"/>
      <w:start w:val="1"/>
    </w:lvl>
    <w:lvl w:ilvl="1">
      <w:lvlJc w:val="left"/>
      <w:lvlText w:val="(%2)"/>
      <w:numFmt w:val="lowerLetter"/>
      <w:start w:val="1"/>
    </w:lvl>
  </w:abstractNum>
  <w:abstractNum w:abstractNumId="216">
    <w:nsid w:val="19A52566"/>
    <w:multiLevelType w:val="hybridMultilevel"/>
    <w:lvl w:ilvl="0">
      <w:lvlJc w:val="left"/>
      <w:lvlText w:val="●"/>
      <w:numFmt w:val="bullet"/>
      <w:start w:val="1"/>
    </w:lvl>
  </w:abstractNum>
  <w:abstractNum w:abstractNumId="217">
    <w:nsid w:val="335A1DF1"/>
    <w:multiLevelType w:val="hybridMultilevel"/>
    <w:lvl w:ilvl="0">
      <w:lvlJc w:val="left"/>
      <w:lvlText w:val="●"/>
      <w:numFmt w:val="bullet"/>
      <w:start w:val="1"/>
    </w:lvl>
  </w:abstractNum>
  <w:abstractNum w:abstractNumId="218">
    <w:nsid w:val="28677B7C"/>
    <w:multiLevelType w:val="hybridMultilevel"/>
    <w:lvl w:ilvl="0">
      <w:lvlJc w:val="left"/>
      <w:lvlText w:val="●"/>
      <w:numFmt w:val="bullet"/>
      <w:start w:val="1"/>
    </w:lvl>
  </w:abstractNum>
  <w:abstractNum w:abstractNumId="219">
    <w:nsid w:val="378D97C0"/>
    <w:multiLevelType w:val="hybridMultilevel"/>
    <w:lvl w:ilvl="0">
      <w:lvlJc w:val="left"/>
      <w:lvlText w:val="●"/>
      <w:numFmt w:val="bullet"/>
      <w:start w:val="1"/>
    </w:lvl>
  </w:abstractNum>
  <w:abstractNum w:abstractNumId="220">
    <w:nsid w:val="1D91467C"/>
    <w:multiLevelType w:val="hybridMultilevel"/>
    <w:lvl w:ilvl="0">
      <w:lvlJc w:val="left"/>
      <w:lvlText w:val="●"/>
      <w:numFmt w:val="bullet"/>
      <w:start w:val="1"/>
    </w:lvl>
  </w:abstractNum>
  <w:abstractNum w:abstractNumId="221">
    <w:nsid w:val="316032BB"/>
    <w:multiLevelType w:val="hybridMultilevel"/>
    <w:lvl w:ilvl="0">
      <w:lvlJc w:val="left"/>
      <w:lvlText w:val="●"/>
      <w:numFmt w:val="bullet"/>
      <w:start w:val="1"/>
    </w:lvl>
  </w:abstractNum>
  <w:abstractNum w:abstractNumId="222">
    <w:nsid w:val="44344C22"/>
    <w:multiLevelType w:val="hybridMultilevel"/>
    <w:lvl w:ilvl="0">
      <w:lvlJc w:val="left"/>
      <w:lvlText w:val="%1."/>
      <w:numFmt w:val="decimal"/>
      <w:start w:val="1"/>
    </w:lvl>
    <w:lvl w:ilvl="1">
      <w:lvlJc w:val="left"/>
      <w:lvlText w:val="(%2)"/>
      <w:numFmt w:val="lowerLetter"/>
      <w:start w:val="1"/>
    </w:lvl>
  </w:abstractNum>
  <w:abstractNum w:abstractNumId="223">
    <w:nsid w:val="13CDFCFC"/>
    <w:multiLevelType w:val="hybridMultilevel"/>
    <w:lvl w:ilvl="0">
      <w:lvlJc w:val="left"/>
      <w:lvlText w:val="%1."/>
      <w:numFmt w:val="decimal"/>
      <w:start w:val="1"/>
    </w:lvl>
    <w:lvl w:ilvl="1">
      <w:lvlJc w:val="left"/>
      <w:lvlText w:val="(%2)"/>
      <w:numFmt w:val="lowerLetter"/>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2023-03-21T05:30:31Z</dcterms:created>
  <dcterms:modified xsi:type="dcterms:W3CDTF">2023-03-21T05:30:31Z</dcterms:modified>
</cp:coreProperties>
</file>