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284597-s8pos_keelinfra.htm"/>
      <w:bookmarkStart w:id="1" w:name="ksea0284597s8pos_keelinfra"/>
      <w:bookmarkEnd w:id="0"/>
      <w:bookmarkEnd w:id="1"/>
      <w:r>
        <w:rPr>
          <w:b/>
        </w:rPr>
        <w:t>As filed with the Securities and Exchange Commission on April 1, 2026</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333-285894</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333-278868</w:t>
      </w:r>
    </w:p>
    <w:p>
      <w:pPr>
        <w:pStyle w:val="TextBody"/>
        <w:bidi w:val="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333-285894</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 REGISTRATION STATEMENT NO. 333-278868</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KEEL INFRASTRUCTURE CORP.</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395"/>
        <w:gridCol w:w="60"/>
        <w:gridCol w:w="1565"/>
      </w:tblGrid>
      <w:tr>
        <w:trPr/>
        <w:tc>
          <w:tcPr>
            <w:tcW w:w="3395"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rPr>
            </w:pPr>
            <w:r>
              <w:rPr>
                <w:b/>
              </w:rPr>
              <w:t>41-4266374</w:t>
            </w:r>
          </w:p>
        </w:tc>
      </w:tr>
      <w:tr>
        <w:trPr/>
        <w:tc>
          <w:tcPr>
            <w:tcW w:w="3395" w:type="dxa"/>
            <w:tcBorders/>
            <w:tcMar>
              <w:bottom w:w="0" w:type="dxa"/>
            </w:tcMar>
            <w:vAlign w:val="center"/>
          </w:tcPr>
          <w:p>
            <w:pPr>
              <w:pStyle w:val="TableContents"/>
              <w:bidi w:val="0"/>
              <w:spacing w:before="0" w:after="283"/>
              <w:jc w:val="center"/>
              <w:rPr>
                <w:b/>
                <w:sz w:val="20"/>
              </w:rPr>
            </w:pPr>
            <w:r>
              <w:rPr>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r>
        <w:trPr/>
        <w:tc>
          <w:tcPr>
            <w:tcW w:w="33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pPr>
            <w:r>
              <w:rPr/>
              <w:t> </w:t>
            </w:r>
          </w:p>
        </w:tc>
      </w:tr>
      <w:tr>
        <w:trPr/>
        <w:tc>
          <w:tcPr>
            <w:tcW w:w="3395" w:type="dxa"/>
            <w:tcBorders>
              <w:bottom w:val="single" w:sz="12" w:space="0" w:color="000000"/>
            </w:tcBorders>
            <w:vAlign w:val="center"/>
          </w:tcPr>
          <w:p>
            <w:pPr>
              <w:pStyle w:val="TableContents"/>
              <w:bidi w:val="0"/>
              <w:spacing w:before="0" w:after="283"/>
              <w:jc w:val="center"/>
              <w:rPr>
                <w:b/>
              </w:rPr>
            </w:pPr>
            <w:r>
              <w:rPr>
                <w:b/>
              </w:rPr>
              <w:t>120 Broadway, Suite 1075,</w:t>
              <w:br/>
              <w:t>New York, New York</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rPr>
            </w:pPr>
            <w:r>
              <w:rPr>
                <w:b/>
              </w:rPr>
              <w:t>10004</w:t>
            </w:r>
          </w:p>
        </w:tc>
      </w:tr>
      <w:tr>
        <w:trPr/>
        <w:tc>
          <w:tcPr>
            <w:tcW w:w="3395"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 Long Term Incentive Plan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Stronghold Digital Mining, Inc. Omnibus Incentive Plan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3755"/>
        <w:gridCol w:w="60"/>
        <w:gridCol w:w="2255"/>
      </w:tblGrid>
      <w:tr>
        <w:trPr/>
        <w:tc>
          <w:tcPr>
            <w:tcW w:w="37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Ryan J. Dzierniejko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Manhattan West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735-3000</w:t>
            </w:r>
          </w:p>
        </w:tc>
        <w:tc>
          <w:tcPr>
            <w:tcW w:w="60" w:type="dxa"/>
            <w:tcBorders/>
            <w:vAlign w:val="center"/>
          </w:tcPr>
          <w:p>
            <w:pPr>
              <w:pStyle w:val="TableContents"/>
              <w:bidi w:val="0"/>
              <w:spacing w:before="0" w:after="283"/>
              <w:jc w:val="center"/>
              <w:rPr/>
            </w:pPr>
            <w:r>
              <w:rPr/>
              <w:t> </w:t>
            </w:r>
          </w:p>
        </w:tc>
        <w:tc>
          <w:tcPr>
            <w:tcW w:w="22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Rachel Silverstein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Keel Infrastructure Corp.</w:t>
              <w:br/>
              <w:t>120 Broadway, Suite 1075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10004</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(929) 264-5151</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both"/>
              <w:rPr/>
            </w:pPr>
            <w:r>
              <w:rPr/>
              <w:t>Large 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both"/>
              <w:rPr/>
            </w:pPr>
            <w:r>
              <w:rPr/>
              <w:t>Non-accelerated filer</w:t>
            </w:r>
          </w:p>
        </w:tc>
        <w:tc>
          <w:tcPr>
            <w:tcW w:w="23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pPr>
            <w:r>
              <w:rPr/>
              <w:t>Smaller reporting company</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pPr>
            <w:r>
              <w:rPr/>
              <w:t>Emerging growth company</w:t>
            </w:r>
          </w:p>
        </w:tc>
        <w:tc>
          <w:tcPr>
            <w:tcW w:w="245" w:type="dxa"/>
            <w:tcBorders/>
            <w:vAlign w:val="center"/>
          </w:tcPr>
          <w:p>
            <w:pPr>
              <w:pStyle w:val="TableContents"/>
              <w:bidi w:val="0"/>
              <w:spacing w:before="0" w:after="283"/>
              <w:jc w:val="both"/>
              <w:rPr/>
            </w:pPr>
            <w:r>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7" w:type="dxa"/>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the Securities Act. ☐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is being filed pursuant to Rule 414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by Keel Infrastructure Corp., a Delaware corporation (“</w:t>
      </w:r>
      <w:r>
        <w:rPr>
          <w:rFonts w:ascii="Times New Roman;Times;Serif" w:hAnsi="Times New Roman;Times;Serif"/>
          <w:b w:val="false"/>
          <w:i w:val="false"/>
          <w:caps w:val="false"/>
          <w:smallCaps w:val="false"/>
          <w:sz w:val="20"/>
          <w:u w:val="single"/>
        </w:rPr>
        <w:t>Keel</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as successor issuer to Bitfarms Ltd., a corporation existing under the laws of the Province of Ontario (“</w:t>
      </w:r>
      <w:r>
        <w:rPr>
          <w:rFonts w:ascii="Times New Roman;Times;Serif" w:hAnsi="Times New Roman;Times;Serif"/>
          <w:b w:val="false"/>
          <w:i w:val="false"/>
          <w:caps w:val="false"/>
          <w:smallCaps w:val="false"/>
          <w:sz w:val="20"/>
          <w:u w:val="single"/>
        </w:rPr>
        <w:t>Bitfarms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12:01 a.m. (Eastern Daylight Time) on April 1, 2026, Keel became the ultimate parent company of Bitfarms and its subsidiaries pursuant to a statutory plan of arrangement under Section 182 of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(Ontario) (the “</w:t>
      </w:r>
      <w:r>
        <w:rPr>
          <w:rFonts w:ascii="Times New Roman;Times;Serif" w:hAnsi="Times New Roman;Times;Serif"/>
          <w:b w:val="false"/>
          <w:i w:val="false"/>
          <w:caps w:val="false"/>
          <w:smallCaps w:val="false"/>
          <w:sz w:val="20"/>
          <w:u w:val="single"/>
        </w:rPr>
        <w:t>Arrangement</w:t>
      </w:r>
      <w:r>
        <w:rPr>
          <w:rFonts w:ascii="Times New Roman;Times;Serif" w:hAnsi="Times New Roman;Times;Serif"/>
          <w:b w:val="false"/>
          <w:i w:val="false"/>
          <w:caps w:val="false"/>
          <w:smallCaps w:val="false"/>
          <w:sz w:val="20"/>
        </w:rPr>
        <w:t>”) as part of Bitfarms’ previously announced intention to redomicile from Canada to the United States (the “</w:t>
      </w:r>
      <w:r>
        <w:rPr>
          <w:rFonts w:ascii="Times New Roman;Times;Serif" w:hAnsi="Times New Roman;Times;Serif"/>
          <w:b w:val="false"/>
          <w:i w:val="false"/>
          <w:caps w:val="false"/>
          <w:smallCaps w:val="false"/>
          <w:sz w:val="20"/>
          <w:u w:val="single"/>
        </w:rPr>
        <w:t>U.S. Redomiciliation Transaction</w:t>
      </w:r>
      <w:r>
        <w:rPr>
          <w:rFonts w:ascii="Times New Roman;Times;Serif" w:hAnsi="Times New Roman;Times;Serif"/>
          <w:b w:val="false"/>
          <w:i w:val="false"/>
          <w:caps w:val="false"/>
          <w:smallCaps w:val="false"/>
          <w:sz w:val="20"/>
        </w:rPr>
        <w:t>”). Pursuant to the Arrangement, Keel indirectly acquired all of the issued and outstanding common shares in the capital of Bitfarms, and in exchange, former Bitfarms shareholders received one share of common stock of Keel (“</w:t>
      </w:r>
      <w:r>
        <w:rPr>
          <w:rFonts w:ascii="Times New Roman;Times;Serif" w:hAnsi="Times New Roman;Times;Serif"/>
          <w:b w:val="false"/>
          <w:i w:val="false"/>
          <w:caps w:val="false"/>
          <w:smallCaps w:val="false"/>
          <w:sz w:val="20"/>
          <w:u w:val="single"/>
        </w:rPr>
        <w:t>Keel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U.S. Redomiciliation Transaction, Keel is assuming awards granted and the remaining shares available for issuance under Bitfarms’ incentive plans and will provide for the issuance of shares of Keel Common Stock rather than the common shares of Bitfarms upon the exercise or settlement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pertains to the adoption by the Registrant of the following registration statements on Form S-8 (collectively, the “</w:t>
      </w:r>
      <w:r>
        <w:rPr>
          <w:rFonts w:ascii="Times New Roman;Times;Serif" w:hAnsi="Times New Roman;Times;Serif"/>
          <w:b w:val="false"/>
          <w:i w:val="false"/>
          <w:caps w:val="false"/>
          <w:smallCaps w:val="false"/>
          <w:sz w:val="20"/>
          <w:u w:val="single"/>
        </w:rPr>
        <w:t>Registration Statements</w:t>
      </w:r>
      <w:r>
        <w:rPr>
          <w:rFonts w:ascii="Times New Roman;Times;Serif" w:hAnsi="Times New Roman;Times;Serif"/>
          <w:b w:val="false"/>
          <w:i w:val="false"/>
          <w:caps w:val="false"/>
          <w:smallCaps w:val="false"/>
          <w:sz w:val="20"/>
        </w:rPr>
        <w:t>”): (i) Registration No. 333-285894 and (ii) Registration No. 333-278868. Keel hereby expressly adopts each Registration Statement as its own registration statement for all purposes of the Securities Act and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This Post-Effective Amendment constitutes Post-Effective Amendment No. 1 to each of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br/>
        <w:br/>
        <w:t>Information Required in the Registration Statement</w:t>
      </w:r>
    </w:p>
    <w:p>
      <w:pPr>
        <w:pStyle w:val="TextBody"/>
        <w:bidi w:val="0"/>
        <w:spacing w:before="0" w:after="0"/>
        <w:ind w:left="0" w:right="0" w:hanging="0"/>
        <w:jc w:val="center"/>
        <w:rPr>
          <w:caps/>
        </w:rPr>
      </w:pPr>
      <w:r>
        <w:rPr>
          <w:caps/>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Incorporation of Documents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hereby incorporates by reference the following documents previously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(only to the extent “filed” and not “furnished” in accordance with SEC rules):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 xml:space="preserve">Bitfarms’ Annual Report on </w:t>
            </w:r>
            <w:hyperlink r:id="rId2">
              <w:r>
                <w:rPr>
                  <w:rStyle w:val="InternetLink"/>
                </w:rPr>
                <w:t>Form 10-K</w:t>
              </w:r>
            </w:hyperlink>
            <w:r>
              <w:rPr/>
              <w:t xml:space="preserve"> for the fiscal year ended December 31, 2025, filed with the SEC on March 31, 2026;</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(b)</w:t>
            </w:r>
          </w:p>
        </w:tc>
        <w:tc>
          <w:tcPr>
            <w:tcW w:w="9881" w:type="dxa"/>
            <w:tcBorders/>
            <w:vAlign w:val="center"/>
          </w:tcPr>
          <w:p>
            <w:pPr>
              <w:pStyle w:val="TableContents"/>
              <w:bidi w:val="0"/>
              <w:spacing w:before="0" w:after="283"/>
              <w:jc w:val="both"/>
              <w:rPr/>
            </w:pPr>
            <w:r>
              <w:rPr/>
              <w:t>all other reports filed pursuant to Section 13(a) or 15(d) of the Exchange Act since December 31, 2025;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 xml:space="preserve">the description of Keel’s common stock which is contained in Keel’s Current Report on </w:t>
            </w:r>
            <w:hyperlink r:id="rId3">
              <w:r>
                <w:rPr>
                  <w:rStyle w:val="InternetLink"/>
                </w:rPr>
                <w:t>Form 8-K</w:t>
              </w:r>
            </w:hyperlink>
            <w:r>
              <w:rPr/>
              <w:t xml:space="preserve"> filed on April 1, 2026 pursuant to Rule 12g-3(a) promulgated under the Exchange Act,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that Keel subsequently files pursuant to Sections 13(a) and 13(c), 14 and 15(d) of the Exchange Act, after the date of this Post-Effective Amendment and prior to the filing of a post-effective amendment to this Post-Effective Amendment which indicates that all securities offered hereunder have been sold or which deregisters all such securities then remaining unsold, shall be deemed to be incorporated by reference in this Post-Effective Amendment and to be a part hereof from the date of filing of such reports and documents. Unless expressly incorporated in this Post-Effective Amendment, a report furnished on Form 8-K shall not be incorporated by reference into this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incorporated by reference herein shall be deemed to be modified or superseded for purposes of this Post-Effective Amendment to the extent that a statement contained herein or in any other subsequently filed document which also is or is deemed to be incorporated by reference herein modifies or supersedes such earlier statement. Any statement so modified or superseded shall not be deemed, except as so modified or superseded, to constitute a part of this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Description of Securities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Interests of Named Experts and Counsel</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Indemnification of Directors and Officers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145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in which such action or suit was brought determines that, in view of all the circumstances of the case, such person is fairly and reasonably entitled to indemnity for such expenses as the court shall deem proper.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Keel amended and restated certificate of incorporation provides that its current and former directors and officers will be indemnified by Keel to the fullest extent authorized by Delaware law as it now exists or may in the future be amended, against all expenses, liabilities and loss incurred in connection with their service as a director or officer on behalf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DGCL, the Keel amended and restated certificate of incorporation provides that a director or officer of Keel shall not be personally liable to Keel or its stockholders for monetary damages for breach of fiduciary duty as a director or officer, except for such liability as is expressly not subject to limitation under Section 102(b)(7) of the DGCL. Any amendment to, or repeal of, these provisions will not eliminate or reduce the effect of these provisions in respect of any act, omission or claim that occurred or arose prior to that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Keel’s bylaws provide that Keel will indemnify any person who is or was a party or is threatened to be made a party to any action, suit, or proceeding by reason of the fact that such person is or was one of Keel’s directors or officers or is or was serving at Keel’s request as a director or officer of another corporation, partnership, joint venture, trust, or other enterprise. Keel’s bylaws also provide that Keel must advance expenses incurred by a director or officer in defending any action, suit or proceeding in advance of the final disposition of such action, suit or proceeding (subject to receipt of an undertaking by or on behalf of such director or officer to repay such amount if it is ultimately determined that such person is not entitled to be indemnified by Keel).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has also authorized the entry into indemnification agreements with its directors and officers. The indemnification agreements require the Registrant to indemnify, and advance expenses to, such directors and officers to the fullest extent permitted by applicable law, on the terms and conditions set forth therein. Keel believes that these agreements are necessary to retain and attract qualified individuals to serve as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145(g) of the DGCL, Keel also maintains a directors’ and officers’ insurance policy which insures the directors and officers of Keel against liability asserted against such persons in such capacity whether or not such directors or officers have the right to indemnification pursuant to the Keel certificate of incorporation, bylaws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w:t>
      </w:r>
      <w:r>
        <w:rPr>
          <w:rFonts w:ascii="Times New Roman;Times;Serif" w:hAnsi="Times New Roman;Times;Serif"/>
          <w:b/>
          <w:i w:val="false"/>
          <w:caps w:val="false"/>
          <w:smallCaps w:val="false"/>
          <w:sz w:val="20"/>
          <w:u w:val="single"/>
        </w:rPr>
        <w:t>Exemption from Registration Claimed</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Exhibits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w:t>
      </w:r>
      <w:r>
        <w:rPr>
          <w:rFonts w:ascii="Times New Roman;Times;Serif" w:hAnsi="Times New Roman;Times;Serif"/>
          <w:b/>
          <w:i w:val="false"/>
          <w:caps w:val="false"/>
          <w:smallCaps w:val="false"/>
          <w:sz w:val="20"/>
          <w:u w:val="single"/>
        </w:rPr>
        <w:t>Undertakings</w:t>
      </w:r>
      <w:r>
        <w:rPr>
          <w:rFonts w:ascii="Times New Roman;Times;Serif" w:hAnsi="Times New Roman;Times;Serif"/>
          <w:b/>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2"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1584" w:right="0" w:hanging="50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10"/>
        <w:gridCol w:w="9844"/>
      </w:tblGrid>
      <w:tr>
        <w:trPr/>
        <w:tc>
          <w:tcPr>
            <w:tcW w:w="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(i)</w:t>
            </w:r>
          </w:p>
        </w:tc>
        <w:tc>
          <w:tcPr>
            <w:tcW w:w="9844" w:type="dxa"/>
            <w:tcBorders/>
            <w:vAlign w:val="center"/>
          </w:tcPr>
          <w:p>
            <w:pPr>
              <w:pStyle w:val="TableContents"/>
              <w:bidi w:val="0"/>
              <w:spacing w:before="0" w:after="283"/>
              <w:jc w:val="both"/>
              <w:rPr/>
            </w:pPr>
            <w:r>
              <w:rPr/>
              <w:t>To include any prospectus required by Section 10(a)(3) of the Securities Act;</w:t>
            </w:r>
          </w:p>
        </w:tc>
      </w:tr>
    </w:tbl>
    <w:p>
      <w:pPr>
        <w:pStyle w:val="TextBody"/>
        <w:bidi w:val="0"/>
        <w:spacing w:before="0" w:after="0"/>
        <w:ind w:left="1584" w:right="0" w:hanging="50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(ii)</w:t>
            </w:r>
          </w:p>
        </w:tc>
        <w:tc>
          <w:tcPr>
            <w:tcW w:w="9929"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tc>
      </w:tr>
    </w:tbl>
    <w:p>
      <w:pPr>
        <w:pStyle w:val="TextBody"/>
        <w:bidi w:val="0"/>
        <w:spacing w:before="0" w:after="0"/>
        <w:ind w:left="1584" w:right="0" w:hanging="504"/>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paragraphs (a)(1)(i) and (a)(1)(ii)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i/>
              </w:rPr>
              <w:t xml:space="preserve">bona fide </w:t>
            </w:r>
            <w:r>
              <w:rPr/>
              <w:t>offering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II-3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Index</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28" w:type="dxa"/>
          <w:right w:w="0" w:type="dxa"/>
        </w:tblCellMar>
      </w:tblPr>
      <w:tblGrid>
        <w:gridCol w:w="1070"/>
        <w:gridCol w:w="60"/>
        <w:gridCol w:w="9075"/>
      </w:tblGrid>
      <w:tr>
        <w:trPr/>
        <w:tc>
          <w:tcPr>
            <w:tcW w:w="1070" w:type="dxa"/>
            <w:tcBorders>
              <w:bottom w:val="single" w:sz="12" w:space="0" w:color="000000"/>
            </w:tcBorders>
            <w:vAlign w:val="center"/>
          </w:tcPr>
          <w:p>
            <w:pPr>
              <w:pStyle w:val="TableContents"/>
              <w:bidi w:val="0"/>
              <w:spacing w:before="0" w:after="283"/>
              <w:jc w:val="both"/>
              <w:rPr>
                <w:b/>
              </w:rPr>
            </w:pPr>
            <w:r>
              <w:rPr>
                <w:b/>
              </w:rPr>
              <w:t>EXHIBIT</w:t>
            </w:r>
          </w:p>
        </w:tc>
        <w:tc>
          <w:tcPr>
            <w:tcW w:w="60" w:type="dxa"/>
            <w:tcBorders/>
            <w:tcMar>
              <w:bottom w:w="0" w:type="dxa"/>
            </w:tcMar>
            <w:vAlign w:val="center"/>
          </w:tcPr>
          <w:p>
            <w:pPr>
              <w:pStyle w:val="TableContents"/>
              <w:bidi w:val="0"/>
              <w:spacing w:before="0" w:after="283"/>
              <w:jc w:val="left"/>
              <w:rPr/>
            </w:pPr>
            <w:r>
              <w:rPr/>
              <w:t> </w:t>
            </w:r>
          </w:p>
        </w:tc>
        <w:tc>
          <w:tcPr>
            <w:tcW w:w="9075" w:type="dxa"/>
            <w:tcBorders/>
            <w:tcMar>
              <w:bottom w:w="0" w:type="dxa"/>
            </w:tcMar>
            <w:vAlign w:val="center"/>
          </w:tcPr>
          <w:p>
            <w:pPr>
              <w:pStyle w:val="TableContents"/>
              <w:bidi w:val="0"/>
              <w:spacing w:before="0" w:after="283"/>
              <w:jc w:val="left"/>
              <w:rPr/>
            </w:pPr>
            <w:r>
              <w:rPr/>
              <w:t> </w:t>
            </w:r>
          </w:p>
        </w:tc>
      </w:tr>
      <w:tr>
        <w:trPr/>
        <w:tc>
          <w:tcPr>
            <w:tcW w:w="1070" w:type="dxa"/>
            <w:tcBorders/>
            <w:shd w:fill="CCEEFF" w:val="clear"/>
            <w:tcMar>
              <w:bottom w:w="0" w:type="dxa"/>
            </w:tcMar>
            <w:vAlign w:val="center"/>
          </w:tcPr>
          <w:p>
            <w:pPr>
              <w:pStyle w:val="TableContents"/>
              <w:bidi w:val="0"/>
              <w:spacing w:before="0" w:after="283"/>
              <w:jc w:val="both"/>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r:id="rId4">
              <w:r>
                <w:rPr>
                  <w:rStyle w:val="InternetLink"/>
                </w:rPr>
                <w:t>Amended and Restated Certificate of Incorporation of Keel Infrastructure Corp. (incorporated by reference to Exhibit 3.1 of Keel’s Form 8-K filed with the SEC on April 1, 2026)</w:t>
              </w:r>
            </w:hyperlink>
          </w:p>
        </w:tc>
      </w:tr>
      <w:tr>
        <w:trPr/>
        <w:tc>
          <w:tcPr>
            <w:tcW w:w="1070" w:type="dxa"/>
            <w:tcBorders/>
            <w:shd w:fill="FFFFFF" w:val="clear"/>
            <w:tcMar>
              <w:bottom w:w="0" w:type="dxa"/>
            </w:tcMar>
            <w:vAlign w:val="center"/>
          </w:tcPr>
          <w:p>
            <w:pPr>
              <w:pStyle w:val="TableContents"/>
              <w:bidi w:val="0"/>
              <w:spacing w:before="0" w:after="283"/>
              <w:jc w:val="both"/>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5" w:type="dxa"/>
            <w:tcBorders/>
            <w:shd w:fill="FFFFFF" w:val="clear"/>
            <w:tcMar>
              <w:bottom w:w="0" w:type="dxa"/>
            </w:tcMar>
            <w:vAlign w:val="center"/>
          </w:tcPr>
          <w:p>
            <w:pPr>
              <w:pStyle w:val="TableContents"/>
              <w:bidi w:val="0"/>
              <w:spacing w:before="0" w:after="283"/>
              <w:jc w:val="both"/>
              <w:rPr/>
            </w:pPr>
            <w:hyperlink r:id="rId5">
              <w:r>
                <w:rPr>
                  <w:rStyle w:val="InternetLink"/>
                </w:rPr>
                <w:t>Bylaws of Keel Infrastructure Corp. (incorporated by reference to Exhibit 3.2 of Keel’s Form 8-K filed with the SEC on April 1, 2026)</w:t>
              </w:r>
            </w:hyperlink>
          </w:p>
        </w:tc>
      </w:tr>
      <w:tr>
        <w:trPr/>
        <w:tc>
          <w:tcPr>
            <w:tcW w:w="1070" w:type="dxa"/>
            <w:tcBorders/>
            <w:shd w:fill="CCEEFF" w:val="clear"/>
            <w:tcMar>
              <w:bottom w:w="0" w:type="dxa"/>
            </w:tcMar>
            <w:vAlign w:val="center"/>
          </w:tcPr>
          <w:p>
            <w:pPr>
              <w:pStyle w:val="TableContents"/>
              <w:bidi w:val="0"/>
              <w:spacing w:before="0" w:after="283"/>
              <w:jc w:val="both"/>
              <w:rPr/>
            </w:pPr>
            <w:r>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r:id="rId6">
              <w:r>
                <w:rPr>
                  <w:rStyle w:val="InternetLink"/>
                </w:rPr>
                <w:t>Bitfarms Ltd. Long Term Incentive Plan (incorporated by reference to Exhibit 4.3 of Bitfarms’ Form S-8 filed with the SEC on April 22, 2024)</w:t>
              </w:r>
            </w:hyperlink>
          </w:p>
        </w:tc>
      </w:tr>
      <w:tr>
        <w:trPr/>
        <w:tc>
          <w:tcPr>
            <w:tcW w:w="1070" w:type="dxa"/>
            <w:tcBorders/>
            <w:shd w:fill="FFFFFF" w:val="clear"/>
            <w:tcMar>
              <w:bottom w:w="0" w:type="dxa"/>
            </w:tcMar>
            <w:vAlign w:val="center"/>
          </w:tcPr>
          <w:p>
            <w:pPr>
              <w:pStyle w:val="TableContents"/>
              <w:bidi w:val="0"/>
              <w:spacing w:before="0" w:after="283"/>
              <w:jc w:val="both"/>
              <w:rPr/>
            </w:pPr>
            <w:r>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075" w:type="dxa"/>
            <w:tcBorders/>
            <w:shd w:fill="FFFFFF" w:val="clear"/>
            <w:tcMar>
              <w:bottom w:w="0" w:type="dxa"/>
            </w:tcMar>
            <w:vAlign w:val="center"/>
          </w:tcPr>
          <w:p>
            <w:pPr>
              <w:pStyle w:val="TableContents"/>
              <w:bidi w:val="0"/>
              <w:spacing w:before="0" w:after="283"/>
              <w:jc w:val="both"/>
              <w:rPr/>
            </w:pPr>
            <w:hyperlink r:id="rId7">
              <w:r>
                <w:rPr>
                  <w:rStyle w:val="InternetLink"/>
                </w:rPr>
                <w:t>Stronghold Digital Mining, Inc. Omnibus Incentive Plan (incorporated by reference to Exhibit 4.3 of Bitfarms’ Form S-8 filed on March 19, 2025)</w:t>
              </w:r>
            </w:hyperlink>
          </w:p>
        </w:tc>
      </w:tr>
      <w:tr>
        <w:trPr/>
        <w:tc>
          <w:tcPr>
            <w:tcW w:w="1070" w:type="dxa"/>
            <w:tcBorders/>
            <w:shd w:fill="CCEEFF" w:val="clear"/>
            <w:tcMar>
              <w:bottom w:w="0" w:type="dxa"/>
            </w:tcMar>
            <w:vAlign w:val="center"/>
          </w:tcPr>
          <w:p>
            <w:pPr>
              <w:pStyle w:val="TableContents"/>
              <w:bidi w:val="0"/>
              <w:spacing w:before="0" w:after="283"/>
              <w:jc w:val="both"/>
              <w:rPr/>
            </w:pPr>
            <w:r>
              <w:rPr/>
              <w:t>4.5</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75" w:type="dxa"/>
            <w:tcBorders/>
            <w:shd w:fill="CCEEFF" w:val="clear"/>
            <w:tcMar>
              <w:bottom w:w="0" w:type="dxa"/>
            </w:tcMar>
            <w:vAlign w:val="center"/>
          </w:tcPr>
          <w:p>
            <w:pPr>
              <w:pStyle w:val="TableContents"/>
              <w:bidi w:val="0"/>
              <w:spacing w:before="0" w:after="283"/>
              <w:jc w:val="both"/>
              <w:rPr/>
            </w:pPr>
            <w:hyperlink r:id="rId8">
              <w:r>
                <w:rPr>
                  <w:rStyle w:val="InternetLink"/>
                </w:rPr>
                <w:t>Amendment No. 1 to the Stronghold Digital Mining, Inc. Omnibus Incentive Plan (incorporated by reference to Exhibit 4.4 of Bitfarms’ Form S-8 filed on March 19, 2025)</w:t>
              </w:r>
            </w:hyperlink>
          </w:p>
        </w:tc>
      </w:tr>
      <w:tr>
        <w:trPr/>
        <w:tc>
          <w:tcPr>
            <w:tcW w:w="1070" w:type="dxa"/>
            <w:tcBorders/>
            <w:shd w:fill="FFFFFF" w:val="clear"/>
            <w:tcMar>
              <w:bottom w:w="0" w:type="dxa"/>
            </w:tcMar>
            <w:vAlign w:val="center"/>
          </w:tcPr>
          <w:p>
            <w:pPr>
              <w:pStyle w:val="TableContents"/>
              <w:bidi w:val="0"/>
              <w:spacing w:before="0" w:after="283"/>
              <w:jc w:val="both"/>
              <w:rPr/>
            </w:pPr>
            <w:r>
              <w:rPr/>
              <w:t>4.6</w:t>
            </w:r>
          </w:p>
        </w:tc>
        <w:tc>
          <w:tcPr>
            <w:tcW w:w="60" w:type="dxa"/>
            <w:tcBorders/>
            <w:shd w:fill="FFFFFF" w:val="clear"/>
            <w:tcMar>
              <w:bottom w:w="0" w:type="dxa"/>
            </w:tcMar>
            <w:vAlign w:val="center"/>
          </w:tcPr>
          <w:p>
            <w:pPr>
              <w:pStyle w:val="TableContents"/>
              <w:bidi w:val="0"/>
              <w:spacing w:before="0" w:after="283"/>
              <w:jc w:val="both"/>
              <w:rPr/>
            </w:pPr>
            <w:r>
              <w:rPr/>
              <w:t> </w:t>
            </w:r>
          </w:p>
        </w:tc>
        <w:tc>
          <w:tcPr>
            <w:tcW w:w="9075" w:type="dxa"/>
            <w:tcBorders/>
            <w:shd w:fill="FFFFFF" w:val="clear"/>
            <w:tcMar>
              <w:bottom w:w="0" w:type="dxa"/>
            </w:tcMar>
            <w:vAlign w:val="center"/>
          </w:tcPr>
          <w:p>
            <w:pPr>
              <w:pStyle w:val="TableContents"/>
              <w:bidi w:val="0"/>
              <w:spacing w:before="0" w:after="283"/>
              <w:jc w:val="both"/>
              <w:rPr/>
            </w:pPr>
            <w:hyperlink r:id="rId9">
              <w:r>
                <w:rPr>
                  <w:rStyle w:val="InternetLink"/>
                </w:rPr>
                <w:t>Amendment No. 2 to the Stronghold Digital Mining, Inc. Omnibus Incentive Plan (incorporated by reference to Exhibit 4.5 of Bitfarms’ Form S-8 filed on March 19, 2025)</w:t>
              </w:r>
            </w:hyperlink>
          </w:p>
        </w:tc>
      </w:tr>
      <w:tr>
        <w:trPr/>
        <w:tc>
          <w:tcPr>
            <w:tcW w:w="1070" w:type="dxa"/>
            <w:tcBorders/>
            <w:shd w:fill="CCEEFF" w:val="clear"/>
            <w:tcMar>
              <w:bottom w:w="0" w:type="dxa"/>
            </w:tcMar>
            <w:vAlign w:val="center"/>
          </w:tcPr>
          <w:p>
            <w:pPr>
              <w:pStyle w:val="TableContents"/>
              <w:bidi w:val="0"/>
              <w:spacing w:before="0" w:after="283"/>
              <w:jc w:val="both"/>
              <w:rPr/>
            </w:pPr>
            <w:r>
              <w:rPr/>
              <w:t>4.7</w:t>
            </w:r>
          </w:p>
        </w:tc>
        <w:tc>
          <w:tcPr>
            <w:tcW w:w="60" w:type="dxa"/>
            <w:tcBorders/>
            <w:shd w:fill="CCEEFF" w:val="clear"/>
            <w:tcMar>
              <w:bottom w:w="0" w:type="dxa"/>
            </w:tcMar>
            <w:vAlign w:val="center"/>
          </w:tcPr>
          <w:p>
            <w:pPr>
              <w:pStyle w:val="TableContents"/>
              <w:bidi w:val="0"/>
              <w:spacing w:before="0" w:after="283"/>
              <w:jc w:val="both"/>
              <w:rPr/>
            </w:pPr>
            <w:r>
              <w:rPr/>
              <w:t> </w:t>
            </w:r>
          </w:p>
        </w:tc>
        <w:tc>
          <w:tcPr>
            <w:tcW w:w="9075" w:type="dxa"/>
            <w:tcBorders/>
            <w:shd w:fill="CCEEFF" w:val="clear"/>
            <w:tcMar>
              <w:bottom w:w="0" w:type="dxa"/>
            </w:tcMar>
            <w:vAlign w:val="center"/>
          </w:tcPr>
          <w:p>
            <w:pPr>
              <w:pStyle w:val="TableContents"/>
              <w:bidi w:val="0"/>
              <w:spacing w:before="0" w:after="283"/>
              <w:jc w:val="both"/>
              <w:rPr/>
            </w:pPr>
            <w:hyperlink r:id="rId10">
              <w:r>
                <w:rPr>
                  <w:rStyle w:val="InternetLink"/>
                </w:rPr>
                <w:t>Amendment No. 3 to the Stronghold Digital Mining, Inc. Omnibus Incentive Plan (incorporated by reference to Exhibit 4.6 of Bitfarms’ Form S-8 filed on March 19, 2025)</w:t>
              </w:r>
            </w:hyperlink>
          </w:p>
        </w:tc>
      </w:tr>
      <w:tr>
        <w:trPr/>
        <w:tc>
          <w:tcPr>
            <w:tcW w:w="1070" w:type="dxa"/>
            <w:tcBorders/>
            <w:shd w:fill="FFFFFF" w:val="clear"/>
            <w:tcMar>
              <w:bottom w:w="0" w:type="dxa"/>
            </w:tcMar>
            <w:vAlign w:val="center"/>
          </w:tcPr>
          <w:p>
            <w:pPr>
              <w:pStyle w:val="TableContents"/>
              <w:bidi w:val="0"/>
              <w:spacing w:before="0" w:after="283"/>
              <w:jc w:val="both"/>
              <w:rPr/>
            </w:pPr>
            <w:r>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5" w:type="dxa"/>
            <w:tcBorders/>
            <w:shd w:fill="FFFFFF" w:val="clear"/>
            <w:tcMar>
              <w:bottom w:w="0" w:type="dxa"/>
            </w:tcMar>
            <w:vAlign w:val="center"/>
          </w:tcPr>
          <w:p>
            <w:pPr>
              <w:pStyle w:val="TableContents"/>
              <w:bidi w:val="0"/>
              <w:spacing w:before="0" w:after="283"/>
              <w:jc w:val="both"/>
              <w:rPr/>
            </w:pPr>
            <w:hyperlink w:anchor="ea028459702ex5-1.htm">
              <w:r>
                <w:rPr>
                  <w:rStyle w:val="InternetLink"/>
                </w:rPr>
                <w:t>Opinion of Skadden, Arps, Slate, Meagher &amp; Flom LLP as to the legality of the securities being registered</w:t>
              </w:r>
            </w:hyperlink>
          </w:p>
        </w:tc>
      </w:tr>
      <w:tr>
        <w:trPr/>
        <w:tc>
          <w:tcPr>
            <w:tcW w:w="1070"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w:anchor="ea028459702ex5-1.htm">
              <w:r>
                <w:rPr>
                  <w:rStyle w:val="InternetLink"/>
                </w:rPr>
                <w:t>Consent of Skadden, Arps, Slate, Meagher &amp; Flom LLP (included in Exhibit 5.1)</w:t>
              </w:r>
            </w:hyperlink>
          </w:p>
        </w:tc>
      </w:tr>
      <w:tr>
        <w:trPr/>
        <w:tc>
          <w:tcPr>
            <w:tcW w:w="1070" w:type="dxa"/>
            <w:tcBorders/>
            <w:shd w:fill="FFFFFF" w:val="clear"/>
            <w:tcMar>
              <w:bottom w:w="0" w:type="dxa"/>
            </w:tcMar>
            <w:vAlign w:val="center"/>
          </w:tcPr>
          <w:p>
            <w:pPr>
              <w:pStyle w:val="TableContents"/>
              <w:bidi w:val="0"/>
              <w:spacing w:before="0" w:after="283"/>
              <w:jc w:val="both"/>
              <w:rPr/>
            </w:pPr>
            <w:r>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75" w:type="dxa"/>
            <w:tcBorders/>
            <w:shd w:fill="FFFFFF" w:val="clear"/>
            <w:tcMar>
              <w:bottom w:w="0" w:type="dxa"/>
            </w:tcMar>
            <w:vAlign w:val="center"/>
          </w:tcPr>
          <w:p>
            <w:pPr>
              <w:pStyle w:val="TableContents"/>
              <w:bidi w:val="0"/>
              <w:spacing w:before="0" w:after="283"/>
              <w:jc w:val="both"/>
              <w:rPr/>
            </w:pPr>
            <w:hyperlink w:anchor="ea028459702ex23-2.htm">
              <w:r>
                <w:rPr>
                  <w:rStyle w:val="InternetLink"/>
                </w:rPr>
                <w:t>Consent of PricewaterhouseCoopers LLP</w:t>
              </w:r>
            </w:hyperlink>
          </w:p>
        </w:tc>
      </w:tr>
      <w:tr>
        <w:trPr/>
        <w:tc>
          <w:tcPr>
            <w:tcW w:w="1070" w:type="dxa"/>
            <w:tcBorders/>
            <w:shd w:fill="CCEEFF" w:val="clear"/>
            <w:tcMar>
              <w:bottom w:w="0" w:type="dxa"/>
            </w:tcMar>
            <w:vAlign w:val="center"/>
          </w:tcPr>
          <w:p>
            <w:pPr>
              <w:pStyle w:val="TableContents"/>
              <w:bidi w:val="0"/>
              <w:spacing w:before="0" w:after="283"/>
              <w:jc w:val="both"/>
              <w:rPr/>
            </w:pPr>
            <w:r>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75" w:type="dxa"/>
            <w:tcBorders/>
            <w:shd w:fill="CCEEFF" w:val="clear"/>
            <w:tcMar>
              <w:bottom w:w="0" w:type="dxa"/>
            </w:tcMar>
            <w:vAlign w:val="center"/>
          </w:tcPr>
          <w:p>
            <w:pPr>
              <w:pStyle w:val="TableContents"/>
              <w:bidi w:val="0"/>
              <w:spacing w:before="0" w:after="283"/>
              <w:jc w:val="both"/>
              <w:rPr/>
            </w:pPr>
            <w:hyperlink w:anchor="sig_001">
              <w:r>
                <w:rPr>
                  <w:rStyle w:val="InternetLink"/>
                </w:rPr>
                <w:t>Power of Attorney (included on signature page)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578" w:type="dxa"/>
        <w:jc w:val="left"/>
        <w:tblInd w:w="0" w:type="dxa"/>
        <w:tblLayout w:type="fixed"/>
        <w:tblCellMar>
          <w:top w:w="0" w:type="dxa"/>
          <w:left w:w="0" w:type="dxa"/>
          <w:bottom w:w="0" w:type="dxa"/>
          <w:right w:w="0" w:type="dxa"/>
        </w:tblCellMar>
      </w:tblPr>
      <w:tblGrid>
        <w:gridCol w:w="38"/>
        <w:gridCol w:w="14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400" w:type="dxa"/>
            <w:tcBorders/>
            <w:vAlign w:val="center"/>
          </w:tcPr>
          <w:p>
            <w:pPr>
              <w:pStyle w:val="TableContents"/>
              <w:bidi w:val="0"/>
              <w:spacing w:before="0" w:after="283"/>
              <w:jc w:val="both"/>
              <w:rPr/>
            </w:pPr>
            <w:r>
              <w:rPr/>
              <w:t>Filed herewith</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bdr w:val="single" w:sz="12" w:space="1" w:color="000000"/>
        </w:rPr>
      </w:pPr>
      <w:r>
        <w:rPr>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ig_001"/>
      <w:bookmarkEnd w:id="2"/>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New York, State of New York, on this 1st day of April 2026.</w:t>
      </w:r>
    </w:p>
    <w:p>
      <w:pPr>
        <w:pStyle w:val="TextBody"/>
        <w:bidi w:val="0"/>
        <w:spacing w:before="0" w:after="0"/>
        <w:ind w:left="0" w:right="0" w:hanging="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75"/>
        <w:gridCol w:w="3665"/>
      </w:tblGrid>
      <w:tr>
        <w:trPr/>
        <w:tc>
          <w:tcPr>
            <w:tcW w:w="7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KEEL INFRASTRUCTURE CORP.</w:t>
            </w:r>
          </w:p>
        </w:tc>
      </w:tr>
    </w:tbl>
    <w:p>
      <w:pPr>
        <w:pStyle w:val="TextBody"/>
        <w:bidi w:val="0"/>
        <w:spacing w:before="0" w:after="0"/>
        <w:ind w:left="504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65"/>
        <w:gridCol w:w="354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545" w:type="dxa"/>
            <w:tcBorders>
              <w:bottom w:val="single" w:sz="12" w:space="0" w:color="000000"/>
            </w:tcBorders>
            <w:tcMar>
              <w:bottom w:w="28" w:type="dxa"/>
            </w:tcMar>
            <w:vAlign w:val="center"/>
          </w:tcPr>
          <w:p>
            <w:pPr>
              <w:pStyle w:val="TableContents"/>
              <w:bidi w:val="0"/>
              <w:spacing w:before="0" w:after="283"/>
              <w:jc w:val="left"/>
              <w:rPr/>
            </w:pPr>
            <w:r>
              <w:rPr/>
              <w:t>/s/ Benjamin Gagnon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Benjamin Gagnon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Chief Executive Officer and Director</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 and 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and officers of the Registrant, hereby severally constitute and appoint Benjamin Gagnon and Jonathan Mir and each of them singly, our true and lawful attorneys, with full power of substitution, for each of them singly, to do any and all acts and all things and to execute any and all instruments which said attorneys and agents may deem necessary or desirable to enable the Registrant to comply with the Securities Act and any rules, regulations and requirements of the Securities and Exchange Commission thereunder, including, without limitation, to sign for us and in our names in the capacities indicated below, the Registration Statement on Form S-8 (this “Registration Statement”) to be filed with the SEC, and any and all pre-effective and post-effective amendments or supplements to this Registration Statement (whether such amendments or supplements are filed before or after the effective date of this Registration Statement), and any related registration statement filed pursuant to Rule 462 under the Securities Act, and any and all instruments or documents filed as part of or in connection with this Registration Statement or any and all amendments thereto (whether such amendments are filed before or after the effective date of this Registration Statement); and each of the undersigned hereby ratifies and confirms all that such attorneys and agents shall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9180" w:type="dxa"/>
        <w:jc w:val="left"/>
        <w:tblInd w:w="0" w:type="dxa"/>
        <w:tblLayout w:type="fixed"/>
        <w:tblCellMar>
          <w:top w:w="0" w:type="dxa"/>
          <w:left w:w="0" w:type="dxa"/>
          <w:bottom w:w="28" w:type="dxa"/>
          <w:right w:w="0" w:type="dxa"/>
        </w:tblCellMar>
      </w:tblPr>
      <w:tblGrid>
        <w:gridCol w:w="2300"/>
        <w:gridCol w:w="60"/>
        <w:gridCol w:w="5450"/>
        <w:gridCol w:w="60"/>
        <w:gridCol w:w="1310"/>
      </w:tblGrid>
      <w:tr>
        <w:trPr/>
        <w:tc>
          <w:tcPr>
            <w:tcW w:w="2300" w:type="dxa"/>
            <w:tcBorders>
              <w:bottom w:val="single" w:sz="12" w:space="0" w:color="000000"/>
            </w:tcBorders>
            <w:vAlign w:val="center"/>
          </w:tcPr>
          <w:p>
            <w:pPr>
              <w:pStyle w:val="TableContents"/>
              <w:bidi w:val="0"/>
              <w:spacing w:before="0" w:after="283"/>
              <w:jc w:val="center"/>
              <w:rPr>
                <w:b/>
              </w:rPr>
            </w:pPr>
            <w:r>
              <w:rPr>
                <w:b/>
              </w:rPr>
              <w:t>Signature</w:t>
            </w:r>
          </w:p>
        </w:tc>
        <w:tc>
          <w:tcPr>
            <w:tcW w:w="60" w:type="dxa"/>
            <w:tcBorders/>
            <w:tcMar>
              <w:bottom w:w="0" w:type="dxa"/>
            </w:tcMar>
            <w:vAlign w:val="center"/>
          </w:tcPr>
          <w:p>
            <w:pPr>
              <w:pStyle w:val="TableContents"/>
              <w:bidi w:val="0"/>
              <w:spacing w:before="0" w:after="283"/>
              <w:jc w:val="center"/>
              <w:rPr/>
            </w:pPr>
            <w:r>
              <w:rPr/>
              <w:t> </w:t>
            </w:r>
          </w:p>
        </w:tc>
        <w:tc>
          <w:tcPr>
            <w:tcW w:w="5450" w:type="dxa"/>
            <w:tcBorders>
              <w:bottom w:val="single" w:sz="12" w:space="0" w:color="000000"/>
            </w:tcBorders>
            <w:vAlign w:val="center"/>
          </w:tcPr>
          <w:p>
            <w:pPr>
              <w:pStyle w:val="TableContents"/>
              <w:bidi w:val="0"/>
              <w:spacing w:before="0" w:after="283"/>
              <w:jc w:val="center"/>
              <w:rPr>
                <w:b/>
              </w:rPr>
            </w:pPr>
            <w:r>
              <w:rPr>
                <w:b/>
              </w:rPr>
              <w:t>Title</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b/>
              </w:rPr>
            </w:pPr>
            <w:r>
              <w:rPr>
                <w:b/>
              </w:rPr>
              <w:t>Date</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Benjamin Gagnon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Chief Executive Officer and Director</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Benjamin Gagnon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Jonathan Mir</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xml:space="preserve">Chief Financial Officer (Principal Financial Officer)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Jonathan Mir</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Marc-Andre Amman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Principal Accounting Officer</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Marc-Andre Ammann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Edith Hofmeister</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Independent Director and Chair of the Board of Directors</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Edith Hofmeister</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Brian Howlett</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Independent Director</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Brian Howlett, CPA</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Fanny Philip</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Fanny Philip</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Amy Freedman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Amy Freedman</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Andrew J. Chang</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Andrew J. Chang</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 </w:t>
            </w:r>
          </w:p>
        </w:tc>
      </w:tr>
      <w:tr>
        <w:trPr/>
        <w:tc>
          <w:tcPr>
            <w:tcW w:w="2300" w:type="dxa"/>
            <w:tcBorders>
              <w:bottom w:val="single" w:sz="12" w:space="0" w:color="000000"/>
            </w:tcBorders>
            <w:vAlign w:val="center"/>
          </w:tcPr>
          <w:p>
            <w:pPr>
              <w:pStyle w:val="TableContents"/>
              <w:bidi w:val="0"/>
              <w:spacing w:before="0" w:after="283"/>
              <w:jc w:val="center"/>
              <w:rPr/>
            </w:pPr>
            <w:r>
              <w:rPr/>
              <w:t>/s/ Wayne Duso</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center"/>
              <w:rPr/>
            </w:pPr>
            <w:r>
              <w:rPr/>
              <w:t>April 1, 2026</w:t>
            </w:r>
          </w:p>
        </w:tc>
      </w:tr>
      <w:tr>
        <w:trPr/>
        <w:tc>
          <w:tcPr>
            <w:tcW w:w="2300" w:type="dxa"/>
            <w:tcBorders/>
            <w:tcMar>
              <w:bottom w:w="0" w:type="dxa"/>
            </w:tcMar>
            <w:vAlign w:val="center"/>
          </w:tcPr>
          <w:p>
            <w:pPr>
              <w:pStyle w:val="TableContents"/>
              <w:bidi w:val="0"/>
              <w:spacing w:before="0" w:after="283"/>
              <w:jc w:val="center"/>
              <w:rPr/>
            </w:pPr>
            <w:r>
              <w:rPr/>
              <w:t>Wayne Duso</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II-5</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 w:name="ea028459702ex5-1.htm"/>
      <w:bookmarkStart w:id="4" w:name="ksea028459702ex51"/>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Skadden, Arps, Slate, Meagher &amp; Flom llp</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One Manhattan West</w:t>
      </w:r>
    </w:p>
    <w:tbl>
      <w:tblPr>
        <w:tblW w:w="3573" w:type="dxa"/>
        <w:jc w:val="left"/>
        <w:tblInd w:w="0" w:type="dxa"/>
        <w:tblLayout w:type="fixed"/>
        <w:tblCellMar>
          <w:top w:w="0" w:type="dxa"/>
          <w:left w:w="0" w:type="dxa"/>
          <w:bottom w:w="0" w:type="dxa"/>
          <w:right w:w="0" w:type="dxa"/>
        </w:tblCellMar>
      </w:tblPr>
      <w:tblGrid>
        <w:gridCol w:w="38"/>
        <w:gridCol w:w="19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New York, NY 10001</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________</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(212) 735-3000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 735-2000</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www.skadden.com</w:t>
            </w:r>
          </w:p>
          <w:p>
            <w:pPr>
              <w:pStyle w:val="TableContents"/>
              <w:bidi w:val="0"/>
              <w:spacing w:before="0" w:after="283"/>
              <w:jc w:val="center"/>
              <w:rPr/>
            </w:pPr>
            <w:r>
              <w:rPr/>
              <w:t> </w:t>
            </w:r>
          </w:p>
        </w:tc>
        <w:tc>
          <w:tcPr>
            <w:tcW w:w="15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FIRM/AFFILIATE</w:t>
              <w:br/>
              <w:t>OFFICES</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BOSTON</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CHICAGO</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HOUSTON</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 ANGELES</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PALO ALTO</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WASHINGTON, D.C.</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WILMINGTON</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ABU DHABI</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BEIJING</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BRUSSELS</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FRANKFURT</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HONG KONG</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LONDON</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MUNICH</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PARIS</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SÃO PAULO</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SEOUL</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SINGAPORE</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TOKYO</w:t>
            </w:r>
          </w:p>
          <w:p>
            <w:pPr>
              <w:pStyle w:val="TableContents"/>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TORONTO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Broadway, Suite 1075</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w:t>
      </w:r>
    </w:p>
    <w:p>
      <w:pPr>
        <w:pStyle w:val="TextBody"/>
        <w:bidi w:val="0"/>
        <w:spacing w:before="0" w:after="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60"/>
        <w:gridCol w:w="462"/>
        <w:gridCol w:w="2452"/>
      </w:tblGrid>
      <w:tr>
        <w:trPr/>
        <w:tc>
          <w:tcPr>
            <w:tcW w:w="60" w:type="dxa"/>
            <w:tcBorders/>
            <w:vAlign w:val="center"/>
          </w:tcPr>
          <w:p>
            <w:pPr>
              <w:pStyle w:val="TableContents"/>
              <w:bidi w:val="0"/>
              <w:spacing w:before="0" w:after="283"/>
              <w:ind w:left="0" w:right="0" w:hanging="0"/>
              <w:jc w:val="both"/>
              <w:rPr/>
            </w:pPr>
            <w:r>
              <w:rPr/>
              <w:t> </w:t>
            </w:r>
          </w:p>
        </w:tc>
        <w:tc>
          <w:tcPr>
            <w:tcW w:w="462"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 xml:space="preserve">RE: </w:t>
            </w:r>
          </w:p>
        </w:tc>
        <w:tc>
          <w:tcPr>
            <w:tcW w:w="2452"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Keel Infrastructure Corp.</w:t>
            </w:r>
          </w:p>
        </w:tc>
      </w:tr>
      <w:tr>
        <w:trPr/>
        <w:tc>
          <w:tcPr>
            <w:tcW w:w="60" w:type="dxa"/>
            <w:tcBorders/>
            <w:vAlign w:val="center"/>
          </w:tcPr>
          <w:p>
            <w:pPr>
              <w:pStyle w:val="TableContents"/>
              <w:bidi w:val="0"/>
              <w:spacing w:before="0" w:after="283"/>
              <w:ind w:left="0" w:right="0" w:hanging="0"/>
              <w:jc w:val="both"/>
              <w:rPr/>
            </w:pPr>
            <w:r>
              <w:rPr/>
              <w:t> </w:t>
            </w:r>
          </w:p>
        </w:tc>
        <w:tc>
          <w:tcPr>
            <w:tcW w:w="2914" w:type="dxa"/>
            <w:gridSpan w:val="2"/>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Registration Statement on Form S-8</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Keel Infrastructure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Company’s Post-Effective Amendment No. 1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to the Company’s Registration Statements on Form S-8 (Registration No. 333-278868 and 333-285894) (together the “</w:t>
      </w:r>
      <w:r>
        <w:rPr>
          <w:rFonts w:ascii="Times New Roman;Times;Serif" w:hAnsi="Times New Roman;Times;Serif"/>
          <w:b w:val="false"/>
          <w:i w:val="false"/>
          <w:caps w:val="false"/>
          <w:smallCaps w:val="false"/>
          <w:sz w:val="20"/>
          <w:u w:val="single"/>
        </w:rPr>
        <w:t>Initial Registration Statements</w:t>
      </w:r>
      <w:r>
        <w:rPr>
          <w:rFonts w:ascii="Times New Roman;Times;Serif" w:hAnsi="Times New Roman;Times;Serif"/>
          <w:b w:val="false"/>
          <w:i w:val="false"/>
          <w:caps w:val="false"/>
          <w:smallCaps w:val="false"/>
          <w:sz w:val="20"/>
        </w:rPr>
        <w:t>”) to be filed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on the date hereof, relating to the registration by the Company of up to 37,569,388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pursuant to the Bitfarms Canada 2021 Long-term Incentive Plan, as amended on March 3, 2022, January 15, 2024 and April 16, 2024 (the “</w:t>
      </w:r>
      <w:r>
        <w:rPr>
          <w:rFonts w:ascii="Times New Roman;Times;Serif" w:hAnsi="Times New Roman;Times;Serif"/>
          <w:b w:val="false"/>
          <w:i w:val="false"/>
          <w:caps w:val="false"/>
          <w:smallCaps w:val="false"/>
          <w:sz w:val="20"/>
          <w:u w:val="single"/>
        </w:rPr>
        <w:t>2021 Plan</w:t>
      </w:r>
      <w:r>
        <w:rPr>
          <w:rFonts w:ascii="Times New Roman;Times;Serif" w:hAnsi="Times New Roman;Times;Serif"/>
          <w:b w:val="false"/>
          <w:i w:val="false"/>
          <w:caps w:val="false"/>
          <w:smallCaps w:val="false"/>
          <w:sz w:val="20"/>
        </w:rPr>
        <w:t>”), and 3,892,853 Shares of the Company’s Common Stock issuable pursuant to the Stronghold Omnibus Incentive Plan, as amended on January 18, 2023, June 18, 2024 and March 14, 2025 (the “</w:t>
      </w:r>
      <w:r>
        <w:rPr>
          <w:rFonts w:ascii="Times New Roman;Times;Serif" w:hAnsi="Times New Roman;Times;Serif"/>
          <w:b w:val="false"/>
          <w:i w:val="false"/>
          <w:caps w:val="false"/>
          <w:smallCaps w:val="false"/>
          <w:sz w:val="20"/>
          <w:u w:val="single"/>
        </w:rPr>
        <w:t>Stronghold Plan</w:t>
      </w:r>
      <w:r>
        <w:rPr>
          <w:rFonts w:ascii="Times New Roman;Times;Serif" w:hAnsi="Times New Roman;Times;Serif"/>
          <w:b w:val="false"/>
          <w:i w:val="false"/>
          <w:caps w:val="false"/>
          <w:smallCaps w:val="false"/>
          <w:sz w:val="20"/>
        </w:rPr>
        <w:t>” and together with the 2021 Plan, the “</w:t>
      </w:r>
      <w:r>
        <w:rPr>
          <w:rFonts w:ascii="Times New Roman;Times;Serif" w:hAnsi="Times New Roman;Times;Serif"/>
          <w:b w:val="false"/>
          <w:i w:val="false"/>
          <w:caps w:val="false"/>
          <w:smallCaps w:val="false"/>
          <w:sz w:val="20"/>
          <w:u w:val="single"/>
        </w:rPr>
        <w:t>Plans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being furnished in accordance with the requirements of Item 601(b)(5) of Regulation S-K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stated herein, we have examined and relied upon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Initial Registration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Registration Statement in the form to be filed with the Commission on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copies of the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executed copy of the arrangement agreement, dated as of February 6, 2026, by and among Bitfarms Ltd., the Company, and 1576430 B.C. Unlimited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executed copy of a certificate of Rachel Silverstein, EVP, General Counsel and Corporate Secretary of the Company, dated the date hereof (the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copy of the Company’s Amended and Restated Certificate of Incorporation, in effect as of the date hereof, certified by the Secretary of State of the State of Delaware as of March 31, 2026, and certified pursuant to the Secretary’s Certificate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copy of the Company’s By-laws, in effect as of the date hereof, certified pursuant to the Secretary’s Certificate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copy of the written consent of the board of directors of the Company, dated as of March 31, 2026, certified pursuant to the Secretary’s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Bitfarms Ltd. and such agreements, certificates and receipts of public officials, certificates of officers or other representatives of the Company and others, and such other documents as we have deemed necessary or appropriate as a basis for the opinions stated below, including the facts and conclusions set forth in the Secretary’s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and the enforceability thereof against such parties. As to any facts relevant to the opinions stated herein that we did not independently establish or verify, we have relied upon statements and representations of officers and other representatives of the Company and others and of public officials.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Keel Infrastructure Corp.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stated herein, we have also assumed that: (i) when issued in book-entry form, an appropriate account statement evidencing the Shares credited to the recipient’s account maintained with the Company’s transfer agent has been or will be issued by the Company’s transfer agent; (ii) the issuance of the Shares will be properly recorded in the books and records of the Company; (iii) each award agreement under which options, restricted stock, restricted stock units or other awards were granted pursuant to the applicable Plan will be consistent with such Plan and will be duly authorized, executed and delivered by the parties thereto; (iv) the consideration received by the Company for each of the Shares delivered pursuant to the applicable Plan shall not be less than the per share par value of the Shares; and (v) the issuance of the Shares does not violate or conflict with any agreement or instrument binding on the Company (except that we do not make this assumption with respect to the Certificate of Incorporation or the Bylaws or those agreements or instruments expressed to be governed by the laws of the State of New York which are listed in Part II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Shares have been duly authorized by all requisite corporate action on the part of the Company under the DGCL and, when the Shares are issued to the participants in accordance with the terms and conditions of an applicable Plan and the applicable award agreement for consideration in an amount at least equal to the par value of such Shares, the Shares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In giving this consent, we do not thereby admit that we are within the category of persons whose consent is required under Section 7 of the Securities Act or the rules and regulations of the Commission promulgated thereunder. This opinion is expressed as of the date hereof unless otherwise expressly stated, and we disclaim any undertaking to advise you of any subsequent changes in the facts stated or assumed herein or of any subsequent changes in the applicable laws.</w:t>
      </w:r>
    </w:p>
    <w:p>
      <w:pPr>
        <w:pStyle w:val="TextBody"/>
        <w:bidi w:val="0"/>
        <w:spacing w:before="0" w:after="0"/>
        <w:ind w:left="0" w:right="0" w:firstLine="720"/>
        <w:jc w:val="both"/>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Skadden, Arps, Slate, Meagher &amp; Flom LLP</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RJD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5" w:name="ea028459702ex23-2.htm"/>
      <w:bookmarkStart w:id="6" w:name="ksea028459702ex232"/>
      <w:bookmarkEnd w:id="5"/>
      <w:bookmarkEnd w:id="6"/>
      <w:r>
        <w:rPr>
          <w:rFonts w:ascii="Times New Roman;Times;Serif" w:hAnsi="Times New Roman;Times;Serif"/>
          <w:b/>
          <w:sz w:val="20"/>
        </w:rPr>
        <w:t>Exhibit 23.2</w:t>
      </w:r>
      <w:r>
        <w:br w:type="page"/>
      </w:r>
    </w:p>
    <w:p>
      <w:pPr>
        <w:pStyle w:val="TextBody"/>
        <w:bidi w:val="0"/>
        <w:spacing w:before="0" w:after="0"/>
        <w:ind w:left="86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Post-Effective Amendment No. 1 to the Registration Statements on Form S-8 (Nos. 333-285894 and 333-278868) of Keel Infrastructure Corp. (as successor issuer to Bitfarms Ltd.) of our report dated March 31, 2026, relating to the financial statements and the effectiveness of internal control over financial reporting of Bitfarms Ltd., which appears in Bitfarms Ltd.’s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 Licensed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Canada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12477/000121390026037514/ea0282809-10k_bitfarms.htm" TargetMode="External"/><Relationship Id="rId3" Type="http://schemas.openxmlformats.org/officeDocument/2006/relationships/hyperlink" Target="http://www.sec.gov/Archives/edgar/data/1812477/000121390026038080/ea0284500-8k_keelinfra.htm" TargetMode="External"/><Relationship Id="rId4" Type="http://schemas.openxmlformats.org/officeDocument/2006/relationships/hyperlink" Target="http://www.sec.gov/Archives/edgar/data/1812477/000121390026038080/ea028450001ex3-1.htm" TargetMode="External"/><Relationship Id="rId5" Type="http://schemas.openxmlformats.org/officeDocument/2006/relationships/hyperlink" Target="http://www.sec.gov/Archives/edgar/data/1812477/000121390026038080/ea028450001ex3-2.htm" TargetMode="External"/><Relationship Id="rId6" Type="http://schemas.openxmlformats.org/officeDocument/2006/relationships/hyperlink" Target="http://www.sec.gov/Archives/edgar/data/1812477/000121390024035021/ea020433201ex4-3_bit.htm" TargetMode="External"/><Relationship Id="rId7" Type="http://schemas.openxmlformats.org/officeDocument/2006/relationships/hyperlink" Target="http://www.sec.gov/Archives/edgar/data/1812477/000101376225000733/ea023274401ex4-3_bitfarms.htm" TargetMode="External"/><Relationship Id="rId8" Type="http://schemas.openxmlformats.org/officeDocument/2006/relationships/hyperlink" Target="http://www.sec.gov/Archives/edgar/data/1812477/000101376225000733/ea023274401ex4-4_bitfarms.htm" TargetMode="External"/><Relationship Id="rId9" Type="http://schemas.openxmlformats.org/officeDocument/2006/relationships/hyperlink" Target="http://www.sec.gov/Archives/edgar/data/1812477/000101376225000733/ea023274401ex4-5_bitfarms.htm" TargetMode="External"/><Relationship Id="rId10" Type="http://schemas.openxmlformats.org/officeDocument/2006/relationships/hyperlink" Target="http://www.sec.gov/Archives/edgar/data/1812477/000101376225000733/ea023274401ex4-6_bitfarms.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4187</Words>
  <Characters>22307</Characters>
  <CharactersWithSpaces>26510</CharactersWithSpaces>
  <Paragraphs>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