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184541-6k_bitfarms.htm"/>
      <w:bookmarkStart w:id="1" w:name="ksea1845416k_bitfarms"/>
      <w:bookmarkEnd w:id="0"/>
      <w:bookmarkEnd w:id="1"/>
      <w:r>
        <w:rPr>
          <w:bdr w:val="single" w:sz="16" w:space="1" w:color="000000"/>
        </w:rPr>
        <w:t> </w:t>
      </w:r>
    </w:p>
    <w:p>
      <w:pPr>
        <w:pStyle w:val="TextBody"/>
        <w:bidi w:val="0"/>
        <w:spacing w:before="0" w:after="283"/>
        <w:jc w:val="left"/>
        <w:rPr/>
      </w:pPr>
      <w:r>
        <w:rPr/>
        <w:t> </w:t>
      </w:r>
    </w:p>
    <w:p>
      <w:pPr>
        <w:pStyle w:val="TextBody"/>
        <w:bidi w:val="0"/>
        <w:spacing w:before="85" w:after="85"/>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1" w:after="1"/>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1" w:after="1"/>
        <w:ind w:left="979" w:right="979"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85"/>
        <w:ind w:left="979" w:right="978"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11" w:after="11"/>
        <w:ind w:left="11" w:right="11"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11" w:after="11"/>
        <w:ind w:left="11" w:right="11" w:hanging="0"/>
        <w:jc w:val="left"/>
        <w:rPr/>
      </w:pPr>
      <w:r>
        <w:rPr/>
      </w:r>
    </w:p>
    <w:p>
      <w:pPr>
        <w:pStyle w:val="TextBody"/>
        <w:bidi w:val="0"/>
        <w:spacing w:before="92" w:after="92"/>
        <w:ind w:left="2907" w:right="290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2023</w:t>
      </w:r>
    </w:p>
    <w:p>
      <w:pPr>
        <w:pStyle w:val="TextBody"/>
        <w:bidi w:val="0"/>
        <w:ind w:left="979" w:right="979"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10" w:after="10"/>
        <w:ind w:left="10" w:right="10" w:hanging="0"/>
        <w:jc w:val="left"/>
        <w:rPr/>
      </w:pPr>
      <w:r>
        <w:rPr/>
      </w:r>
    </w:p>
    <w:p>
      <w:pPr>
        <w:pStyle w:val="TextBody"/>
        <w:bidi w:val="0"/>
        <w:spacing w:before="92" w:after="92"/>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283"/>
        <w:jc w:val="left"/>
        <w:rPr/>
      </w:pPr>
      <w:r>
        <w:rPr/>
      </w:r>
    </w:p>
    <w:p>
      <w:pPr>
        <w:pStyle w:val="TextBody"/>
        <w:bidi w:val="0"/>
        <w:ind w:left="0" w:right="0" w:hanging="0"/>
        <w:jc w:val="left"/>
        <w:rPr>
          <w:bdr w:val="single" w:sz="12" w:space="1" w:color="000000"/>
        </w:rPr>
      </w:pPr>
      <w:r>
        <w:rPr>
          <w:bdr w:val="single" w:sz="12" w:space="1" w:color="000000"/>
        </w:rPr>
        <w:t> </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85"/>
        <w:ind w:left="978"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BITFARMS LTD.</w:t>
      </w:r>
    </w:p>
    <w:p>
      <w:pPr>
        <w:pStyle w:val="TextBody"/>
        <w:bidi w:val="0"/>
        <w:ind w:left="978"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ind w:left="978" w:right="979"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283"/>
        <w:jc w:val="left"/>
        <w:rPr/>
      </w:pPr>
      <w:r>
        <w:rPr/>
      </w:r>
    </w:p>
    <w:p>
      <w:pPr>
        <w:pStyle w:val="TextBody"/>
        <w:bidi w:val="0"/>
        <w:spacing w:before="92" w:after="92"/>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Canada M5C 1C4</w:t>
      </w:r>
    </w:p>
    <w:p>
      <w:pPr>
        <w:pStyle w:val="TextBody"/>
        <w:bidi w:val="0"/>
        <w:spacing w:before="1" w:after="1"/>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10" w:after="10"/>
        <w:ind w:left="10" w:right="10" w:hanging="0"/>
        <w:jc w:val="left"/>
        <w:rPr/>
      </w:pPr>
      <w:r>
        <w:rPr/>
      </w:r>
    </w:p>
    <w:p>
      <w:pPr>
        <w:pStyle w:val="TextBody"/>
        <w:bidi w:val="0"/>
        <w:ind w:left="0" w:right="0" w:hanging="0"/>
        <w:jc w:val="left"/>
        <w:rPr>
          <w:bdr w:val="single" w:sz="12" w:space="1" w:color="000000"/>
        </w:rPr>
      </w:pPr>
      <w:r>
        <w:rPr>
          <w:bdr w:val="single" w:sz="12" w:space="1" w:color="000000"/>
        </w:rPr>
        <w:t> </w:t>
      </w:r>
    </w:p>
    <w:p>
      <w:pPr>
        <w:pStyle w:val="TextBody"/>
        <w:bidi w:val="0"/>
        <w:ind w:left="10" w:right="10" w:hanging="0"/>
        <w:jc w:val="left"/>
        <w:rPr>
          <w:caps w:val="false"/>
          <w:smallCaps w:val="false"/>
        </w:rPr>
      </w:pPr>
      <w:r>
        <w:rPr>
          <w:caps w:val="false"/>
          <w:smallCaps w:val="false"/>
        </w:rPr>
        <w:t> </w:t>
      </w:r>
    </w:p>
    <w:p>
      <w:pPr>
        <w:pStyle w:val="TextBody"/>
        <w:bidi w:val="0"/>
        <w:spacing w:before="92" w:after="92"/>
        <w:ind w:left="160" w:right="1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9" w:after="9"/>
        <w:ind w:left="9" w:right="9" w:hanging="0"/>
        <w:jc w:val="left"/>
        <w:rPr/>
      </w:pPr>
      <w:r>
        <w:rPr/>
      </w:r>
    </w:p>
    <w:p>
      <w:pPr>
        <w:pStyle w:val="TextBody"/>
        <w:bidi w:val="0"/>
        <w:ind w:left="160" w:right="569"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160" w:right="569"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rPr>
      </w:pPr>
      <w:r>
        <w:rPr>
          <w:rFonts w:ascii="Times New Roman;Times;Serif" w:hAnsi="Times New Roman;Times;Serif"/>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2023, the Registrant filed with the Canadian Securities Regulatory Authorities on the System for Electronic Data Analysis and Retrieval (SEDAR) a press release, a copy of which is attached hereto as Exhibit 99.1, and which is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2" w:after="2"/>
        <w:ind w:left="2" w:right="2"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980"/>
        <w:gridCol w:w="2930"/>
      </w:tblGrid>
      <w:tr>
        <w:trPr/>
        <w:tc>
          <w:tcPr>
            <w:tcW w:w="980" w:type="dxa"/>
            <w:tcBorders/>
            <w:vAlign w:val="center"/>
          </w:tcPr>
          <w:p>
            <w:pPr>
              <w:pStyle w:val="TableContents"/>
              <w:bidi w:val="0"/>
              <w:spacing w:before="0" w:after="283"/>
              <w:jc w:val="both"/>
              <w:rPr>
                <w:b/>
                <w:sz w:val="20"/>
              </w:rPr>
            </w:pPr>
            <w:r>
              <w:rPr>
                <w:b/>
                <w:sz w:val="20"/>
              </w:rPr>
              <w:t>Exhibits</w:t>
            </w:r>
          </w:p>
        </w:tc>
        <w:tc>
          <w:tcPr>
            <w:tcW w:w="2930"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both"/>
              <w:rPr>
                <w:sz w:val="20"/>
              </w:rPr>
            </w:pPr>
            <w:r>
              <w:rPr>
                <w:sz w:val="20"/>
              </w:rPr>
              <w:t>Exhibit No.</w:t>
            </w:r>
          </w:p>
        </w:tc>
        <w:tc>
          <w:tcPr>
            <w:tcW w:w="2930" w:type="dxa"/>
            <w:tcBorders/>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2930"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sz w:val="20"/>
              </w:rPr>
            </w:pPr>
            <w:r>
              <w:rPr>
                <w:sz w:val="20"/>
              </w:rPr>
              <w:t>99.1</w:t>
            </w:r>
          </w:p>
        </w:tc>
        <w:tc>
          <w:tcPr>
            <w:tcW w:w="2930" w:type="dxa"/>
            <w:tcBorders/>
            <w:shd w:fill="CCEEFF" w:val="clear"/>
            <w:vAlign w:val="center"/>
          </w:tcPr>
          <w:p>
            <w:pPr>
              <w:pStyle w:val="TableContents"/>
              <w:bidi w:val="0"/>
              <w:spacing w:before="0" w:after="283"/>
              <w:jc w:val="both"/>
              <w:rPr/>
            </w:pPr>
            <w:hyperlink w:anchor="ea184541ex99-1_bitfarms.htm">
              <w:r>
                <w:rPr>
                  <w:rStyle w:val="InternetLink"/>
                  <w:sz w:val="20"/>
                </w:rPr>
                <w:t>Press release dated August 31, 2023</w:t>
              </w:r>
            </w:hyperlink>
          </w:p>
        </w:tc>
      </w:tr>
    </w:tbl>
    <w:p>
      <w:pPr>
        <w:pStyle w:val="TextBody"/>
        <w:bidi w:val="0"/>
        <w:spacing w:before="80" w:after="80"/>
        <w:ind w:left="979" w:right="978"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80" w:after="80"/>
        <w:ind w:left="979" w:right="978" w:hanging="0"/>
        <w:jc w:val="center"/>
        <w:rPr>
          <w:caps w:val="false"/>
          <w:smallCaps w:val="false"/>
        </w:rPr>
      </w:pPr>
      <w:r>
        <w:rPr>
          <w:caps w:val="false"/>
          <w:smallCaps w:val="false"/>
        </w:rPr>
        <w:t> </w:t>
      </w:r>
    </w:p>
    <w:p>
      <w:pPr>
        <w:pStyle w:val="TextBody"/>
        <w:bidi w:val="0"/>
        <w:spacing w:before="80" w:after="8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16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65"/>
        <w:gridCol w:w="650"/>
        <w:gridCol w:w="369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 </w:t>
            </w:r>
            <w:r>
              <w:rPr/>
              <w:t>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 </w:t>
            </w:r>
            <w:r>
              <w:rPr/>
              <w:t>President and Chief Executive Officer</w:t>
            </w:r>
          </w:p>
        </w:tc>
      </w:tr>
    </w:tbl>
    <w:p>
      <w:pPr>
        <w:pStyle w:val="TextBody"/>
        <w:bidi w:val="0"/>
        <w:spacing w:before="6" w:after="6"/>
        <w:ind w:left="6" w:right="6"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2023</w:t>
      </w:r>
    </w:p>
    <w:p>
      <w:pPr>
        <w:pStyle w:val="TextBody"/>
        <w:bidi w:val="0"/>
        <w:ind w:left="1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160" w:right="0" w:hanging="0"/>
        <w:jc w:val="left"/>
        <w:rPr>
          <w:caps w:val="false"/>
          <w:smallCaps w:val="false"/>
        </w:rPr>
      </w:pPr>
      <w:r>
        <w:rPr>
          <w:caps w:val="false"/>
          <w:smallCaps w:val="false"/>
        </w:rPr>
        <w:t> </w:t>
      </w:r>
    </w:p>
    <w:p>
      <w:pPr>
        <w:pStyle w:val="TextBody"/>
        <w:bidi w:val="0"/>
        <w:jc w:val="right"/>
        <w:rPr>
          <w:b/>
          <w:color w:val="000000"/>
        </w:rPr>
      </w:pPr>
      <w:bookmarkStart w:id="2" w:name="ea184541ex99-1_bitfarms.htm"/>
      <w:bookmarkStart w:id="3" w:name="ksea184541ex991_bitfarms"/>
      <w:bookmarkEnd w:id="2"/>
      <w:bookmarkEnd w:id="3"/>
      <w:r>
        <w:rPr>
          <w:b/>
          <w:color w:val="000000"/>
        </w:rPr>
        <w:t>Exhibit 99.1</w:t>
      </w:r>
      <w:r>
        <w:br w:type="page"/>
      </w:r>
    </w:p>
    <w:p>
      <w:pPr>
        <w:pStyle w:val="TextBody"/>
        <w:bidi w:val="0"/>
        <w:jc w:val="right"/>
        <w:rPr/>
      </w:pPr>
      <w:r>
        <w:rPr/>
        <w:t> </w:t>
      </w:r>
    </w:p>
    <w:p>
      <w:pPr>
        <w:pStyle w:val="TextBody"/>
        <w:bidi w:val="0"/>
        <w:jc w:val="center"/>
        <w:rPr/>
      </w:pPr>
      <w:r>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r>
        <w:rPr>
          <w:color w:val="000000"/>
        </w:rPr>
        <w:t> </w:t>
      </w:r>
    </w:p>
    <w:p>
      <w:pPr>
        <w:pStyle w:val="TextBody"/>
        <w:bidi w:val="0"/>
        <w:jc w:val="right"/>
        <w:rPr>
          <w:color w:val="000000"/>
        </w:rPr>
      </w:pPr>
      <w:r>
        <w:rPr>
          <w:color w:val="000000"/>
        </w:rPr>
        <w:t> </w:t>
      </w:r>
    </w:p>
    <w:p>
      <w:pPr>
        <w:pStyle w:val="TextBody"/>
        <w:bidi w:val="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Bitfarms to Participate in September Investor Conferences </w:t>
      </w:r>
    </w:p>
    <w:p>
      <w:pPr>
        <w:pStyle w:val="TextBody"/>
        <w:bidi w:val="0"/>
        <w:ind w:left="0" w:right="0" w:hanging="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- 3</w:t>
      </w:r>
      <w:r>
        <w:rPr>
          <w:rFonts w:ascii="Times New Roman;Times;Serif" w:hAnsi="Times New Roman;Times;Serif"/>
          <w:b w:val="false"/>
          <w:i w:val="false"/>
          <w:caps w:val="false"/>
          <w:smallCaps w:val="false"/>
          <w:color w:val="000000"/>
          <w:position w:val="7"/>
          <w:sz w:val="16"/>
          <w:sz w:val="20"/>
        </w:rPr>
        <w:t xml:space="preserve">rd </w:t>
      </w:r>
      <w:r>
        <w:rPr>
          <w:rFonts w:ascii="Times New Roman;Times;Serif" w:hAnsi="Times New Roman;Times;Serif"/>
          <w:b w:val="false"/>
          <w:i w:val="false"/>
          <w:caps w:val="false"/>
          <w:smallCaps w:val="false"/>
          <w:color w:val="000000"/>
          <w:sz w:val="20"/>
        </w:rPr>
        <w:t>Annual Needham Crypto Virtual Conference September 7 -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H.C. Wainwright 25</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Annual Global Investment Conference September 11-13 -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Analyst and Investor Day on September 14</w:t>
      </w:r>
      <w:r>
        <w:rPr>
          <w:rFonts w:ascii="Times New Roman;Times;Serif" w:hAnsi="Times New Roman;Times;Serif"/>
          <w:b w:val="false"/>
          <w:i w:val="false"/>
          <w:caps w:val="false"/>
          <w:smallCaps w:val="false"/>
          <w:color w:val="000000"/>
          <w:position w:val="7"/>
          <w:sz w:val="16"/>
          <w:sz w:val="20"/>
        </w:rPr>
        <w:t>th</w:t>
      </w:r>
      <w:r>
        <w:rPr>
          <w:rFonts w:ascii="Times New Roman;Times;Serif" w:hAnsi="Times New Roman;Times;Serif"/>
          <w:b w:val="false"/>
          <w:i w:val="false"/>
          <w:caps w:val="false"/>
          <w:smallCaps w:val="false"/>
          <w:color w:val="000000"/>
          <w:sz w:val="20"/>
        </w:rPr>
        <w:t xml:space="preserve"> in New York City -</w:t>
      </w:r>
    </w:p>
    <w:p>
      <w:pPr>
        <w:pStyle w:val="TextBody"/>
        <w:bidi w:val="0"/>
        <w:ind w:left="0" w:right="0" w:hanging="10"/>
        <w:jc w:val="both"/>
        <w:rPr>
          <w:caps w:val="false"/>
          <w:smallCaps w:val="false"/>
          <w:color w:val="000000"/>
        </w:rPr>
      </w:pPr>
      <w:r>
        <w:rPr>
          <w:caps w:val="false"/>
          <w:smallCaps w:val="false"/>
          <w:color w:val="000000"/>
        </w:rPr>
        <w:t> </w:t>
      </w:r>
    </w:p>
    <w:p>
      <w:pPr>
        <w:pStyle w:val="TextBody"/>
        <w:bidi w:val="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Toronto, Ontario and Brossard, Québec (August 31, 2023)</w:t>
      </w:r>
      <w:r>
        <w:rPr>
          <w:rFonts w:ascii="Times New Roman;Times;Serif" w:hAnsi="Times New Roman;Times;Serif"/>
          <w:b w:val="false"/>
          <w:i w:val="false"/>
          <w:caps w:val="false"/>
          <w:smallCaps w:val="false"/>
          <w:color w:val="000000"/>
          <w:sz w:val="20"/>
        </w:rPr>
        <w:t xml:space="preserve"> - Bitfarms Ltd. (</w:t>
      </w:r>
      <w:r>
        <w:rPr>
          <w:rFonts w:ascii="Times New Roman;Times;Serif" w:hAnsi="Times New Roman;Times;Serif"/>
          <w:b w:val="false"/>
          <w:i w:val="false"/>
          <w:caps w:val="false"/>
          <w:smallCaps w:val="false"/>
          <w:color w:val="000000"/>
          <w:sz w:val="20"/>
          <w:u w:val="single"/>
        </w:rPr>
        <w:t>NASDAQ: BITF//TSX: BITF</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a global vertically integrated Bitcoin mining company</w:t>
      </w:r>
      <w:r>
        <w:rPr>
          <w:rFonts w:ascii="Times New Roman;Times;Serif" w:hAnsi="Times New Roman;Times;Serif"/>
          <w:b w:val="false"/>
          <w:i w:val="false"/>
          <w:caps w:val="false"/>
          <w:smallCaps w:val="false"/>
          <w:color w:val="000000"/>
          <w:sz w:val="20"/>
        </w:rPr>
        <w:t>, announced that management will be participating in the following investor conferences in September. As previously announced, Bitfarms will also be hosting an Analyst &amp; Investor Day on September 14, 2023, in New York City and by live simulcast.</w:t>
      </w:r>
    </w:p>
    <w:p>
      <w:pPr>
        <w:pStyle w:val="TextBody"/>
        <w:bidi w:val="0"/>
        <w:ind w:left="0" w:right="0" w:hanging="10"/>
        <w:jc w:val="both"/>
        <w:rPr>
          <w:caps w:val="false"/>
          <w:smallCaps w:val="false"/>
          <w:color w:val="000000"/>
        </w:rPr>
      </w:pPr>
      <w:r>
        <w:rPr>
          <w:caps w:val="false"/>
          <w:smallCaps w:val="false"/>
          <w:color w:val="000000"/>
        </w:rPr>
        <w:t> </w:t>
      </w:r>
    </w:p>
    <w:tbl>
      <w:tblPr>
        <w:tblW w:w="6040" w:type="dxa"/>
        <w:jc w:val="left"/>
        <w:tblInd w:w="0" w:type="dxa"/>
        <w:tblLayout w:type="fixed"/>
        <w:tblCellMar>
          <w:top w:w="0" w:type="dxa"/>
          <w:left w:w="0" w:type="dxa"/>
          <w:bottom w:w="0" w:type="dxa"/>
          <w:right w:w="0" w:type="dxa"/>
        </w:tblCellMar>
      </w:tblPr>
      <w:tblGrid>
        <w:gridCol w:w="1385"/>
        <w:gridCol w:w="4655"/>
      </w:tblGrid>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Event:</w:t>
            </w:r>
          </w:p>
        </w:tc>
        <w:tc>
          <w:tcPr>
            <w:tcW w:w="4655" w:type="dxa"/>
            <w:tcBorders/>
            <w:vAlign w:val="center"/>
          </w:tcPr>
          <w:p>
            <w:pPr>
              <w:pStyle w:val="TableContents"/>
              <w:bidi w:val="0"/>
              <w:spacing w:before="0" w:after="283"/>
              <w:ind w:left="0" w:right="0" w:hanging="0"/>
              <w:jc w:val="both"/>
              <w:rPr>
                <w:color w:val="000000"/>
              </w:rPr>
            </w:pPr>
            <w:r>
              <w:rPr>
                <w:color w:val="000000"/>
              </w:rPr>
              <w:t>3</w:t>
            </w:r>
            <w:r>
              <w:rPr>
                <w:color w:val="000000"/>
                <w:position w:val="8"/>
                <w:sz w:val="19"/>
              </w:rPr>
              <w:t>rd</w:t>
            </w:r>
            <w:r>
              <w:rPr>
                <w:color w:val="000000"/>
              </w:rPr>
              <w:t xml:space="preserve"> Annual Needham Crypto Virtual Conference</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Date:</w:t>
            </w:r>
          </w:p>
        </w:tc>
        <w:tc>
          <w:tcPr>
            <w:tcW w:w="4655"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September 7, 2023</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Location:</w:t>
            </w:r>
          </w:p>
        </w:tc>
        <w:tc>
          <w:tcPr>
            <w:tcW w:w="4655"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Virtual</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Presentation:</w:t>
            </w:r>
          </w:p>
        </w:tc>
        <w:tc>
          <w:tcPr>
            <w:tcW w:w="4655"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10:00 AM ET, September 7, 2023</w:t>
            </w:r>
          </w:p>
        </w:tc>
      </w:tr>
      <w:tr>
        <w:trPr/>
        <w:tc>
          <w:tcPr>
            <w:tcW w:w="1385" w:type="dxa"/>
            <w:tcBorders/>
            <w:vAlign w:val="center"/>
          </w:tcPr>
          <w:p>
            <w:pPr>
              <w:pStyle w:val="TableContents"/>
              <w:bidi w:val="0"/>
              <w:spacing w:before="0" w:after="283"/>
              <w:ind w:left="0" w:right="0" w:hanging="0"/>
              <w:jc w:val="both"/>
              <w:rPr>
                <w:color w:val="000000"/>
              </w:rPr>
            </w:pPr>
            <w:r>
              <w:rPr>
                <w:color w:val="000000"/>
              </w:rPr>
              <w:t> </w:t>
            </w:r>
          </w:p>
        </w:tc>
        <w:tc>
          <w:tcPr>
            <w:tcW w:w="4655" w:type="dxa"/>
            <w:tcBorders/>
            <w:vAlign w:val="center"/>
          </w:tcPr>
          <w:p>
            <w:pPr>
              <w:pStyle w:val="TableContents"/>
              <w:bidi w:val="0"/>
              <w:spacing w:before="0" w:after="283"/>
              <w:jc w:val="both"/>
              <w:rPr>
                <w:rFonts w:ascii="Times New Roman;Times;Serif" w:hAnsi="Times New Roman;Times;Serif"/>
                <w:b/>
                <w:color w:val="000000"/>
              </w:rPr>
            </w:pPr>
            <w:r>
              <w:rPr>
                <w:rFonts w:ascii="Times New Roman;Times;Serif" w:hAnsi="Times New Roman;Times;Serif"/>
                <w:b/>
                <w:color w:val="000000"/>
              </w:rPr>
              <w:t>Webcast</w:t>
            </w:r>
          </w:p>
        </w:tc>
      </w:tr>
    </w:tbl>
    <w:p>
      <w:pPr>
        <w:pStyle w:val="TextBody"/>
        <w:bidi w:val="0"/>
        <w:ind w:left="10" w:right="0" w:hanging="0"/>
        <w:jc w:val="both"/>
        <w:rPr>
          <w:caps w:val="false"/>
          <w:smallCaps w:val="false"/>
          <w:color w:val="000000"/>
        </w:rPr>
      </w:pPr>
      <w:r>
        <w:rPr>
          <w:caps w:val="false"/>
          <w:smallCaps w:val="false"/>
          <w:color w:val="000000"/>
        </w:rPr>
        <w:t> </w:t>
      </w:r>
    </w:p>
    <w:tbl>
      <w:tblPr>
        <w:tblW w:w="7255" w:type="dxa"/>
        <w:jc w:val="left"/>
        <w:tblInd w:w="0" w:type="dxa"/>
        <w:tblLayout w:type="fixed"/>
        <w:tblCellMar>
          <w:top w:w="0" w:type="dxa"/>
          <w:left w:w="0" w:type="dxa"/>
          <w:bottom w:w="0" w:type="dxa"/>
          <w:right w:w="0" w:type="dxa"/>
        </w:tblCellMar>
      </w:tblPr>
      <w:tblGrid>
        <w:gridCol w:w="1385"/>
        <w:gridCol w:w="5870"/>
      </w:tblGrid>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Event:</w:t>
            </w:r>
          </w:p>
        </w:tc>
        <w:tc>
          <w:tcPr>
            <w:tcW w:w="5870" w:type="dxa"/>
            <w:tcBorders/>
            <w:vAlign w:val="center"/>
          </w:tcPr>
          <w:p>
            <w:pPr>
              <w:pStyle w:val="TableContents"/>
              <w:bidi w:val="0"/>
              <w:spacing w:before="0" w:after="283"/>
              <w:ind w:left="0" w:right="0" w:hanging="0"/>
              <w:jc w:val="both"/>
              <w:rPr>
                <w:color w:val="000000"/>
              </w:rPr>
            </w:pPr>
            <w:r>
              <w:rPr>
                <w:color w:val="000000"/>
              </w:rPr>
              <w:t>H.C. Wainwright 25</w:t>
            </w:r>
            <w:r>
              <w:rPr>
                <w:color w:val="000000"/>
                <w:position w:val="8"/>
                <w:sz w:val="19"/>
              </w:rPr>
              <w:t>th</w:t>
            </w:r>
            <w:r>
              <w:rPr>
                <w:color w:val="000000"/>
              </w:rPr>
              <w:t xml:space="preserve"> Annual Global Investment Conference</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Date:</w:t>
            </w:r>
          </w:p>
        </w:tc>
        <w:tc>
          <w:tcPr>
            <w:tcW w:w="5870"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September 11-13, 2023</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Location:</w:t>
            </w:r>
          </w:p>
        </w:tc>
        <w:tc>
          <w:tcPr>
            <w:tcW w:w="5870"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New York City</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Presentation:</w:t>
            </w:r>
          </w:p>
        </w:tc>
        <w:tc>
          <w:tcPr>
            <w:tcW w:w="5870"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10:00 AM ET, September 12, 2023</w:t>
            </w:r>
          </w:p>
        </w:tc>
      </w:tr>
      <w:tr>
        <w:trPr/>
        <w:tc>
          <w:tcPr>
            <w:tcW w:w="1385" w:type="dxa"/>
            <w:tcBorders/>
            <w:vAlign w:val="center"/>
          </w:tcPr>
          <w:p>
            <w:pPr>
              <w:pStyle w:val="TableContents"/>
              <w:bidi w:val="0"/>
              <w:spacing w:before="0" w:after="283"/>
              <w:ind w:left="0" w:right="0" w:hanging="0"/>
              <w:jc w:val="both"/>
              <w:rPr>
                <w:color w:val="000000"/>
              </w:rPr>
            </w:pPr>
            <w:r>
              <w:rPr>
                <w:color w:val="000000"/>
              </w:rPr>
              <w:t> </w:t>
            </w:r>
          </w:p>
        </w:tc>
        <w:tc>
          <w:tcPr>
            <w:tcW w:w="5870" w:type="dxa"/>
            <w:tcBorders/>
            <w:vAlign w:val="center"/>
          </w:tcPr>
          <w:p>
            <w:pPr>
              <w:pStyle w:val="TableContents"/>
              <w:bidi w:val="0"/>
              <w:spacing w:before="0" w:after="283"/>
              <w:ind w:left="0" w:right="0" w:hanging="0"/>
              <w:jc w:val="both"/>
              <w:rPr>
                <w:b/>
                <w:color w:val="000000"/>
              </w:rPr>
            </w:pPr>
            <w:r>
              <w:rPr>
                <w:b/>
                <w:color w:val="000000"/>
              </w:rPr>
              <w:t>Webcast</w:t>
            </w:r>
          </w:p>
        </w:tc>
      </w:tr>
      <w:tr>
        <w:trPr/>
        <w:tc>
          <w:tcPr>
            <w:tcW w:w="1385" w:type="dxa"/>
            <w:tcBorders/>
            <w:vAlign w:val="center"/>
          </w:tcPr>
          <w:p>
            <w:pPr>
              <w:pStyle w:val="TableContents"/>
              <w:bidi w:val="0"/>
              <w:spacing w:before="0" w:after="283"/>
              <w:ind w:left="0" w:right="0" w:hanging="0"/>
              <w:jc w:val="both"/>
              <w:rPr>
                <w:rFonts w:ascii="Times New Roman;Times;Serif" w:hAnsi="Times New Roman;Times;Serif"/>
                <w:b/>
                <w:color w:val="000000"/>
                <w:u w:val="single"/>
              </w:rPr>
            </w:pPr>
            <w:r>
              <w:rPr>
                <w:rFonts w:ascii="Times New Roman;Times;Serif" w:hAnsi="Times New Roman;Times;Serif"/>
                <w:b/>
                <w:color w:val="000000"/>
                <w:u w:val="single"/>
              </w:rPr>
              <w:t>Panel:</w:t>
            </w:r>
          </w:p>
        </w:tc>
        <w:tc>
          <w:tcPr>
            <w:tcW w:w="5870" w:type="dxa"/>
            <w:tcBorders/>
            <w:vAlign w:val="center"/>
          </w:tcPr>
          <w:p>
            <w:pPr>
              <w:pStyle w:val="TableContents"/>
              <w:bidi w:val="0"/>
              <w:spacing w:before="0" w:after="283"/>
              <w:ind w:left="0" w:right="0" w:hanging="0"/>
              <w:jc w:val="both"/>
              <w:rPr>
                <w:rFonts w:ascii="Times New Roman;Times;Serif" w:hAnsi="Times New Roman;Times;Serif"/>
                <w:color w:val="000000"/>
              </w:rPr>
            </w:pPr>
            <w:r>
              <w:rPr>
                <w:rFonts w:ascii="Times New Roman;Times;Serif" w:hAnsi="Times New Roman;Times;Serif"/>
                <w:color w:val="000000"/>
              </w:rPr>
              <w:t>2:00 PM ET, September 12, 2023</w:t>
            </w:r>
          </w:p>
        </w:tc>
      </w:tr>
      <w:tr>
        <w:trPr/>
        <w:tc>
          <w:tcPr>
            <w:tcW w:w="1385" w:type="dxa"/>
            <w:tcBorders/>
            <w:vAlign w:val="center"/>
          </w:tcPr>
          <w:p>
            <w:pPr>
              <w:pStyle w:val="TableContents"/>
              <w:bidi w:val="0"/>
              <w:spacing w:before="0" w:after="283"/>
              <w:ind w:left="0" w:right="0" w:hanging="0"/>
              <w:jc w:val="both"/>
              <w:rPr>
                <w:color w:val="000000"/>
              </w:rPr>
            </w:pPr>
            <w:r>
              <w:rPr>
                <w:color w:val="000000"/>
              </w:rPr>
              <w:t> </w:t>
            </w:r>
          </w:p>
        </w:tc>
        <w:tc>
          <w:tcPr>
            <w:tcW w:w="5870" w:type="dxa"/>
            <w:tcBorders/>
            <w:vAlign w:val="center"/>
          </w:tcPr>
          <w:p>
            <w:pPr>
              <w:pStyle w:val="TableContents"/>
              <w:bidi w:val="0"/>
              <w:spacing w:before="0" w:after="283"/>
              <w:jc w:val="both"/>
              <w:rPr>
                <w:rFonts w:ascii="Times New Roman;Times;Serif" w:hAnsi="Times New Roman;Times;Serif"/>
                <w:color w:val="000000"/>
              </w:rPr>
            </w:pPr>
            <w:r>
              <w:rPr>
                <w:rFonts w:ascii="Times New Roman;Times;Serif" w:hAnsi="Times New Roman;Times;Serif"/>
                <w:color w:val="000000"/>
              </w:rPr>
              <w:t>Bitcoin Mining Panel</w:t>
            </w:r>
          </w:p>
        </w:tc>
      </w:tr>
    </w:tbl>
    <w:p>
      <w:pPr>
        <w:pStyle w:val="TextBody"/>
        <w:bidi w:val="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additional information for either event or to schedule a 1:1 meeting, please contact your institutional sales representative or Bitfarms’ IR Team at bitfarms@lhai.com.</w:t>
      </w:r>
    </w:p>
    <w:p>
      <w:pPr>
        <w:pStyle w:val="TextBody"/>
        <w:bidi w:val="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Analyst and Investor Day, September 14, 2023</w:t>
      </w:r>
    </w:p>
    <w:p>
      <w:pPr>
        <w:pStyle w:val="TextBody"/>
        <w:bidi w:val="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will be hosting its Analyst and Investor Day on September 14, 2023 in New York City and by live simulcast.</w:t>
      </w:r>
    </w:p>
    <w:p>
      <w:pPr>
        <w:pStyle w:val="TextBody"/>
        <w:bidi w:val="0"/>
        <w:ind w:left="0" w:right="0" w:hanging="0"/>
        <w:jc w:val="both"/>
        <w:rPr>
          <w:caps w:val="false"/>
          <w:smallCaps w:val="false"/>
          <w:color w:val="000000"/>
        </w:rPr>
      </w:pPr>
      <w:r>
        <w:rPr>
          <w:caps w:val="false"/>
          <w:smallCaps w:val="false"/>
          <w:color w:val="000000"/>
        </w:rPr>
        <w:t> </w:t>
      </w:r>
    </w:p>
    <w:tbl>
      <w:tblPr>
        <w:tblW w:w="4285" w:type="dxa"/>
        <w:jc w:val="left"/>
        <w:tblInd w:w="0" w:type="dxa"/>
        <w:tblLayout w:type="fixed"/>
        <w:tblCellMar>
          <w:top w:w="0" w:type="dxa"/>
          <w:left w:w="0" w:type="dxa"/>
          <w:bottom w:w="0" w:type="dxa"/>
          <w:right w:w="0" w:type="dxa"/>
        </w:tblCellMar>
      </w:tblPr>
      <w:tblGrid>
        <w:gridCol w:w="2000"/>
        <w:gridCol w:w="2285"/>
      </w:tblGrid>
      <w:tr>
        <w:trPr/>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rPr>
            </w:pPr>
            <w:r>
              <w:rPr>
                <w:rFonts w:ascii="Times New Roman;Times;Serif" w:hAnsi="Times New Roman;Times;Serif"/>
                <w:b/>
                <w:color w:val="000000"/>
              </w:rPr>
              <w:t>Schedule</w:t>
            </w:r>
          </w:p>
        </w:tc>
        <w:tc>
          <w:tcPr>
            <w:tcW w:w="2285" w:type="dxa"/>
            <w:tcBorders/>
            <w:vAlign w:val="center"/>
          </w:tcPr>
          <w:p>
            <w:pPr>
              <w:pStyle w:val="TableContents"/>
              <w:bidi w:val="0"/>
              <w:spacing w:before="0" w:after="283"/>
              <w:ind w:left="0" w:right="0" w:hanging="0"/>
              <w:jc w:val="left"/>
              <w:rPr>
                <w:color w:val="000000"/>
              </w:rPr>
            </w:pPr>
            <w:r>
              <w:rPr>
                <w:color w:val="000000"/>
              </w:rPr>
              <w:t>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rPr>
            </w:pPr>
            <w:r>
              <w:rPr>
                <w:rFonts w:ascii="Times New Roman;Times;Serif" w:hAnsi="Times New Roman;Times;Serif"/>
                <w:color w:val="000000"/>
              </w:rPr>
              <w:t>8:00 – 9:00 am ET:  </w:t>
            </w:r>
          </w:p>
        </w:tc>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rPr>
            </w:pPr>
            <w:r>
              <w:rPr>
                <w:rFonts w:ascii="Times New Roman;Times;Serif" w:hAnsi="Times New Roman;Times;Serif"/>
                <w:color w:val="000000"/>
              </w:rPr>
              <w:t>Continental breakfast</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rPr>
            </w:pPr>
            <w:r>
              <w:rPr>
                <w:rFonts w:ascii="Times New Roman;Times;Serif" w:hAnsi="Times New Roman;Times;Serif"/>
                <w:color w:val="000000"/>
              </w:rPr>
              <w:t xml:space="preserve">9:00 –  Noon ET: </w:t>
            </w:r>
          </w:p>
        </w:tc>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rPr>
            </w:pPr>
            <w:r>
              <w:rPr>
                <w:rFonts w:ascii="Times New Roman;Times;Serif" w:hAnsi="Times New Roman;Times;Serif"/>
                <w:color w:val="000000"/>
              </w:rPr>
              <w:t>Presentations and Q&amp;A</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rPr>
            </w:pPr>
            <w:r>
              <w:rPr>
                <w:rFonts w:ascii="Times New Roman;Times;Serif" w:hAnsi="Times New Roman;Times;Serif"/>
                <w:color w:val="000000"/>
              </w:rPr>
              <w:t xml:space="preserve">Noon – 1:00 ET: </w:t>
            </w:r>
          </w:p>
        </w:tc>
        <w:tc>
          <w:tcPr>
            <w:tcW w:w="2285"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Lunch</w:t>
            </w:r>
          </w:p>
        </w:tc>
      </w:tr>
    </w:tbl>
    <w:p>
      <w:pPr>
        <w:pStyle w:val="TextBody"/>
        <w:bidi w:val="0"/>
        <w:ind w:left="0" w:right="0" w:hanging="0"/>
        <w:jc w:val="both"/>
        <w:rPr>
          <w:caps w:val="false"/>
          <w:smallCaps w:val="false"/>
          <w:color w:val="000000"/>
        </w:rPr>
      </w:pPr>
      <w:r>
        <w:rPr>
          <w:caps w:val="false"/>
          <w:smallCaps w:val="false"/>
          <w:color w:val="000000"/>
        </w:rPr>
        <w:t> </w:t>
      </w:r>
    </w:p>
    <w:p>
      <w:pPr>
        <w:pStyle w:val="TextBody"/>
        <w:bidi w:val="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senior leadership team will provide an in-depth review of its business strategy and vision. President and Chief Executive Officer Geoff Morphy will emcee, more than 10 senior executives will deliver presentations, and the team will conduct an interactive Q&amp;A session. Interested parties may register for in-person or virtual attendance via the link below.</w:t>
      </w:r>
    </w:p>
    <w:p>
      <w:pPr>
        <w:pStyle w:val="TextBody"/>
        <w:bidi w:val="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Registration - Bitfarms Analyst Day 2023</w:t>
      </w:r>
    </w:p>
    <w:p>
      <w:pPr>
        <w:pStyle w:val="TextBody"/>
        <w:shd w:fill="FEFEFE" w:val="clear"/>
        <w:bidi w:val="0"/>
        <w:ind w:left="10" w:right="0" w:hanging="10"/>
        <w:jc w:val="left"/>
        <w:rPr>
          <w:caps w:val="false"/>
          <w:smallCaps w:val="false"/>
          <w:color w:val="000000"/>
        </w:rPr>
      </w:pPr>
      <w:r>
        <w:rPr>
          <w:caps w:val="false"/>
          <w:smallCaps w:val="false"/>
          <w:color w:val="000000"/>
        </w:rPr>
        <w:t> </w:t>
      </w:r>
    </w:p>
    <w:p>
      <w:pPr>
        <w:pStyle w:val="TextBody"/>
        <w:shd w:fill="FEFEFE" w:val="clear"/>
        <w:bidi w:val="0"/>
        <w:ind w:left="10" w:right="0" w:hanging="1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Bitfarms Ltd.</w:t>
      </w:r>
    </w:p>
    <w:p>
      <w:pPr>
        <w:pStyle w:val="TextBody"/>
        <w:shd w:fill="FEFEFE" w:val="clear"/>
        <w:bidi w:val="0"/>
        <w:ind w:left="11" w:right="0" w:hanging="11"/>
        <w:jc w:val="left"/>
        <w:rPr>
          <w:caps w:val="false"/>
          <w:smallCaps w:val="false"/>
          <w:color w:val="000000"/>
        </w:rPr>
      </w:pPr>
      <w:r>
        <w:rPr>
          <w:caps w:val="false"/>
          <w:smallCaps w:val="false"/>
          <w:color w:val="000000"/>
        </w:rPr>
        <w:t> </w:t>
      </w:r>
    </w:p>
    <w:p>
      <w:pPr>
        <w:pStyle w:val="TextBody"/>
        <w:shd w:fill="FEFEFE" w:val="clear"/>
        <w:bidi w:val="0"/>
        <w:ind w:left="10" w:right="0" w:hanging="1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ind w:left="10" w:right="0" w:hanging="10"/>
        <w:jc w:val="both"/>
        <w:rPr>
          <w:caps w:val="false"/>
          <w:smallCaps w:val="false"/>
          <w:color w:val="000000"/>
        </w:rPr>
      </w:pPr>
      <w:r>
        <w:rPr>
          <w:caps w:val="false"/>
          <w:smallCaps w:val="false"/>
          <w:color w:val="000000"/>
        </w:rPr>
        <w:t> </w:t>
      </w:r>
    </w:p>
    <w:p>
      <w:pPr>
        <w:pStyle w:val="TextBody"/>
        <w:shd w:fill="FEFEFE" w:val="clear"/>
        <w:bidi w:val="0"/>
        <w:ind w:left="10" w:right="0" w:hanging="1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pStyle w:val="TextBody"/>
        <w:shd w:fill="FEFEFE" w:val="clear"/>
        <w:bidi w:val="0"/>
        <w:ind w:left="10" w:right="0" w:hanging="10"/>
        <w:jc w:val="both"/>
        <w:rPr>
          <w:caps w:val="false"/>
          <w:smallCaps w:val="false"/>
          <w:color w:val="000000"/>
        </w:rPr>
      </w:pPr>
      <w:r>
        <w:rPr>
          <w:caps w:val="false"/>
          <w:smallCaps w:val="false"/>
          <w:color w:val="000000"/>
        </w:rPr>
        <w:t> </w:t>
      </w:r>
    </w:p>
    <w:p>
      <w:pPr>
        <w:pStyle w:val="TextBody"/>
        <w:shd w:fill="FEFEFE" w:val="clear"/>
        <w:bidi w:val="0"/>
        <w:ind w:left="10" w:right="0" w:hanging="1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 learn more about Bitfarms’ events, developments, and online communities:</w:t>
      </w:r>
    </w:p>
    <w:p>
      <w:pPr>
        <w:pStyle w:val="TextBody"/>
        <w:shd w:fill="FEFEFE" w:val="clear"/>
        <w:bidi w:val="0"/>
        <w:ind w:left="10" w:right="0" w:hanging="10"/>
        <w:jc w:val="both"/>
        <w:rPr>
          <w:caps w:val="false"/>
          <w:smallCaps w:val="false"/>
          <w:color w:val="000000"/>
        </w:rPr>
      </w:pPr>
      <w:r>
        <w:rPr>
          <w:caps w:val="false"/>
          <w:smallCaps w:val="false"/>
          <w:color w:val="000000"/>
        </w:rPr>
        <w:t> </w:t>
      </w:r>
    </w:p>
    <w:p>
      <w:pPr>
        <w:pStyle w:val="TextBody"/>
        <w:shd w:fill="FEFEFE" w:val="clear"/>
        <w:bidi w:val="0"/>
        <w:ind w:left="10" w:right="0" w:hanging="1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Website: www.bitfarms.com</w:t>
      </w:r>
    </w:p>
    <w:p>
      <w:pPr>
        <w:pStyle w:val="TextBody"/>
        <w:shd w:fill="FEFEFE" w:val="clear"/>
        <w:bidi w:val="0"/>
        <w:ind w:left="10" w:right="0" w:hanging="10"/>
        <w:jc w:val="left"/>
        <w:rPr>
          <w:caps w:val="false"/>
          <w:smallCaps w:val="false"/>
          <w:color w:val="000000"/>
        </w:rPr>
      </w:pPr>
      <w:r>
        <w:rPr>
          <w:caps w:val="false"/>
          <w:smallCaps w:val="false"/>
          <w:color w:val="000000"/>
        </w:rPr>
        <w:t> </w:t>
      </w:r>
    </w:p>
    <w:p>
      <w:pPr>
        <w:pStyle w:val="TextBody"/>
        <w:shd w:fill="FEFEFE" w:val="clear"/>
        <w:bidi w:val="0"/>
        <w:ind w:left="10" w:right="0" w:hanging="1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https://www.facebook.com/bitfarms/</w:t>
        <w:br/>
        <w:t>https://twitter.com/Bitfarms_io</w:t>
        <w:br/>
        <w:t>https://www.instagram.com/bitfarms/</w:t>
        <w:br/>
        <w:t>https://www.linkedin.com/company/bitfarms/</w:t>
      </w:r>
    </w:p>
    <w:p>
      <w:pPr>
        <w:pStyle w:val="TextBody"/>
        <w:shd w:fill="FEFEFE" w:val="clear"/>
        <w:bidi w:val="0"/>
        <w:ind w:left="10" w:right="0" w:hanging="1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Contacts:</w:t>
      </w:r>
    </w:p>
    <w:p>
      <w:pPr>
        <w:pStyle w:val="TextBody"/>
        <w:shd w:fill="FFFFFF" w:val="clear"/>
        <w:bidi w:val="0"/>
        <w:ind w:left="10" w:right="0" w:hanging="10"/>
        <w:jc w:val="left"/>
        <w:rPr>
          <w:caps w:val="false"/>
          <w:smallCaps w:val="false"/>
          <w:color w:val="000000"/>
        </w:rPr>
      </w:pPr>
      <w:r>
        <w:rPr>
          <w:caps w:val="false"/>
          <w:smallCaps w:val="false"/>
          <w:color w:val="000000"/>
        </w:rPr>
        <w:t> </w:t>
      </w:r>
    </w:p>
    <w:p>
      <w:pPr>
        <w:pStyle w:val="TextBody"/>
        <w:shd w:fill="FFFFFF" w:val="clear"/>
        <w:bidi w:val="0"/>
        <w:ind w:left="10" w:right="0" w:hanging="1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LHA Investor Relations</w:t>
        <w:br/>
      </w:r>
      <w:r>
        <w:rPr>
          <w:rFonts w:ascii="Times New Roman;Times;Serif" w:hAnsi="Times New Roman;Times;Serif"/>
          <w:b w:val="false"/>
          <w:i w:val="false"/>
          <w:caps w:val="false"/>
          <w:smallCaps w:val="false"/>
          <w:color w:val="000000"/>
          <w:sz w:val="20"/>
        </w:rPr>
        <w:t>David Barnard</w:t>
      </w:r>
    </w:p>
    <w:p>
      <w:pPr>
        <w:pStyle w:val="TextBody"/>
        <w:shd w:fill="FFFFFF" w:val="clear"/>
        <w:bidi w:val="0"/>
        <w:ind w:left="10" w:right="0" w:hanging="1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+1 415-433-3777</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Investors@bitfarms.com</w:t>
      </w:r>
    </w:p>
    <w:p>
      <w:pPr>
        <w:pStyle w:val="TextBody"/>
        <w:shd w:fill="FFFFFF" w:val="clear"/>
        <w:bidi w:val="0"/>
        <w:ind w:left="10" w:right="0" w:hanging="10"/>
        <w:jc w:val="left"/>
        <w:rPr>
          <w:caps w:val="false"/>
          <w:smallCaps w:val="false"/>
          <w:color w:val="000000"/>
        </w:rPr>
      </w:pPr>
      <w:r>
        <w:rPr>
          <w:caps w:val="false"/>
          <w:smallCaps w:val="false"/>
          <w:color w:val="000000"/>
        </w:rPr>
        <w:t> </w:t>
      </w:r>
    </w:p>
    <w:p>
      <w:pPr>
        <w:pStyle w:val="TextBody"/>
        <w:shd w:fill="FEFEFE" w:val="clear"/>
        <w:bidi w:val="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center"/>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3691</Characters>
  <CharactersWithSpaces>4321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