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November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November 1, 2021,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200" w:type="dxa"/>
            <w:vAlign w:val="bottom"/>
          </w:tcPr>
          <w:p>
            <w:pPr>
              <w:spacing w:after="0"/>
              <w:rPr>
                <w:sz w:val="20"/>
                <w:szCs w:val="20"/>
                <w:color w:val="auto"/>
              </w:rPr>
            </w:pPr>
          </w:p>
        </w:tc>
      </w:tr>
      <w:tr>
        <w:trPr>
          <w:trHeight w:val="445"/>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3"/>
          </w:tcPr>
          <w:p>
            <w:pPr>
              <w:ind w:left="120"/>
              <w:spacing w:after="0"/>
              <w:rPr>
                <w:sz w:val="20"/>
                <w:szCs w:val="20"/>
                <w:color w:val="auto"/>
              </w:rPr>
            </w:pPr>
            <w:r>
              <w:rPr>
                <w:rFonts w:ascii="Arial" w:cs="Arial" w:eastAsia="Arial" w:hAnsi="Arial"/>
                <w:sz w:val="18"/>
                <w:szCs w:val="18"/>
                <w:color w:val="auto"/>
              </w:rPr>
              <w:t>Description</w:t>
            </w:r>
          </w:p>
        </w:tc>
      </w:tr>
      <w:tr>
        <w:trPr>
          <w:trHeight w:val="210"/>
        </w:trPr>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Borders>
              <w:top w:val="single" w:sz="8" w:color="auto"/>
            </w:tcBorders>
          </w:tcPr>
          <w:p>
            <w:pPr>
              <w:spacing w:after="0"/>
              <w:rPr>
                <w:sz w:val="18"/>
                <w:szCs w:val="18"/>
                <w:color w:val="auto"/>
              </w:rPr>
            </w:pPr>
          </w:p>
        </w:tc>
        <w:tc>
          <w:tcPr>
            <w:tcW w:w="6200" w:type="dxa"/>
            <w:vAlign w:val="bottom"/>
            <w:tcBorders>
              <w:top w:val="single" w:sz="8" w:color="auto"/>
            </w:tcBorders>
          </w:tcPr>
          <w:p>
            <w:pPr>
              <w:spacing w:after="0"/>
              <w:rPr>
                <w:sz w:val="18"/>
                <w:szCs w:val="18"/>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3"/>
            <w:shd w:val="clear" w:color="auto" w:fill="CCEEFF"/>
          </w:tcPr>
          <w:p>
            <w:pPr>
              <w:ind w:left="1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November 1, 2021</w:t>
              </w:r>
            </w:hyperlink>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0000EE"/>
            </w:tcBorders>
            <w:shd w:val="clear" w:color="auto" w:fill="CCEEFF"/>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00"/>
        <w:spacing w:after="0"/>
        <w:tabs>
          <w:tab w:leader="none" w:pos="78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2021</w:t>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November 1, 2021.</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November 1, 2021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12"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ind w:left="460"/>
        <w:spacing w:after="0"/>
        <w:tabs>
          <w:tab w:leader="none" w:pos="17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i w:val="1"/>
          <w:i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151765</wp:posOffset>
            </wp:positionV>
            <wp:extent cx="203136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line="272" w:lineRule="auto"/>
        <w:rPr>
          <w:sz w:val="20"/>
          <w:szCs w:val="20"/>
          <w:color w:val="auto"/>
        </w:rPr>
      </w:pPr>
      <w:r>
        <w:rPr>
          <w:rFonts w:ascii="Arial" w:cs="Arial" w:eastAsia="Arial" w:hAnsi="Arial"/>
          <w:sz w:val="32"/>
          <w:szCs w:val="32"/>
          <w:b w:val="1"/>
          <w:bCs w:val="1"/>
          <w:color w:val="auto"/>
        </w:rPr>
        <w:t>Bitfarms Increases October 2021 Bitcoin Production, Up 12.5% from September 2021</w:t>
      </w:r>
    </w:p>
    <w:p>
      <w:pPr>
        <w:spacing w:after="0" w:line="192" w:lineRule="exact"/>
        <w:rPr>
          <w:sz w:val="20"/>
          <w:szCs w:val="20"/>
          <w:color w:val="auto"/>
        </w:rPr>
      </w:pPr>
    </w:p>
    <w:p>
      <w:pPr>
        <w:ind w:left="2960" w:hanging="110"/>
        <w:spacing w:after="0"/>
        <w:tabs>
          <w:tab w:leader="none" w:pos="29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343 BTC Mined, Increasing BTC Holdings to Over 2,640 at October 31, 2021 –</w:t>
      </w:r>
    </w:p>
    <w:p>
      <w:pPr>
        <w:spacing w:after="0" w:line="23" w:lineRule="exact"/>
        <w:rPr>
          <w:rFonts w:ascii="Arial" w:cs="Arial" w:eastAsia="Arial" w:hAnsi="Arial"/>
          <w:sz w:val="18"/>
          <w:szCs w:val="18"/>
          <w:i w:val="1"/>
          <w:iCs w:val="1"/>
          <w:color w:val="auto"/>
        </w:rPr>
      </w:pPr>
    </w:p>
    <w:p>
      <w:pPr>
        <w:ind w:left="3800" w:hanging="96"/>
        <w:spacing w:after="0"/>
        <w:tabs>
          <w:tab w:leader="none" w:pos="3800" w:val="left"/>
        </w:tabs>
        <w:numPr>
          <w:ilvl w:val="1"/>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Hashrate Exceeds 1.8 Exahash per Second (EH/s) -</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(November 1, 2021)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a Bitcoin production update.</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increase in month-over-month production in October 2021 represents a further advancement for Bitfarms and shows the initial benefit generated as a result of production from our newly built, larger production facility in Cowansville, Québec. This, in conjunction with recent miner deliveries and ongoing fleet optimization, contributed to our achieving a record hashrate of 1.8 exahash per second (EH/s) in late October,” said Emiliano Grodzki, Bitfarms Founder and Chief Executive Officer. “With new miner deliveries en route and deliveries continuing throughout November, this month we expect to grow our hashrate to over 2 EH/s and improve our electrical efficiency to 44 watts per terahash (W/TH).”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2021 Bitfarms’ Mining Production Update</w:t>
      </w:r>
    </w:p>
    <w:p>
      <w:pPr>
        <w:spacing w:after="0" w:line="202" w:lineRule="exact"/>
        <w:rPr>
          <w:sz w:val="20"/>
          <w:szCs w:val="20"/>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1.8 EH/s achieved effective October 25, 2021.</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343 new Bitcoin (BTC) mined during October 2021.</w:t>
      </w:r>
    </w:p>
    <w:p>
      <w:pPr>
        <w:spacing w:after="0" w:line="22"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2,750 BTC mined in the first ten months of 2021.</w:t>
      </w:r>
    </w:p>
    <w:p>
      <w:pPr>
        <w:spacing w:after="0" w:line="9" w:lineRule="exact"/>
        <w:rPr>
          <w:rFonts w:ascii="Arial" w:cs="Arial" w:eastAsia="Arial" w:hAnsi="Arial"/>
          <w:sz w:val="18"/>
          <w:szCs w:val="18"/>
          <w:color w:val="auto"/>
        </w:rPr>
      </w:pPr>
    </w:p>
    <w:p>
      <w:pPr>
        <w:ind w:left="760" w:hanging="334"/>
        <w:spacing w:after="0"/>
        <w:tabs>
          <w:tab w:leader="none" w:pos="760" w:val="left"/>
        </w:tabs>
        <w:numPr>
          <w:ilvl w:val="1"/>
          <w:numId w:val="2"/>
        </w:numPr>
        <w:rPr>
          <w:rFonts w:ascii="Arial" w:cs="Arial" w:eastAsia="Arial" w:hAnsi="Arial"/>
          <w:sz w:val="18"/>
          <w:szCs w:val="18"/>
          <w:color w:val="auto"/>
        </w:rPr>
      </w:pPr>
      <w:r>
        <w:rPr>
          <w:rFonts w:ascii="Arial" w:cs="Arial" w:eastAsia="Arial" w:hAnsi="Arial"/>
          <w:sz w:val="18"/>
          <w:szCs w:val="18"/>
          <w:color w:val="auto"/>
        </w:rPr>
        <w:t>11+ BTC mined daily on average, equivalent to about US$ 665,500 per day based on a BTC price of US$60,500 on October 31.</w:t>
      </w:r>
    </w:p>
    <w:p>
      <w:pPr>
        <w:spacing w:after="0" w:line="22" w:lineRule="exact"/>
        <w:rPr>
          <w:rFonts w:ascii="Arial" w:cs="Arial" w:eastAsia="Arial" w:hAnsi="Arial"/>
          <w:sz w:val="18"/>
          <w:szCs w:val="18"/>
          <w:color w:val="auto"/>
        </w:rPr>
      </w:pPr>
    </w:p>
    <w:p>
      <w:pPr>
        <w:ind w:left="760" w:right="100" w:hanging="334"/>
        <w:spacing w:after="0" w:line="276" w:lineRule="auto"/>
        <w:tabs>
          <w:tab w:leader="none" w:pos="760" w:val="left"/>
        </w:tabs>
        <w:numPr>
          <w:ilvl w:val="1"/>
          <w:numId w:val="2"/>
        </w:numPr>
        <w:rPr>
          <w:rFonts w:ascii="Arial" w:cs="Arial" w:eastAsia="Arial" w:hAnsi="Arial"/>
          <w:sz w:val="18"/>
          <w:szCs w:val="18"/>
          <w:color w:val="auto"/>
        </w:rPr>
      </w:pPr>
      <w:r>
        <w:rPr>
          <w:rFonts w:ascii="Arial" w:cs="Arial" w:eastAsia="Arial" w:hAnsi="Arial"/>
          <w:sz w:val="18"/>
          <w:szCs w:val="18"/>
          <w:color w:val="auto"/>
        </w:rPr>
        <w:t>2,646 BTC deposited into custody for the year through October 31, 2021, representing approximately 96% of Bitfarms’ 2021 BTC production with a total value of approximately US$160 million based on a BTC price of US$60,500.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2021 Bitfarms’ Mining Operations Highlights</w:t>
      </w:r>
    </w:p>
    <w:p>
      <w:pPr>
        <w:spacing w:after="0" w:line="202" w:lineRule="exact"/>
        <w:rPr>
          <w:sz w:val="20"/>
          <w:szCs w:val="20"/>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2,869 Bitmain S19j Pro miners received and installed.</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300 MicroBT M30S miners received and installed.</w:t>
      </w:r>
    </w:p>
    <w:p>
      <w:pPr>
        <w:spacing w:after="0" w:line="75" w:lineRule="exact"/>
        <w:rPr>
          <w:rFonts w:ascii="Arial" w:cs="Arial" w:eastAsia="Arial" w:hAnsi="Arial"/>
          <w:sz w:val="18"/>
          <w:szCs w:val="18"/>
          <w:color w:val="auto"/>
        </w:rPr>
      </w:pPr>
    </w:p>
    <w:p>
      <w:pPr>
        <w:ind w:left="760" w:right="100" w:hanging="334"/>
        <w:spacing w:after="0" w:line="258"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remaining 4,361 Bitmain S19j Pro and 400 MicroBT M30S miners scheduled for delivery this year are en route and are expected to be received in multiple batches in November.</w:t>
      </w:r>
    </w:p>
    <w:p>
      <w:pPr>
        <w:spacing w:after="0" w:line="1" w:lineRule="exact"/>
        <w:rPr>
          <w:rFonts w:ascii="Arial" w:cs="Arial" w:eastAsia="Arial" w:hAnsi="Arial"/>
          <w:sz w:val="18"/>
          <w:szCs w:val="18"/>
          <w:color w:val="auto"/>
        </w:rPr>
      </w:pPr>
    </w:p>
    <w:p>
      <w:pPr>
        <w:ind w:left="760" w:hanging="334"/>
        <w:spacing w:after="0"/>
        <w:tabs>
          <w:tab w:leader="none" w:pos="7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Cowansville, Québec, farm operated at its fully energized, upgraded capacity of 17 MW for the month, which is a net increase of 13 MW.</w:t>
      </w:r>
    </w:p>
    <w:p>
      <w:pPr>
        <w:spacing w:after="0" w:line="32" w:lineRule="exact"/>
        <w:rPr>
          <w:rFonts w:ascii="Arial" w:cs="Arial" w:eastAsia="Arial" w:hAnsi="Arial"/>
          <w:sz w:val="16"/>
          <w:szCs w:val="16"/>
          <w:color w:val="auto"/>
        </w:rPr>
      </w:pPr>
    </w:p>
    <w:p>
      <w:pPr>
        <w:ind w:left="760" w:right="100" w:hanging="334"/>
        <w:spacing w:after="0" w:line="258"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Construction commenced on two new farms in Sherbrooke, Québec, increasing our farms in development from two (Argentina and Paraguay) to four (Argentina, Paraguay and Quebec).</w:t>
      </w:r>
    </w:p>
    <w:p>
      <w:pPr>
        <w:ind w:left="760" w:hanging="334"/>
        <w:spacing w:after="0"/>
        <w:tabs>
          <w:tab w:leader="none" w:pos="760" w:val="left"/>
        </w:tabs>
        <w:numPr>
          <w:ilvl w:val="1"/>
          <w:numId w:val="3"/>
        </w:numPr>
        <w:rPr>
          <w:rFonts w:ascii="Arial" w:cs="Arial" w:eastAsia="Arial" w:hAnsi="Arial"/>
          <w:sz w:val="17"/>
          <w:szCs w:val="17"/>
          <w:color w:val="auto"/>
        </w:rPr>
      </w:pPr>
      <w:r>
        <w:rPr>
          <w:rFonts w:ascii="Arial" w:cs="Arial" w:eastAsia="Arial" w:hAnsi="Arial"/>
          <w:sz w:val="17"/>
          <w:szCs w:val="17"/>
          <w:color w:val="auto"/>
        </w:rPr>
        <w:t>Construction also began on a farm in Argentina within the gates of a private power company that will not receive any government subsidies.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Bitfarms’ BTC 2021 Monthly Production</w:t>
      </w:r>
    </w:p>
    <w:p>
      <w:pPr>
        <w:spacing w:after="0" w:line="333"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3440" w:type="dxa"/>
            <w:vAlign w:val="bottom"/>
            <w:gridSpan w:val="2"/>
          </w:tcPr>
          <w:p>
            <w:pPr>
              <w:ind w:left="1380"/>
              <w:spacing w:after="0"/>
              <w:rPr>
                <w:sz w:val="20"/>
                <w:szCs w:val="20"/>
                <w:color w:val="auto"/>
              </w:rPr>
            </w:pPr>
            <w:r>
              <w:rPr>
                <w:rFonts w:ascii="Arial" w:cs="Arial" w:eastAsia="Arial" w:hAnsi="Arial"/>
                <w:sz w:val="18"/>
                <w:szCs w:val="18"/>
                <w:b w:val="1"/>
                <w:bCs w:val="1"/>
                <w:color w:val="auto"/>
              </w:rPr>
              <w:t>Month</w:t>
            </w:r>
          </w:p>
        </w:tc>
        <w:tc>
          <w:tcPr>
            <w:tcW w:w="1480" w:type="dxa"/>
            <w:vAlign w:val="bottom"/>
          </w:tcPr>
          <w:p>
            <w:pPr>
              <w:spacing w:after="0"/>
              <w:rPr>
                <w:sz w:val="18"/>
                <w:szCs w:val="18"/>
                <w:color w:val="auto"/>
              </w:rPr>
            </w:pPr>
          </w:p>
        </w:tc>
        <w:tc>
          <w:tcPr>
            <w:tcW w:w="1820" w:type="dxa"/>
            <w:vAlign w:val="bottom"/>
            <w:gridSpan w:val="3"/>
          </w:tcPr>
          <w:p>
            <w:pPr>
              <w:jc w:val="center"/>
              <w:ind w:right="1460"/>
              <w:spacing w:after="0"/>
              <w:rPr>
                <w:sz w:val="20"/>
                <w:szCs w:val="20"/>
                <w:color w:val="auto"/>
              </w:rPr>
            </w:pPr>
            <w:r>
              <w:rPr>
                <w:rFonts w:ascii="Arial" w:cs="Arial" w:eastAsia="Arial" w:hAnsi="Arial"/>
                <w:sz w:val="18"/>
                <w:szCs w:val="18"/>
                <w:b w:val="1"/>
                <w:bCs w:val="1"/>
                <w:color w:val="auto"/>
                <w:w w:val="97"/>
              </w:rPr>
              <w:t>BTC</w:t>
            </w:r>
          </w:p>
        </w:tc>
      </w:tr>
      <w:tr>
        <w:trPr>
          <w:trHeight w:val="28"/>
        </w:trPr>
        <w:tc>
          <w:tcPr>
            <w:tcW w:w="3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left="1370"/>
              <w:spacing w:after="0"/>
              <w:rPr>
                <w:sz w:val="20"/>
                <w:szCs w:val="20"/>
                <w:color w:val="auto"/>
              </w:rPr>
            </w:pPr>
            <w:r>
              <w:rPr>
                <w:rFonts w:ascii="Arial" w:cs="Arial" w:eastAsia="Arial" w:hAnsi="Arial"/>
                <w:sz w:val="18"/>
                <w:szCs w:val="18"/>
                <w:color w:val="auto"/>
                <w:w w:val="86"/>
              </w:rPr>
              <w:t>199</w:t>
            </w: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February</w:t>
            </w:r>
          </w:p>
        </w:tc>
        <w:tc>
          <w:tcPr>
            <w:tcW w:w="1840" w:type="dxa"/>
            <w:vAlign w:val="bottom"/>
            <w:gridSpan w:val="2"/>
          </w:tcPr>
          <w:p>
            <w:pPr>
              <w:jc w:val="center"/>
              <w:ind w:left="1370"/>
              <w:spacing w:after="0"/>
              <w:rPr>
                <w:sz w:val="20"/>
                <w:szCs w:val="20"/>
                <w:color w:val="auto"/>
              </w:rPr>
            </w:pPr>
            <w:r>
              <w:rPr>
                <w:rFonts w:ascii="Arial" w:cs="Arial" w:eastAsia="Arial" w:hAnsi="Arial"/>
                <w:sz w:val="18"/>
                <w:szCs w:val="18"/>
                <w:color w:val="auto"/>
                <w:w w:val="86"/>
              </w:rPr>
              <w:t>178</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March</w:t>
            </w:r>
          </w:p>
        </w:tc>
        <w:tc>
          <w:tcPr>
            <w:tcW w:w="1840" w:type="dxa"/>
            <w:vAlign w:val="bottom"/>
            <w:gridSpan w:val="2"/>
            <w:shd w:val="clear" w:color="auto" w:fill="CCEEFF"/>
          </w:tcPr>
          <w:p>
            <w:pPr>
              <w:jc w:val="center"/>
              <w:ind w:left="1370"/>
              <w:spacing w:after="0"/>
              <w:rPr>
                <w:sz w:val="20"/>
                <w:szCs w:val="20"/>
                <w:color w:val="auto"/>
              </w:rPr>
            </w:pPr>
            <w:r>
              <w:rPr>
                <w:rFonts w:ascii="Arial" w:cs="Arial" w:eastAsia="Arial" w:hAnsi="Arial"/>
                <w:sz w:val="18"/>
                <w:szCs w:val="18"/>
                <w:color w:val="auto"/>
                <w:w w:val="86"/>
              </w:rPr>
              <w:t>221</w:t>
            </w: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jc w:val="center"/>
              <w:ind w:right="60"/>
              <w:spacing w:after="0"/>
              <w:rPr>
                <w:sz w:val="20"/>
                <w:szCs w:val="20"/>
                <w:color w:val="auto"/>
              </w:rPr>
            </w:pPr>
            <w:r>
              <w:rPr>
                <w:rFonts w:ascii="Arial" w:cs="Arial" w:eastAsia="Arial" w:hAnsi="Arial"/>
                <w:sz w:val="18"/>
                <w:szCs w:val="18"/>
                <w:color w:val="auto"/>
              </w:rPr>
              <w:t>April</w:t>
            </w:r>
          </w:p>
        </w:tc>
        <w:tc>
          <w:tcPr>
            <w:tcW w:w="1840" w:type="dxa"/>
            <w:vAlign w:val="bottom"/>
            <w:gridSpan w:val="2"/>
          </w:tcPr>
          <w:p>
            <w:pPr>
              <w:jc w:val="center"/>
              <w:ind w:left="1370"/>
              <w:spacing w:after="0"/>
              <w:rPr>
                <w:sz w:val="20"/>
                <w:szCs w:val="20"/>
                <w:color w:val="auto"/>
              </w:rPr>
            </w:pPr>
            <w:r>
              <w:rPr>
                <w:rFonts w:ascii="Arial" w:cs="Arial" w:eastAsia="Arial" w:hAnsi="Arial"/>
                <w:sz w:val="18"/>
                <w:szCs w:val="18"/>
                <w:color w:val="auto"/>
                <w:w w:val="86"/>
              </w:rPr>
              <w:t>232</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May</w:t>
            </w:r>
          </w:p>
        </w:tc>
        <w:tc>
          <w:tcPr>
            <w:tcW w:w="1840" w:type="dxa"/>
            <w:vAlign w:val="bottom"/>
            <w:gridSpan w:val="2"/>
            <w:shd w:val="clear" w:color="auto" w:fill="CCEEFF"/>
          </w:tcPr>
          <w:p>
            <w:pPr>
              <w:jc w:val="center"/>
              <w:ind w:left="1370"/>
              <w:spacing w:after="0"/>
              <w:rPr>
                <w:sz w:val="20"/>
                <w:szCs w:val="20"/>
                <w:color w:val="auto"/>
              </w:rPr>
            </w:pPr>
            <w:r>
              <w:rPr>
                <w:rFonts w:ascii="Arial" w:cs="Arial" w:eastAsia="Arial" w:hAnsi="Arial"/>
                <w:sz w:val="18"/>
                <w:szCs w:val="18"/>
                <w:color w:val="auto"/>
                <w:w w:val="86"/>
              </w:rPr>
              <w:t>262</w:t>
            </w: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jc w:val="center"/>
              <w:ind w:right="80"/>
              <w:spacing w:after="0"/>
              <w:rPr>
                <w:sz w:val="20"/>
                <w:szCs w:val="20"/>
                <w:color w:val="auto"/>
              </w:rPr>
            </w:pPr>
            <w:r>
              <w:rPr>
                <w:rFonts w:ascii="Arial" w:cs="Arial" w:eastAsia="Arial" w:hAnsi="Arial"/>
                <w:sz w:val="18"/>
                <w:szCs w:val="18"/>
                <w:color w:val="auto"/>
                <w:w w:val="81"/>
              </w:rPr>
              <w:t>June</w:t>
            </w:r>
          </w:p>
        </w:tc>
        <w:tc>
          <w:tcPr>
            <w:tcW w:w="1840" w:type="dxa"/>
            <w:vAlign w:val="bottom"/>
            <w:gridSpan w:val="2"/>
          </w:tcPr>
          <w:p>
            <w:pPr>
              <w:jc w:val="center"/>
              <w:ind w:left="1370"/>
              <w:spacing w:after="0"/>
              <w:rPr>
                <w:sz w:val="20"/>
                <w:szCs w:val="20"/>
                <w:color w:val="auto"/>
              </w:rPr>
            </w:pPr>
            <w:r>
              <w:rPr>
                <w:rFonts w:ascii="Arial" w:cs="Arial" w:eastAsia="Arial" w:hAnsi="Arial"/>
                <w:sz w:val="18"/>
                <w:szCs w:val="18"/>
                <w:color w:val="auto"/>
                <w:w w:val="86"/>
              </w:rPr>
              <w:t>265</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July</w:t>
            </w:r>
          </w:p>
        </w:tc>
        <w:tc>
          <w:tcPr>
            <w:tcW w:w="1840" w:type="dxa"/>
            <w:vAlign w:val="bottom"/>
            <w:gridSpan w:val="2"/>
            <w:shd w:val="clear" w:color="auto" w:fill="CCEEFF"/>
          </w:tcPr>
          <w:p>
            <w:pPr>
              <w:jc w:val="center"/>
              <w:ind w:left="1370"/>
              <w:spacing w:after="0"/>
              <w:rPr>
                <w:sz w:val="20"/>
                <w:szCs w:val="20"/>
                <w:color w:val="auto"/>
              </w:rPr>
            </w:pPr>
            <w:r>
              <w:rPr>
                <w:rFonts w:ascii="Arial" w:cs="Arial" w:eastAsia="Arial" w:hAnsi="Arial"/>
                <w:sz w:val="18"/>
                <w:szCs w:val="18"/>
                <w:color w:val="auto"/>
                <w:w w:val="86"/>
              </w:rPr>
              <w:t>391</w:t>
            </w: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August</w:t>
            </w:r>
          </w:p>
        </w:tc>
        <w:tc>
          <w:tcPr>
            <w:tcW w:w="1840" w:type="dxa"/>
            <w:vAlign w:val="bottom"/>
            <w:gridSpan w:val="2"/>
          </w:tcPr>
          <w:p>
            <w:pPr>
              <w:jc w:val="center"/>
              <w:ind w:left="1370"/>
              <w:spacing w:after="0"/>
              <w:rPr>
                <w:sz w:val="20"/>
                <w:szCs w:val="20"/>
                <w:color w:val="auto"/>
              </w:rPr>
            </w:pPr>
            <w:r>
              <w:rPr>
                <w:rFonts w:ascii="Arial" w:cs="Arial" w:eastAsia="Arial" w:hAnsi="Arial"/>
                <w:sz w:val="18"/>
                <w:szCs w:val="18"/>
                <w:color w:val="auto"/>
                <w:w w:val="86"/>
              </w:rPr>
              <w:t>354</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September</w:t>
            </w:r>
          </w:p>
        </w:tc>
        <w:tc>
          <w:tcPr>
            <w:tcW w:w="1840" w:type="dxa"/>
            <w:vAlign w:val="bottom"/>
            <w:gridSpan w:val="2"/>
            <w:shd w:val="clear" w:color="auto" w:fill="CCEEFF"/>
          </w:tcPr>
          <w:p>
            <w:pPr>
              <w:jc w:val="center"/>
              <w:ind w:left="1370"/>
              <w:spacing w:after="0"/>
              <w:rPr>
                <w:sz w:val="20"/>
                <w:szCs w:val="20"/>
                <w:color w:val="auto"/>
              </w:rPr>
            </w:pPr>
            <w:r>
              <w:rPr>
                <w:rFonts w:ascii="Arial" w:cs="Arial" w:eastAsia="Arial" w:hAnsi="Arial"/>
                <w:sz w:val="18"/>
                <w:szCs w:val="18"/>
                <w:color w:val="auto"/>
                <w:w w:val="86"/>
              </w:rPr>
              <w:t>305</w:t>
            </w: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34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October</w:t>
            </w:r>
          </w:p>
        </w:tc>
        <w:tc>
          <w:tcPr>
            <w:tcW w:w="1840" w:type="dxa"/>
            <w:vAlign w:val="bottom"/>
            <w:gridSpan w:val="2"/>
          </w:tcPr>
          <w:p>
            <w:pPr>
              <w:jc w:val="center"/>
              <w:ind w:left="1370"/>
              <w:spacing w:after="0"/>
              <w:rPr>
                <w:sz w:val="20"/>
                <w:szCs w:val="20"/>
                <w:color w:val="auto"/>
              </w:rPr>
            </w:pPr>
            <w:r>
              <w:rPr>
                <w:rFonts w:ascii="Arial" w:cs="Arial" w:eastAsia="Arial" w:hAnsi="Arial"/>
                <w:sz w:val="18"/>
                <w:szCs w:val="18"/>
                <w:color w:val="auto"/>
                <w:w w:val="86"/>
              </w:rPr>
              <w:t>343</w:t>
            </w: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previously announced, construction on high-power production facilities in Paraguay and Argentina is underway. These strategic investments represent 220 megawatts (MWs) of combined capacity and are part of Bitfarms plan to grow its hashrate to 3 EH/s in first quarter 2022 and 8 EH/s by year end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Bitfarms Ltd.</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Bitfarms was honoured to be announced as a Rising Star by the TSX-V. On June 21, 2021, Bitfarms started trading on the Nasdaq Stock Market.</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over 99% powered with environmentally friendly hydro power and secured with long-term power contracts. Bitfarms is currently the only publicly traded pure-play mining company audited by a Big Four accounting firm.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its future rate of Bitcoin production, its future accumulation of Bitcoin, its expansion plans,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 ended December 31,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LHA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Investors@bitfarms.com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Mia Grodsky, Account 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mia@yapglobal.com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Valérie Pomerleau, Public Affairs and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valerie@ryanap.com</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2021-11-01T15:12:31Z</dcterms:created>
  <dcterms:modified xsi:type="dcterms:W3CDTF">2021-11-01T15:12:31Z</dcterms:modified>
</cp:coreProperties>
</file>