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BITFARMS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tabs>
          <w:tab w:leader="none" w:pos="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August 17, 2023,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60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79"/>
        </w:trPr>
        <w:tc>
          <w:tcPr>
            <w:tcW w:w="1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175"/>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August 17, 2023</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0000EE"/>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right"/>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8"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to Host Analyst &amp; Investor Day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on September 14</w:t>
      </w:r>
      <w:r>
        <w:rPr>
          <w:rFonts w:ascii="Arial" w:cs="Arial" w:eastAsia="Arial" w:hAnsi="Arial"/>
          <w:sz w:val="41"/>
          <w:szCs w:val="41"/>
          <w:b w:val="1"/>
          <w:bCs w:val="1"/>
          <w:color w:val="auto"/>
          <w:vertAlign w:val="superscript"/>
        </w:rPr>
        <w:t>th</w:t>
      </w:r>
      <w:r>
        <w:rPr>
          <w:rFonts w:ascii="Arial" w:cs="Arial" w:eastAsia="Arial" w:hAnsi="Arial"/>
          <w:sz w:val="25"/>
          <w:szCs w:val="25"/>
          <w:b w:val="1"/>
          <w:bCs w:val="1"/>
          <w:color w:val="auto"/>
        </w:rPr>
        <w:t xml:space="preserve"> in New York City</w:t>
      </w:r>
    </w:p>
    <w:p>
      <w:pPr>
        <w:spacing w:after="0" w:line="7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(August 17,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host an Analyst &amp; Investor Day on September 14, 2023, in New York City and by live simulcast.</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Schedule</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8:00 – 9:00 am ET: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9:00 am - Noon ET: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Noon ET – 1:00 ET: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Continental breakfast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Presentations and Q&amp;A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Lunch</w:t>
      </w:r>
    </w:p>
    <w:p>
      <w:pPr>
        <w:spacing w:after="0" w:line="200" w:lineRule="exact"/>
        <w:rPr>
          <w:sz w:val="20"/>
          <w:szCs w:val="20"/>
          <w:color w:val="auto"/>
        </w:rPr>
      </w:pPr>
    </w:p>
    <w:p>
      <w:pPr>
        <w:sectPr>
          <w:pgSz w:w="11900" w:h="16838" w:orient="portrait"/>
          <w:cols w:equalWidth="0" w:num="2">
            <w:col w:w="2280" w:space="540"/>
            <w:col w:w="8420"/>
          </w:cols>
          <w:pgMar w:left="320" w:top="121"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Invitation &amp; RSVP required for in-person attendance, virtual attendance by webcast available.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Bitfarms’ senior leadership team will provide an in-depth review of its business strategy and vision. President and Chief Executive Officer Geoff Morphy will emcee, more than 10 senior executives will deliver presentations, and the team will conduct an interactive Q&amp;A session. Topics will include:</w:t>
      </w:r>
    </w:p>
    <w:p>
      <w:pPr>
        <w:spacing w:after="0" w:line="12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operations strategic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Preparation for the next Halving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in LATAM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Excellence in bitcoin mining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Strategies for finance, hedging, and HODLing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 Attendance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request an invitation for in-person attendance, please contact LHA at bitfarms@lhai.com.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 xml:space="preserve">Webcast </w:t>
      </w:r>
      <w:r>
        <w:rPr>
          <w:rFonts w:ascii="Arial" w:cs="Arial" w:eastAsia="Arial" w:hAnsi="Arial"/>
          <w:sz w:val="18"/>
          <w:szCs w:val="18"/>
          <w:b w:val="1"/>
          <w:bCs w:val="1"/>
          <w:color w:val="auto"/>
        </w:rPr>
        <w:t>Registration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highlight w:val="white"/>
        </w:rPr>
        <w:t xml:space="preserve">A webcast of the event, along with supporting materials, will be available on the company’s Investor Relations website at </w:t>
      </w:r>
      <w:r>
        <w:rPr>
          <w:rFonts w:ascii="Arial" w:cs="Arial" w:eastAsia="Arial" w:hAnsi="Arial"/>
          <w:sz w:val="17"/>
          <w:szCs w:val="17"/>
          <w:color w:val="auto"/>
        </w:rPr>
        <w:t>Bitfarms IR Calendar.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A replay of the webcast and related presentation materials will also be made available following the conclusion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ind w:left="20" w:hanging="9"/>
        <w:spacing w:after="0" w:line="286" w:lineRule="auto"/>
        <w:rPr>
          <w:sz w:val="20"/>
          <w:szCs w:val="20"/>
          <w:color w:val="auto"/>
        </w:rPr>
      </w:pPr>
      <w:r>
        <w:rPr>
          <w:rFonts w:ascii="Arial" w:cs="Arial" w:eastAsia="Arial" w:hAnsi="Arial"/>
          <w:sz w:val="17"/>
          <w:szCs w:val="17"/>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-433705</wp:posOffset>
            </wp:positionV>
            <wp:extent cx="7123430" cy="2331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2331720"/>
                    </a:xfrm>
                    <a:prstGeom prst="rect">
                      <a:avLst/>
                    </a:prstGeom>
                    <a:noFill/>
                  </pic:spPr>
                </pic:pic>
              </a:graphicData>
            </a:graphic>
          </wp:anchor>
        </w:drawing>
      </w:r>
    </w:p>
    <w:p>
      <w:pPr>
        <w:spacing w:after="0" w:line="145" w:lineRule="exact"/>
        <w:rPr>
          <w:sz w:val="20"/>
          <w:szCs w:val="20"/>
          <w:color w:val="auto"/>
        </w:rPr>
      </w:pPr>
    </w:p>
    <w:p>
      <w:pPr>
        <w:ind w:left="20" w:right="260" w:hanging="9"/>
        <w:spacing w:after="0" w:line="263" w:lineRule="auto"/>
        <w:rPr>
          <w:sz w:val="20"/>
          <w:szCs w:val="20"/>
          <w:color w:val="auto"/>
        </w:rPr>
      </w:pPr>
      <w:r>
        <w:rPr>
          <w:rFonts w:ascii="Arial" w:cs="Arial" w:eastAsia="Arial" w:hAnsi="Arial"/>
          <w:sz w:val="18"/>
          <w:szCs w:val="18"/>
          <w:color w:val="auto"/>
        </w:rPr>
        <w:t>Bitfarms currently has 11 operating farms and 2 farms in development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2023-08-17T15:11:25Z</dcterms:created>
  <dcterms:modified xsi:type="dcterms:W3CDTF">2023-08-17T15:11:25Z</dcterms:modified>
</cp:coreProperties>
</file>