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000FF"/>
        </w:rPr>
        <w:t>Riot Platforms, Inc.</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3855 Ambrosia Street, Suite 301,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Castle Rock, CO, 80109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303-794-2000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55,040,221.00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81,249,679.00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81,249,679.00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 M5C 1T4.</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15 to Schedule 13D ("Amendment No. 15") relates to the Schedule 13D filed on May 28, 2024</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dated May 29, 2024, Amendment No. 2, dated June 4, 2024, Amendment No.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dated June 5, 2024, Amendment No. 4 dated June 12, 2024, Amendment No. 5 dated June 13, 2024, Amendment No.</w:t>
      </w:r>
    </w:p>
    <w:p>
      <w:pPr>
        <w:spacing w:after="0" w:line="1" w:lineRule="exact"/>
        <w:rPr>
          <w:sz w:val="20"/>
          <w:szCs w:val="20"/>
          <w:color w:val="auto"/>
        </w:rPr>
      </w:pPr>
    </w:p>
    <w:p>
      <w:pPr>
        <w:jc w:val="both"/>
        <w:ind w:left="960"/>
        <w:spacing w:after="0" w:line="243" w:lineRule="auto"/>
        <w:rPr>
          <w:sz w:val="20"/>
          <w:szCs w:val="20"/>
          <w:color w:val="auto"/>
        </w:rPr>
      </w:pPr>
      <w:r>
        <w:rPr>
          <w:rFonts w:ascii="Times New Roman" w:cs="Times New Roman" w:eastAsia="Times New Roman" w:hAnsi="Times New Roman"/>
          <w:sz w:val="21"/>
          <w:szCs w:val="21"/>
          <w:color w:val="auto"/>
        </w:rPr>
        <w:t>6 dated June 24, 2024, Amendment No. 7 dated July 31, 2024, Amendment No. 8 dated August 5, 2024, Amendment No. 9 dated August 9, 2024, Amendment No. 10 dated August 14, 2024, Amendment No. 11 dated August 21, 2024, Amendment No. 12 dated September 5, 2024, Amendment No. 13 dated September 23, 2024 and Amendment No. 14 dated April 9, 2025, the "Schedule 13D") by Riot Platforms, Inc., a Nevada corporation (the "Reporting Person"), relating to the Common Shares, no par value per share (the "Common Shares"), of Bitfarms Ltd., a corporation incorporated under the Canada Business Corporations Act and continued under the Business Corporations Act (Ontario) (the "Company"), whose principal executive offices are located at 110 Yonge Street, Suite 1601, Toronto, Ontario, M5C 1T4. Except as specifically amended by this Amendment No. 15, the Schedule 13D is unchanged.</w:t>
      </w:r>
    </w:p>
    <w:p>
      <w:pPr>
        <w:sectPr>
          <w:pgSz w:w="11900" w:h="16838" w:orient="portrait"/>
          <w:cols w:equalWidth="0" w:num="1">
            <w:col w:w="11160"/>
          </w:cols>
          <w:pgMar w:left="360" w:top="126" w:right="379" w:bottom="0" w:gutter="0" w:footer="0" w:header="0"/>
          <w:type w:val="continuous"/>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5" w:lineRule="exact"/>
        <w:rPr>
          <w:sz w:val="20"/>
          <w:szCs w:val="20"/>
          <w:color w:val="auto"/>
        </w:rPr>
      </w:pPr>
    </w:p>
    <w:p>
      <w:pPr>
        <w:ind w:left="920" w:right="120"/>
        <w:spacing w:after="0" w:line="235" w:lineRule="auto"/>
        <w:rPr>
          <w:sz w:val="20"/>
          <w:szCs w:val="20"/>
          <w:color w:val="auto"/>
        </w:rPr>
      </w:pPr>
      <w:r>
        <w:rPr>
          <w:rFonts w:ascii="Times New Roman" w:cs="Times New Roman" w:eastAsia="Times New Roman" w:hAnsi="Times New Roman"/>
          <w:sz w:val="22"/>
          <w:szCs w:val="22"/>
          <w:color w:val="auto"/>
        </w:rPr>
        <w:t>Item 5(a) and (b) of the Schedule 13D is hereby amended and restated to read in full as follows: (a) and (b) The aggregate number and percentage of the Common Shares that are beneficially owned by the Reporting Person and as to which the Reporting Person has sole voting power, shared voting power, sole dispositive power and shared dispositive power are set forth on the cover page of this Statement, and such information is incorporated herein by reference. The percentage used herein is calculated based on an aggregate of 555,961,833 Common Shares</w:t>
      </w:r>
    </w:p>
    <w:p>
      <w:pPr>
        <w:ind w:left="920" w:right="40" w:hanging="912"/>
        <w:spacing w:after="0" w:line="204"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outstanding, based on the information contained in the Company's management's discussion and analysis for the three months ended March 31, 2025, filed as Exhibit 99.2 to the Company's Form 6-K on May 14, 2025. As previously described in the Schedule 13D, the Reporting Person has granted to the Company and any of its designees an irrevocable proxy with respect to any Common Shares the voting power of which represents in excess of 9.9% of the total voting power of all securities of the Company entitled to vote for the election of directors of the Company from time to time outstanding. As a result of such proxy, the Reporting Person currently exercises voting power over approximately 55,040,221, or approximately 9.9%, of the outstanding Common Shares.</w:t>
      </w:r>
    </w:p>
    <w:p>
      <w:pPr>
        <w:spacing w:after="0" w:line="20"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 5(a) of this Amendment No. 15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Information concerning the Common Shares sold by the Reporting Person during the 60-day period prior to this filing</w:t>
      </w:r>
    </w:p>
    <w:p>
      <w:pPr>
        <w:spacing w:after="0" w:line="25" w:lineRule="exact"/>
        <w:rPr>
          <w:rFonts w:ascii="Times New Roman" w:cs="Times New Roman" w:eastAsia="Times New Roman" w:hAnsi="Times New Roman"/>
          <w:sz w:val="22"/>
          <w:szCs w:val="22"/>
          <w:color w:val="auto"/>
        </w:rPr>
      </w:pPr>
    </w:p>
    <w:p>
      <w:pPr>
        <w:ind w:left="920" w:right="10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is set forth in Schedule A hereto and is incorporated herein by reference. Except as described in this Amendment No. 15, none of the Reporting Person nor any director or officer of the Reporting Person has effected any transactions in the Common Shares during the past 60 days.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A to Item 5 of this Amendment No. 15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Colin Yee</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Colin Yee/Chief Financial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06/06/2025</w:t>
      </w:r>
    </w:p>
    <w:p>
      <w:pPr>
        <w:sectPr>
          <w:pgSz w:w="11900" w:h="16838" w:orient="portrait"/>
          <w:cols w:equalWidth="0" w:num="1">
            <w:col w:w="11140"/>
          </w:cols>
          <w:pgMar w:left="360" w:top="111"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table below specifies the date, amount, weighted average price and price range of the Common Shares sold by (or on behalf of) the Reporting Person during the 60-day period prior to this filing, all of which were sold on the open market. The Common Shares were sold in multiple transactions at prices within the ranges indicated in the Price Range column. The Reporting Person undertakes to provide to the staff of the Securities and Exchange Commission, upon request, full information regarding the number of Common Shares sold at each separate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Weighted Average Price</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8"/>
        </w:trPr>
        <w:tc>
          <w:tcPr>
            <w:tcW w:w="28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8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28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per Share (US$)</w:t>
            </w:r>
          </w:p>
        </w:tc>
        <w:tc>
          <w:tcPr>
            <w:tcW w:w="2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10"/>
        </w:trPr>
        <w:tc>
          <w:tcPr>
            <w:tcW w:w="26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05/27/2025</w:t>
            </w: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2,917,178</w:t>
            </w:r>
          </w:p>
        </w:tc>
        <w:tc>
          <w:tcPr>
            <w:tcW w:w="2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1.09</w:t>
            </w:r>
          </w:p>
        </w:tc>
      </w:tr>
      <w:tr>
        <w:trPr>
          <w:trHeight w:val="216"/>
        </w:trPr>
        <w:tc>
          <w:tcPr>
            <w:tcW w:w="2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05/28/2025</w:t>
            </w:r>
          </w:p>
        </w:tc>
        <w:tc>
          <w:tcPr>
            <w:tcW w:w="2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11,500</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26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05/29/2025</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44,410</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0.971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0.970</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0.975</w:t>
            </w:r>
          </w:p>
        </w:tc>
      </w:tr>
      <w:tr>
        <w:trPr>
          <w:trHeight w:val="216"/>
        </w:trPr>
        <w:tc>
          <w:tcPr>
            <w:tcW w:w="2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05/30/2025</w:t>
            </w:r>
          </w:p>
        </w:tc>
        <w:tc>
          <w:tcPr>
            <w:tcW w:w="2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246,433</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0.925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0.925</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0.928</w:t>
            </w:r>
          </w:p>
        </w:tc>
      </w:tr>
      <w:tr>
        <w:trPr>
          <w:trHeight w:val="216"/>
        </w:trPr>
        <w:tc>
          <w:tcPr>
            <w:tcW w:w="2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06/02/2025</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618,622</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0.909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0.903</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0.923</w:t>
            </w:r>
          </w:p>
        </w:tc>
      </w:tr>
      <w:tr>
        <w:trPr>
          <w:trHeight w:val="216"/>
        </w:trPr>
        <w:tc>
          <w:tcPr>
            <w:tcW w:w="2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06/03/2025</w:t>
            </w:r>
          </w:p>
        </w:tc>
        <w:tc>
          <w:tcPr>
            <w:tcW w:w="2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1,042,912</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0.928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0.903</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0.939</w:t>
            </w:r>
          </w:p>
        </w:tc>
      </w:tr>
      <w:tr>
        <w:trPr>
          <w:trHeight w:val="216"/>
        </w:trPr>
        <w:tc>
          <w:tcPr>
            <w:tcW w:w="2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06/04/2025</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2,085,481</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0.932</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0.912</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0.938</w:t>
            </w:r>
          </w:p>
        </w:tc>
      </w:tr>
      <w:tr>
        <w:trPr>
          <w:trHeight w:val="216"/>
        </w:trPr>
        <w:tc>
          <w:tcPr>
            <w:tcW w:w="2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06/05/2025</w:t>
            </w:r>
          </w:p>
        </w:tc>
        <w:tc>
          <w:tcPr>
            <w:tcW w:w="2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440,785</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0.902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0.880</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0.939</w:t>
            </w:r>
          </w:p>
        </w:tc>
      </w:tr>
      <w:tr>
        <w:trPr>
          <w:trHeight w:val="216"/>
        </w:trPr>
        <w:tc>
          <w:tcPr>
            <w:tcW w:w="2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06/06/2025</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1,453,912</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0.877</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0.914</w:t>
            </w:r>
          </w:p>
        </w:tc>
      </w:tr>
      <w:tr>
        <w:trPr>
          <w:trHeight w:val="702"/>
        </w:trPr>
        <w:tc>
          <w:tcPr>
            <w:tcW w:w="2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2025-06-06T17:35:25Z</dcterms:created>
  <dcterms:modified xsi:type="dcterms:W3CDTF">2025-06-06T17:35:25Z</dcterms:modified>
</cp:coreProperties>
</file>