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bdr w:val="single" w:sz="16" w:space="1" w:color="000000"/>
        </w:rPr>
      </w:pPr>
      <w:bookmarkStart w:id="0" w:name="ea156343-6k_bitfarms.htm"/>
      <w:bookmarkStart w:id="1" w:name="ksea1563436k_bitfarms"/>
      <w:bookmarkEnd w:id="0"/>
      <w:bookmarkEnd w:id="1"/>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2022</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001-40370</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BITFARMS LTD.</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King Street East, Suite 902, Toronto, Ontario, Canada M5C 1C4</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BY REFERENCE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pStyle w:val="TextBody"/>
        <w:spacing w:before="0" w:after="0"/>
        <w:ind w:left="0" w:right="0" w:hanging="0"/>
        <w:rPr>
          <w:caps w:val="false"/>
          <w:smallCaps w:val="false"/>
        </w:rPr>
      </w:pPr>
      <w:r>
        <w:rPr>
          <w:caps w:val="false"/>
          <w:smallCaps w:val="false"/>
        </w:rPr>
        <w:t> </w:t>
      </w:r>
    </w:p>
    <w:tbl>
      <w:tblPr>
        <w:tblW w:w="5545" w:type="dxa"/>
        <w:jc w:val="left"/>
        <w:tblInd w:w="0" w:type="dxa"/>
        <w:tblCellMar>
          <w:top w:w="0" w:type="dxa"/>
          <w:left w:w="0" w:type="dxa"/>
          <w:bottom w:w="0" w:type="dxa"/>
          <w:right w:w="0" w:type="dxa"/>
        </w:tblCellMar>
      </w:tblPr>
      <w:tblGrid>
        <w:gridCol w:w="1145"/>
        <w:gridCol w:w="60"/>
        <w:gridCol w:w="4340"/>
      </w:tblGrid>
      <w:tr>
        <w:trPr/>
        <w:tc>
          <w:tcPr>
            <w:tcW w:w="1145"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Exhibits</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both"/>
              <w:rPr/>
            </w:pPr>
            <w:r>
              <w:rPr/>
              <w:t> </w:t>
            </w:r>
          </w:p>
        </w:tc>
      </w:tr>
      <w:tr>
        <w:trPr/>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both"/>
              <w:rPr/>
            </w:pPr>
            <w:r>
              <w:rPr/>
              <w:t> </w:t>
            </w:r>
          </w:p>
        </w:tc>
      </w:tr>
      <w:tr>
        <w:trPr/>
        <w:tc>
          <w:tcPr>
            <w:tcW w:w="1145"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Exhibit No.</w:t>
            </w:r>
          </w:p>
        </w:tc>
        <w:tc>
          <w:tcPr>
            <w:tcW w:w="60" w:type="dxa"/>
            <w:tcBorders/>
            <w:shd w:fill="auto" w:val="clear"/>
            <w:vAlign w:val="center"/>
          </w:tcPr>
          <w:p>
            <w:pPr>
              <w:pStyle w:val="TableContents"/>
              <w:spacing w:before="0" w:after="283"/>
              <w:rPr/>
            </w:pPr>
            <w:r>
              <w:rPr/>
              <w:t> </w:t>
            </w:r>
          </w:p>
        </w:tc>
        <w:tc>
          <w:tcPr>
            <w:tcW w:w="434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rPr>
            </w:pPr>
            <w:r>
              <w:rPr>
                <w:rFonts w:ascii="Times New Roman;Times;Serif" w:hAnsi="Times New Roman;Times;Serif"/>
              </w:rPr>
              <w:t>Description</w:t>
            </w:r>
          </w:p>
        </w:tc>
      </w:tr>
      <w:tr>
        <w:trPr/>
        <w:tc>
          <w:tcPr>
            <w:tcW w:w="1145"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both"/>
              <w:rPr/>
            </w:pPr>
            <w:r>
              <w:rPr/>
              <w:t> </w:t>
            </w:r>
          </w:p>
        </w:tc>
      </w:tr>
      <w:tr>
        <w:trPr/>
        <w:tc>
          <w:tcPr>
            <w:tcW w:w="1145" w:type="dxa"/>
            <w:tcBorders/>
            <w:shd w:fill="CCEEFF"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99.1</w:t>
            </w:r>
          </w:p>
        </w:tc>
        <w:tc>
          <w:tcPr>
            <w:tcW w:w="60" w:type="dxa"/>
            <w:tcBorders/>
            <w:shd w:fill="CCEEFF" w:val="clear"/>
            <w:vAlign w:val="center"/>
          </w:tcPr>
          <w:p>
            <w:pPr>
              <w:pStyle w:val="TableContents"/>
              <w:spacing w:before="0" w:after="283"/>
              <w:rPr/>
            </w:pPr>
            <w:r>
              <w:rPr/>
              <w:t> </w:t>
            </w:r>
          </w:p>
        </w:tc>
        <w:tc>
          <w:tcPr>
            <w:tcW w:w="4340" w:type="dxa"/>
            <w:tcBorders/>
            <w:shd w:fill="CCEEFF" w:val="clear"/>
            <w:vAlign w:val="center"/>
          </w:tcPr>
          <w:p>
            <w:pPr>
              <w:pStyle w:val="TableContents"/>
              <w:spacing w:before="0" w:after="283"/>
              <w:jc w:val="both"/>
              <w:rPr/>
            </w:pPr>
            <w:hyperlink w:anchor="ea156343ex99-1_bitfarms.htm">
              <w:r>
                <w:rPr>
                  <w:rStyle w:val="InternetLink"/>
                  <w:rFonts w:ascii="Times New Roman;Times;Serif" w:hAnsi="Times New Roman;Times;Serif"/>
                </w:rPr>
                <w:t>Material Change Report dated March 1, 2022</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tbl>
      <w:tblPr>
        <w:tblW w:w="3195" w:type="dxa"/>
        <w:jc w:val="left"/>
        <w:tblInd w:w="0" w:type="dxa"/>
        <w:tblCellMar>
          <w:top w:w="0" w:type="dxa"/>
          <w:left w:w="0" w:type="dxa"/>
          <w:bottom w:w="0" w:type="dxa"/>
          <w:right w:w="0" w:type="dxa"/>
        </w:tblCellMar>
      </w:tblPr>
      <w:tblGrid>
        <w:gridCol w:w="75"/>
        <w:gridCol w:w="365"/>
        <w:gridCol w:w="710"/>
        <w:gridCol w:w="2045"/>
      </w:tblGrid>
      <w:tr>
        <w:trPr/>
        <w:tc>
          <w:tcPr>
            <w:tcW w:w="75" w:type="dxa"/>
            <w:tcBorders/>
            <w:shd w:fill="auto" w:val="clear"/>
            <w:vAlign w:val="center"/>
          </w:tcPr>
          <w:p>
            <w:pPr>
              <w:pStyle w:val="TableContents"/>
              <w:spacing w:before="0" w:after="283"/>
              <w:rPr/>
            </w:pPr>
            <w:r>
              <w:rPr/>
              <w:t> </w:t>
            </w:r>
          </w:p>
        </w:tc>
        <w:tc>
          <w:tcPr>
            <w:tcW w:w="3120" w:type="dxa"/>
            <w:gridSpan w:val="3"/>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BITFARMS LTD.</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By:</w:t>
            </w:r>
          </w:p>
        </w:tc>
        <w:tc>
          <w:tcPr>
            <w:tcW w:w="2755" w:type="dxa"/>
            <w:gridSpan w:val="2"/>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rPr>
            </w:pPr>
            <w:r>
              <w:rPr>
                <w:rFonts w:ascii="Times New Roman;Times;Serif" w:hAnsi="Times New Roman;Times;Serif"/>
              </w:rPr>
              <w:t>/s/ L. Geoffrey Morphy</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pPr>
            <w:r>
              <w:rPr>
                <w:rFonts w:ascii="Times New Roman;Times;Serif" w:hAnsi="Times New Roman;Times;Serif"/>
              </w:rPr>
              <w:t>Name:</w:t>
            </w:r>
            <w:r>
              <w:rPr/>
              <w:t> </w:t>
            </w:r>
          </w:p>
        </w:tc>
        <w:tc>
          <w:tcPr>
            <w:tcW w:w="2045" w:type="dxa"/>
            <w:tcBorders/>
            <w:shd w:fill="auto" w:val="clear"/>
            <w:vAlign w:val="center"/>
          </w:tcPr>
          <w:p>
            <w:pPr>
              <w:pStyle w:val="TableContents"/>
              <w:spacing w:before="0" w:after="283"/>
              <w:rPr/>
            </w:pPr>
            <w:r>
              <w:rPr/>
              <w:t> </w:t>
            </w:r>
            <w:r>
              <w:rPr>
                <w:rFonts w:ascii="Times New Roman;Times;Serif" w:hAnsi="Times New Roman;Times;Serif"/>
              </w:rPr>
              <w:t>L. Geoffrey Morphy</w:t>
            </w:r>
          </w:p>
        </w:tc>
      </w:tr>
      <w:tr>
        <w:trPr/>
        <w:tc>
          <w:tcPr>
            <w:tcW w:w="7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Title:</w:t>
            </w:r>
          </w:p>
        </w:tc>
        <w:tc>
          <w:tcPr>
            <w:tcW w:w="2045" w:type="dxa"/>
            <w:tcBorders/>
            <w:shd w:fill="auto" w:val="clear"/>
            <w:vAlign w:val="center"/>
          </w:tcPr>
          <w:p>
            <w:pPr>
              <w:pStyle w:val="TableContents"/>
              <w:spacing w:before="0" w:after="283"/>
              <w:rPr/>
            </w:pPr>
            <w:r>
              <w:rPr/>
              <w:t> </w:t>
            </w:r>
            <w:r>
              <w:rPr>
                <w:rFonts w:ascii="Times New Roman;Times;Serif" w:hAnsi="Times New Roman;Times;Serif"/>
              </w:rPr>
              <w:t>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 2022</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 w:name="ea156343ex99-1_bitfarms.htm"/>
      <w:bookmarkStart w:id="3" w:name="ksea156343ex991_bitfarms"/>
      <w:bookmarkEnd w:id="2"/>
      <w:bookmarkEnd w:id="3"/>
      <w:r>
        <w:rPr>
          <w:rFonts w:ascii="Times New Roman;Times;Serif" w:hAnsi="Times New Roman;Times;Serif"/>
          <w:b/>
          <w:i w:val="false"/>
          <w:caps w:val="false"/>
          <w:smallCaps w:val="false"/>
          <w:sz w:val="20"/>
        </w:rPr>
        <w:t>Exhibit 99.1 </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Name and Address of Company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King Street East, Suite 902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1C4</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Date of Material Change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2022.</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News Release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March 1, 2022 by a newswire company in Canada.</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Summary of Material Change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Full Description of Material Change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Reliance of subsection 7.1(2) of National Instrument 51-102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Omitted Information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Executive Officer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Bonta</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Chairman &amp; Director</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nbonta@bitfarms.com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Date of Report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spacing w:before="0" w:after="0"/>
        <w:jc w:val="center"/>
        <w:rPr>
          <w:caps w:val="false"/>
          <w:smallCaps w:val="false"/>
        </w:rPr>
      </w:pPr>
      <w:r>
        <w:rPr>
          <w:caps w:val="false"/>
          <w:smallCaps w:val="false"/>
        </w:rPr>
        <w:t> </w:t>
      </w:r>
      <w:r>
        <w:rPr>
          <w:caps w:val="false"/>
          <w:smallCaps w:val="false"/>
        </w:rPr>
        <w:drawing>
          <wp:inline distT="0" distB="0" distL="0" distR="0">
            <wp:extent cx="22860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9055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Provides February 2022 Production and Mining Operations Update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prospectus supplement dated August 16, 2021 to its short form base shelf prospectus dated August 12, 2021.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(March 1, 2022)</w:t>
      </w:r>
      <w:r>
        <w:rPr>
          <w:rFonts w:ascii="Times New Roman;Times;Serif" w:hAnsi="Times New Roman;Times;Serif"/>
          <w:b w:val="false"/>
          <w:i w:val="false"/>
          <w:caps w:val="false"/>
          <w:smallCaps w:val="false"/>
          <w:sz w:val="20"/>
        </w:rPr>
        <w:t xml:space="preserve"> - Bitfarms Ltd. (</w:t>
      </w:r>
      <w:r>
        <w:rPr>
          <w:rFonts w:ascii="Times New Roman;Times;Serif" w:hAnsi="Times New Roman;Times;Serif"/>
          <w:b w:val="false"/>
          <w:i w:val="false"/>
          <w:caps w:val="false"/>
          <w:smallCaps w:val="false"/>
          <w:sz w:val="20"/>
          <w:u w:val="single"/>
        </w:rPr>
        <w:t>NASDAQ: BITF // TSXV: BITF</w:t>
      </w:r>
      <w:r>
        <w:rPr>
          <w:rFonts w:ascii="Times New Roman;Times;Serif" w:hAnsi="Times New Roman;Times;Serif"/>
          <w:b w:val="false"/>
          <w:i w:val="false"/>
          <w:caps w:val="false"/>
          <w:smallCaps w:val="false"/>
          <w:sz w:val="20"/>
        </w:rPr>
        <w:t>), a global Bitcoin self-mining company, provided a Bitcoin (BTC) production and mining operations update for February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Nearing the opening of our two new farms in Sherbrooke, Québec, we remain on track to achieving our goal of 3 exahash per second (EH/s) by the end of the first quarter 2022,” said Emiliano Grodzki, CEO of Bitfarms. “Miner deliveries accelerated in the second half of February positioning us to quickly ramp production at these Sherbrooke locations. The Bunker and Leger farms when complete will represent a total of 78 megawatts (MW) of added capacity. Along with our strategic expansion underway in Argentina, these farms will play a vital role in reaching our year-end 2022 target hashrate of 8 EH/s.”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planned, seasonal energy curtailment programs at our farms in Québec affected production in February, but to a lesser extent than in January,” added Grodzki. “With seasonally warmer weather expected in March, the impact of these programs should subside.”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Mining Production</w:t>
      </w:r>
    </w:p>
    <w:p>
      <w:pPr>
        <w:pStyle w:val="TextBody"/>
        <w:spacing w:before="0" w:after="0"/>
        <w:ind w:left="0" w:right="0" w:hanging="0"/>
        <w:rPr>
          <w:caps w:val="false"/>
          <w:smallCaps w:val="false"/>
        </w:rPr>
      </w:pPr>
      <w:r>
        <w:rPr>
          <w:caps w:val="false"/>
          <w:smallCaps w:val="false"/>
        </w:rPr>
        <w:t> </w:t>
      </w:r>
    </w:p>
    <w:tbl>
      <w:tblPr>
        <w:tblW w:w="1788" w:type="dxa"/>
        <w:jc w:val="left"/>
        <w:tblInd w:w="0" w:type="dxa"/>
        <w:tblCellMar>
          <w:top w:w="0" w:type="dxa"/>
          <w:left w:w="0" w:type="dxa"/>
          <w:bottom w:w="0" w:type="dxa"/>
          <w:right w:w="0" w:type="dxa"/>
        </w:tblCellMar>
      </w:tblPr>
      <w:tblGrid>
        <w:gridCol w:w="38"/>
        <w:gridCol w:w="170"/>
        <w:gridCol w:w="15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580"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2.3 EH/s online.</w:t>
            </w:r>
          </w:p>
        </w:tc>
      </w:tr>
    </w:tbl>
    <w:p>
      <w:pPr>
        <w:pStyle w:val="TextBody"/>
        <w:rPr/>
      </w:pPr>
      <w:r>
        <w:rPr/>
        <w:t> </w:t>
      </w:r>
    </w:p>
    <w:tbl>
      <w:tblPr>
        <w:tblW w:w="7263" w:type="dxa"/>
        <w:jc w:val="left"/>
        <w:tblInd w:w="0" w:type="dxa"/>
        <w:tblCellMar>
          <w:top w:w="0" w:type="dxa"/>
          <w:left w:w="0" w:type="dxa"/>
          <w:bottom w:w="0" w:type="dxa"/>
          <w:right w:w="0" w:type="dxa"/>
        </w:tblCellMar>
      </w:tblPr>
      <w:tblGrid>
        <w:gridCol w:w="38"/>
        <w:gridCol w:w="170"/>
        <w:gridCol w:w="70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05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298 new BTC mined during February 2022, up 67% from February 2021.</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10.6 BTC mined daily on average in February, equivalent to about US$455,800 per day and totaling approximately US$12.8 million for the month based on a BTC price of US$43,000 on February 28, 2022.</w:t>
            </w:r>
          </w:p>
        </w:tc>
      </w:tr>
    </w:tbl>
    <w:p>
      <w:pPr>
        <w:pStyle w:val="TextBody"/>
        <w:rPr/>
      </w:pPr>
      <w:r>
        <w:rPr/>
        <w:t> </w:t>
      </w:r>
    </w:p>
    <w:tbl>
      <w:tblPr>
        <w:tblW w:w="5763" w:type="dxa"/>
        <w:jc w:val="left"/>
        <w:tblInd w:w="0" w:type="dxa"/>
        <w:tblCellMar>
          <w:top w:w="0" w:type="dxa"/>
          <w:left w:w="0" w:type="dxa"/>
          <w:bottom w:w="0" w:type="dxa"/>
          <w:right w:w="0" w:type="dxa"/>
        </w:tblCellMar>
      </w:tblPr>
      <w:tblGrid>
        <w:gridCol w:w="38"/>
        <w:gridCol w:w="170"/>
        <w:gridCol w:w="55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55"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283 BTC from mining deposited into custody in February.</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4,883 BTC in custody on February 28, 2022, representing a total value of approximately US$210 million based on a BTC price of US$43,000.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Mining Operations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7,400 new Bitcoin miners capable of 740 PH have been received in February or are in transit. The Chinese New Year, which ran from January 31 through February 15, 2022, slowed miner production and deliveries; thus, most of the February shipments occurred in the latter half of the month.</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Currently finalizing the first 12 MW capacity at The Bunker site in Sherbrooke, which will immediately make operational over 3,000 new miners and add over 300 PH/s to Bitfarms’ online hashrate.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Neared completion of the first 16 MW capacity at the Leger site in Sherbrooke, which is scheduled to be online in a few weeks. When operational, Leger will immediately utilize over 4,000 new miners and add more than 400 PH/s to Bitfarms’ online hashrate.</w:t>
            </w:r>
          </w:p>
        </w:tc>
      </w:tr>
    </w:tbl>
    <w:p>
      <w:pPr>
        <w:pStyle w:val="TextBody"/>
        <w:rPr/>
      </w:pPr>
      <w:r>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2,000 used Bitcoin miners moved or are in transit to the company’s Paraguay farm where they are being efficiently redeployed to add an additional 100 PH/s.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BTC 2022 Monthly Production</w:t>
      </w:r>
    </w:p>
    <w:p>
      <w:pPr>
        <w:pStyle w:val="TextBody"/>
        <w:spacing w:before="0" w:after="0"/>
        <w:ind w:left="0" w:right="0" w:hanging="0"/>
        <w:rPr>
          <w:caps w:val="false"/>
          <w:smallCaps w:val="false"/>
        </w:rPr>
      </w:pPr>
      <w:r>
        <w:rPr>
          <w:caps w:val="false"/>
          <w:smallCaps w:val="false"/>
        </w:rPr>
        <w:t> </w:t>
      </w:r>
    </w:p>
    <w:tbl>
      <w:tblPr>
        <w:tblW w:w="1555" w:type="dxa"/>
        <w:jc w:val="left"/>
        <w:tblInd w:w="0" w:type="dxa"/>
        <w:tblCellMar>
          <w:top w:w="0" w:type="dxa"/>
          <w:left w:w="0" w:type="dxa"/>
          <w:bottom w:w="28" w:type="dxa"/>
          <w:right w:w="0" w:type="dxa"/>
        </w:tblCellMar>
      </w:tblPr>
      <w:tblGrid>
        <w:gridCol w:w="890"/>
        <w:gridCol w:w="60"/>
        <w:gridCol w:w="72"/>
        <w:gridCol w:w="458"/>
        <w:gridCol w:w="75"/>
      </w:tblGrid>
      <w:tr>
        <w:trPr/>
        <w:tc>
          <w:tcPr>
            <w:tcW w:w="890" w:type="dxa"/>
            <w:tcBorders>
              <w:bottom w:val="single" w:sz="12" w:space="0" w:color="000000"/>
            </w:tcBorders>
            <w:shd w:fill="auto" w:val="clear"/>
            <w:vAlign w:val="center"/>
          </w:tcPr>
          <w:p>
            <w:pPr>
              <w:pStyle w:val="TableContents"/>
              <w:spacing w:before="0" w:after="283"/>
              <w:rPr>
                <w:b/>
              </w:rPr>
            </w:pPr>
            <w:r>
              <w:rPr>
                <w:b/>
              </w:rPr>
              <w:t>Month</w:t>
            </w:r>
          </w:p>
        </w:tc>
        <w:tc>
          <w:tcPr>
            <w:tcW w:w="60" w:type="dxa"/>
            <w:tcBorders/>
            <w:shd w:fill="auto" w:val="clear"/>
            <w:tcMar>
              <w:bottom w:w="0" w:type="dxa"/>
            </w:tcMar>
            <w:vAlign w:val="center"/>
          </w:tcPr>
          <w:p>
            <w:pPr>
              <w:pStyle w:val="TableContents"/>
              <w:spacing w:before="0" w:after="283"/>
              <w:rPr/>
            </w:pPr>
            <w:r>
              <w:rPr/>
              <w:t> </w:t>
            </w:r>
          </w:p>
        </w:tc>
        <w:tc>
          <w:tcPr>
            <w:tcW w:w="530" w:type="dxa"/>
            <w:gridSpan w:val="2"/>
            <w:tcBorders>
              <w:bottom w:val="single" w:sz="12" w:space="0" w:color="000000"/>
            </w:tcBorders>
            <w:shd w:fill="auto" w:val="clear"/>
            <w:vAlign w:val="center"/>
          </w:tcPr>
          <w:p>
            <w:pPr>
              <w:pStyle w:val="TableContents"/>
              <w:spacing w:before="0" w:after="283"/>
              <w:jc w:val="center"/>
              <w:rPr>
                <w:b/>
              </w:rPr>
            </w:pPr>
            <w:r>
              <w:rPr>
                <w:b/>
              </w:rPr>
              <w:t>BTC</w:t>
            </w:r>
          </w:p>
        </w:tc>
        <w:tc>
          <w:tcPr>
            <w:tcW w:w="75" w:type="dxa"/>
            <w:tcBorders/>
            <w:shd w:fill="auto" w:val="clear"/>
            <w:tcMar>
              <w:bottom w:w="0" w:type="dxa"/>
            </w:tcMar>
            <w:vAlign w:val="center"/>
          </w:tcPr>
          <w:p>
            <w:pPr>
              <w:pStyle w:val="TableContents"/>
              <w:spacing w:before="0" w:after="283"/>
              <w:rPr/>
            </w:pPr>
            <w:r>
              <w:rPr/>
              <w:t> </w:t>
            </w:r>
          </w:p>
        </w:tc>
      </w:tr>
      <w:tr>
        <w:trPr/>
        <w:tc>
          <w:tcPr>
            <w:tcW w:w="890" w:type="dxa"/>
            <w:tcBorders/>
            <w:shd w:fill="CCEEFF" w:val="clear"/>
            <w:tcMar>
              <w:bottom w:w="0" w:type="dxa"/>
            </w:tcMar>
            <w:vAlign w:val="center"/>
          </w:tcPr>
          <w:p>
            <w:pPr>
              <w:pStyle w:val="TableContents"/>
              <w:spacing w:before="0" w:after="283"/>
              <w:rPr/>
            </w:pPr>
            <w:r>
              <w:rPr/>
              <w:t>January</w:t>
            </w:r>
          </w:p>
        </w:tc>
        <w:tc>
          <w:tcPr>
            <w:tcW w:w="60" w:type="dxa"/>
            <w:tcBorders/>
            <w:shd w:fill="CCEEFF" w:val="clear"/>
            <w:tcMar>
              <w:bottom w:w="0" w:type="dxa"/>
            </w:tcMar>
            <w:vAlign w:val="center"/>
          </w:tcPr>
          <w:p>
            <w:pPr>
              <w:pStyle w:val="TableContents"/>
              <w:spacing w:before="0" w:after="283"/>
              <w:rPr/>
            </w:pPr>
            <w:r>
              <w:rPr/>
              <w:t> </w:t>
            </w:r>
          </w:p>
        </w:tc>
        <w:tc>
          <w:tcPr>
            <w:tcW w:w="72" w:type="dxa"/>
            <w:tcBorders/>
            <w:shd w:fill="CCEEFF" w:val="clear"/>
            <w:tcMar>
              <w:bottom w:w="0" w:type="dxa"/>
            </w:tcMar>
            <w:vAlign w:val="center"/>
          </w:tcPr>
          <w:p>
            <w:pPr>
              <w:pStyle w:val="TableContents"/>
              <w:spacing w:before="0" w:after="283"/>
              <w:jc w:val="left"/>
              <w:rPr/>
            </w:pPr>
            <w:r>
              <w:rPr/>
              <w:t> </w:t>
            </w:r>
          </w:p>
        </w:tc>
        <w:tc>
          <w:tcPr>
            <w:tcW w:w="458" w:type="dxa"/>
            <w:tcBorders/>
            <w:shd w:fill="CCEEFF" w:val="clear"/>
            <w:tcMar>
              <w:bottom w:w="0" w:type="dxa"/>
            </w:tcMar>
            <w:vAlign w:val="center"/>
          </w:tcPr>
          <w:p>
            <w:pPr>
              <w:pStyle w:val="TableContents"/>
              <w:spacing w:before="0" w:after="283"/>
              <w:jc w:val="right"/>
              <w:rPr/>
            </w:pPr>
            <w:r>
              <w:rPr/>
              <w:t>301</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890" w:type="dxa"/>
            <w:tcBorders/>
            <w:shd w:fill="auto" w:val="clear"/>
            <w:tcMar>
              <w:bottom w:w="0" w:type="dxa"/>
            </w:tcMar>
            <w:vAlign w:val="center"/>
          </w:tcPr>
          <w:p>
            <w:pPr>
              <w:pStyle w:val="TableContents"/>
              <w:spacing w:before="0" w:after="283"/>
              <w:rPr/>
            </w:pPr>
            <w:r>
              <w:rPr/>
              <w:t>February</w:t>
            </w:r>
          </w:p>
        </w:tc>
        <w:tc>
          <w:tcPr>
            <w:tcW w:w="60" w:type="dxa"/>
            <w:tcBorders/>
            <w:shd w:fill="auto" w:val="clear"/>
            <w:tcMar>
              <w:bottom w:w="0" w:type="dxa"/>
            </w:tcMar>
            <w:vAlign w:val="center"/>
          </w:tcPr>
          <w:p>
            <w:pPr>
              <w:pStyle w:val="TableContents"/>
              <w:spacing w:before="0" w:after="283"/>
              <w:rPr/>
            </w:pPr>
            <w:r>
              <w:rPr/>
              <w:t> </w:t>
            </w:r>
          </w:p>
        </w:tc>
        <w:tc>
          <w:tcPr>
            <w:tcW w:w="72" w:type="dxa"/>
            <w:tcBorders/>
            <w:shd w:fill="auto" w:val="clear"/>
            <w:tcMar>
              <w:bottom w:w="0" w:type="dxa"/>
            </w:tcMar>
            <w:vAlign w:val="center"/>
          </w:tcPr>
          <w:p>
            <w:pPr>
              <w:pStyle w:val="TableContents"/>
              <w:spacing w:before="0" w:after="283"/>
              <w:jc w:val="left"/>
              <w:rPr/>
            </w:pPr>
            <w:r>
              <w:rPr/>
              <w:t> </w:t>
            </w:r>
          </w:p>
        </w:tc>
        <w:tc>
          <w:tcPr>
            <w:tcW w:w="458" w:type="dxa"/>
            <w:tcBorders/>
            <w:shd w:fill="auto" w:val="clear"/>
            <w:tcMar>
              <w:bottom w:w="0" w:type="dxa"/>
            </w:tcMar>
            <w:vAlign w:val="center"/>
          </w:tcPr>
          <w:p>
            <w:pPr>
              <w:pStyle w:val="TableContents"/>
              <w:spacing w:before="0" w:after="283"/>
              <w:jc w:val="right"/>
              <w:rPr/>
            </w:pPr>
            <w:r>
              <w:rPr/>
              <w:t>298</w:t>
            </w:r>
          </w:p>
        </w:tc>
        <w:tc>
          <w:tcPr>
            <w:tcW w:w="75" w:type="dxa"/>
            <w:tcBorders/>
            <w:shd w:fill="auto"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Bitfarms has a diversified production platform with five industrial scale facilities located in Québec, one in Washington state, and one in Paraguay. Each facility is over 99% powered with environmentally friendly hydro power and secured with long- term power contracts. Bitfarms is currently the only publicly traded pure-play mining company audited by a Big Four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 www.bitfarms.com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https://twitter.com/Bitfarms_io</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https://www.instagram.com/bitfarms/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https://www.linkedin.com/company/bitfarms/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the commencement of mining at The Bunker and Leger farms, the ongoing acquisition and redeployment of Bitcoin miners, the benefits of acquiring and holding Bitcoin, the Company’s future rate of Bitcoin production including the impact of energy curtailment programs in the Province of Québec,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Bitcoin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12" w:space="1" w:color="000000"/>
        </w:rPr>
      </w:pPr>
      <w:r>
        <w:rPr>
          <w:bdr w:val="single" w:sz="12"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factors include, among others, risks relating to: the inability to predict winter weather conditions in the Province of Québec and the imposition of energy curtailment programs by Hydro Québec;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LHA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Investors@bitfarms.com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Media: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YAP Global</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 Grodsky, Account Executive mia@yapglobal.com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 Media: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Affaires publiques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Valérie Pomerleau, Public Affairs and Communications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valerie@ryanap.com</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ind w:left="0" w:right="0" w:hanging="0"/>
        <w:rPr>
          <w:bdr w:val="single" w:sz="12" w:space="1" w:color="000000"/>
        </w:rPr>
      </w:pPr>
      <w:r>
        <w:rPr>
          <w:bdr w:val="single" w:sz="12"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2141</Words>
  <CharactersWithSpaces>14342</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