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00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00040"/>
                    </a:xfrm>
                    <a:prstGeom prst="rect">
                      <a:avLst/>
                    </a:prstGeom>
                    <a:noFill/>
                  </pic:spPr>
                </pic:pic>
              </a:graphicData>
            </a:graphic>
          </wp:anchor>
        </w:drawing>
      </w:r>
    </w:p>
    <w:p>
      <w:pPr>
        <w:sectPr>
          <w:pgSz w:w="11900" w:h="16838" w:orient="portrait"/>
          <w:cols w:equalWidth="0" w:num="1">
            <w:col w:w="10940"/>
          </w:cols>
          <w:pgMar w:left="480" w:top="230" w:right="479" w:bottom="95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Hofmeister Edith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Keel Infrastructure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KEEL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955"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2697" w:hanging="5"/>
        <w:spacing w:after="0" w:line="402" w:lineRule="auto"/>
        <w:tabs>
          <w:tab w:leader="none" w:pos="481" w:val="left"/>
        </w:tabs>
        <w:numPr>
          <w:ilvl w:val="0"/>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BROADWAY SUITE 1075</w:t>
      </w:r>
    </w:p>
    <w:p>
      <w:pPr>
        <w:spacing w:after="0" w:line="16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10004 YORK</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955"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60" w:type="dxa"/>
            <w:vAlign w:val="bottom"/>
          </w:tcPr>
          <w:p>
            <w:pPr>
              <w:ind w:left="640"/>
              <w:spacing w:after="0"/>
              <w:rPr>
                <w:sz w:val="20"/>
                <w:szCs w:val="20"/>
                <w:color w:val="auto"/>
              </w:rPr>
            </w:pPr>
            <w:r>
              <w:rPr>
                <w:rFonts w:ascii="Times New Roman" w:cs="Times New Roman" w:eastAsia="Times New Roman" w:hAnsi="Times New Roman"/>
                <w:sz w:val="20"/>
                <w:szCs w:val="20"/>
                <w:color w:val="0000FF"/>
              </w:rPr>
              <w:t>240,001</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11/16/2027</w:t>
            </w:r>
          </w:p>
        </w:tc>
        <w:tc>
          <w:tcPr>
            <w:tcW w:w="17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20"/>
                <w:szCs w:val="20"/>
                <w:color w:val="0000FF"/>
                <w:w w:val="95"/>
              </w:rPr>
              <w:t>120,000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0.72</w:t>
            </w:r>
            <w:r>
              <w:rPr>
                <w:rFonts w:ascii="Times New Roman" w:cs="Times New Roman" w:eastAsia="Times New Roman" w:hAnsi="Times New Roman"/>
                <w:sz w:val="25"/>
                <w:szCs w:val="25"/>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12/22/2028</w:t>
            </w:r>
          </w:p>
        </w:tc>
        <w:tc>
          <w:tcPr>
            <w:tcW w:w="17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20"/>
                <w:szCs w:val="20"/>
                <w:color w:val="0000FF"/>
                <w:w w:val="95"/>
              </w:rPr>
              <w:t>100,000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2.75</w:t>
            </w:r>
            <w:r>
              <w:rPr>
                <w:rFonts w:ascii="Times New Roman" w:cs="Times New Roman" w:eastAsia="Times New Roman" w:hAnsi="Times New Roman"/>
                <w:sz w:val="25"/>
                <w:szCs w:val="25"/>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12/18/2029</w:t>
            </w:r>
          </w:p>
        </w:tc>
        <w:tc>
          <w:tcPr>
            <w:tcW w:w="17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20"/>
                <w:szCs w:val="20"/>
                <w:color w:val="0000FF"/>
                <w:w w:val="98"/>
              </w:rPr>
              <w:t>60,000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1.87</w:t>
            </w:r>
            <w:r>
              <w:rPr>
                <w:rFonts w:ascii="Times New Roman" w:cs="Times New Roman" w:eastAsia="Times New Roman" w:hAnsi="Times New Roman"/>
                <w:sz w:val="25"/>
                <w:szCs w:val="25"/>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November 16, 2022, the reporting person was granted 120,000 stock options which have fully vested.</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price was converted into its U.S. Dollar equivalent using the Bank of Canada daily exchange rate on March 30, 2026 (at CAD 1.00 = USD 0.718).</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December 22, 2023, the reporting person was granted 100,000 stock options which have fully vested.</w:t>
      </w:r>
    </w:p>
    <w:p>
      <w:pPr>
        <w:spacing w:after="0" w:line="52" w:lineRule="exact"/>
        <w:rPr>
          <w:rFonts w:ascii="Times New Roman" w:cs="Times New Roman" w:eastAsia="Times New Roman" w:hAnsi="Times New Roman"/>
          <w:sz w:val="15"/>
          <w:szCs w:val="15"/>
          <w:color w:val="008000"/>
        </w:rPr>
      </w:pPr>
    </w:p>
    <w:p>
      <w:pPr>
        <w:ind w:left="40" w:right="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December 18, 2024, the reporting person was granted 60,000 stock options which vest in 4 equal installments on December 18, 2024, June 18, 2025, December 18, 2025, and June 18, 2026.</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24.1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Rachel Silverstein, as</w:t>
            </w:r>
          </w:p>
        </w:tc>
        <w:tc>
          <w:tcPr>
            <w:tcW w:w="2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955"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each of Rachel Silverstein and Rob Lovett, with full power of substitution and re-substitution, acting individually, as the undersigned’s true and lawful attorney-in-fact, with full power and authority as hereinafter described on behalf of and in the name, place and stead of the undersigned to:</w:t>
      </w:r>
    </w:p>
    <w:p>
      <w:pPr>
        <w:spacing w:after="0" w:line="194" w:lineRule="exact"/>
        <w:rPr>
          <w:sz w:val="20"/>
          <w:szCs w:val="20"/>
          <w:color w:val="auto"/>
        </w:rPr>
      </w:pPr>
    </w:p>
    <w:p>
      <w:pPr>
        <w:jc w:val="both"/>
        <w:ind w:left="1440" w:hanging="720"/>
        <w:spacing w:after="0" w:line="238"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obtain credentials (including codes or passwords) to enable the undersigned to submit and file documents, forms and information required by Section 16(a) of the Securities Exchange Act of 1934, as amended (the “</w:t>
      </w:r>
      <w:r>
        <w:rPr>
          <w:rFonts w:ascii="Times New Roman" w:cs="Times New Roman" w:eastAsia="Times New Roman" w:hAnsi="Times New Roman"/>
          <w:sz w:val="24"/>
          <w:szCs w:val="24"/>
          <w:u w:val="single" w:color="auto"/>
          <w:color w:val="auto"/>
        </w:rPr>
        <w:t>Exchange Act</w:t>
      </w:r>
      <w:r>
        <w:rPr>
          <w:rFonts w:ascii="Times New Roman" w:cs="Times New Roman" w:eastAsia="Times New Roman" w:hAnsi="Times New Roman"/>
          <w:sz w:val="24"/>
          <w:szCs w:val="24"/>
          <w:color w:val="auto"/>
        </w:rPr>
        <w:t>”), or any rule or regulation of the U.S. Securities and Exchange Commission (“</w:t>
      </w:r>
      <w:r>
        <w:rPr>
          <w:rFonts w:ascii="Times New Roman" w:cs="Times New Roman" w:eastAsia="Times New Roman" w:hAnsi="Times New Roman"/>
          <w:sz w:val="24"/>
          <w:szCs w:val="24"/>
          <w:u w:val="single" w:color="auto"/>
          <w:color w:val="auto"/>
        </w:rPr>
        <w:t>SEC</w:t>
      </w:r>
      <w:r>
        <w:rPr>
          <w:rFonts w:ascii="Times New Roman" w:cs="Times New Roman" w:eastAsia="Times New Roman" w:hAnsi="Times New Roman"/>
          <w:sz w:val="24"/>
          <w:szCs w:val="24"/>
          <w:color w:val="auto"/>
        </w:rPr>
        <w:t>”) via the Electronic Data Gathering and Retrieval (“</w:t>
      </w:r>
      <w:r>
        <w:rPr>
          <w:rFonts w:ascii="Times New Roman" w:cs="Times New Roman" w:eastAsia="Times New Roman" w:hAnsi="Times New Roman"/>
          <w:sz w:val="24"/>
          <w:szCs w:val="24"/>
          <w:u w:val="single" w:color="auto"/>
          <w:color w:val="auto"/>
        </w:rPr>
        <w:t>EDGAR</w:t>
      </w:r>
      <w:r>
        <w:rPr>
          <w:rFonts w:ascii="Times New Roman" w:cs="Times New Roman" w:eastAsia="Times New Roman" w:hAnsi="Times New Roman"/>
          <w:sz w:val="24"/>
          <w:szCs w:val="24"/>
          <w:color w:val="auto"/>
        </w:rPr>
        <w:t>”)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 or any successor filing system;</w:t>
      </w:r>
    </w:p>
    <w:p>
      <w:pPr>
        <w:spacing w:after="0" w:line="208" w:lineRule="exact"/>
        <w:rPr>
          <w:rFonts w:ascii="Times New Roman" w:cs="Times New Roman" w:eastAsia="Times New Roman" w:hAnsi="Times New Roman"/>
          <w:sz w:val="24"/>
          <w:szCs w:val="24"/>
          <w:color w:val="auto"/>
        </w:rPr>
      </w:pPr>
    </w:p>
    <w:p>
      <w:pPr>
        <w:jc w:val="both"/>
        <w:ind w:left="1440" w:hanging="720"/>
        <w:spacing w:after="0" w:line="241"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p>
    <w:p>
      <w:pPr>
        <w:spacing w:after="0" w:line="198" w:lineRule="exact"/>
        <w:rPr>
          <w:rFonts w:ascii="Times New Roman" w:cs="Times New Roman" w:eastAsia="Times New Roman" w:hAnsi="Times New Roman"/>
          <w:sz w:val="24"/>
          <w:szCs w:val="24"/>
          <w:color w:val="auto"/>
        </w:rPr>
      </w:pPr>
    </w:p>
    <w:p>
      <w:pPr>
        <w:jc w:val="both"/>
        <w:ind w:left="1440" w:hanging="720"/>
        <w:spacing w:after="0" w:line="242"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Keel Infrastructure Corp.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Form 3, 4 or 5 relating to the Company in accordance with Section 16(a) of the Exchange Act and the rules and regulations promulgated thereunder and Form 144 in accordance with Rule 144 under the Securities Act of 1933, as amended (the “</w:t>
      </w:r>
      <w:r>
        <w:rPr>
          <w:rFonts w:ascii="Times New Roman" w:cs="Times New Roman" w:eastAsia="Times New Roman" w:hAnsi="Times New Roman"/>
          <w:sz w:val="24"/>
          <w:szCs w:val="24"/>
          <w:u w:val="single" w:color="auto"/>
          <w:color w:val="auto"/>
        </w:rPr>
        <w:t>Securities Act</w:t>
      </w:r>
      <w:r>
        <w:rPr>
          <w:rFonts w:ascii="Times New Roman" w:cs="Times New Roman" w:eastAsia="Times New Roman" w:hAnsi="Times New Roman"/>
          <w:sz w:val="24"/>
          <w:szCs w:val="24"/>
          <w:color w:val="auto"/>
        </w:rPr>
        <w:t>”);</w:t>
      </w:r>
    </w:p>
    <w:p>
      <w:pPr>
        <w:spacing w:after="0" w:line="199" w:lineRule="exact"/>
        <w:rPr>
          <w:rFonts w:ascii="Times New Roman" w:cs="Times New Roman" w:eastAsia="Times New Roman" w:hAnsi="Times New Roman"/>
          <w:sz w:val="24"/>
          <w:szCs w:val="24"/>
          <w:color w:val="auto"/>
        </w:rPr>
      </w:pPr>
    </w:p>
    <w:p>
      <w:pPr>
        <w:jc w:val="both"/>
        <w:ind w:left="1440" w:hanging="720"/>
        <w:spacing w:after="0" w:line="242"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complete and execute any such Form 3, 4 or 5 or Form 144 and any amendments thereto or other required reports and timely file such forms or reports with the SEC and any stock exchange or similar authority as considered necessary or advisable under Section 16(a) of the Exchange Act or Rule 144 under the Securities Act; and</w:t>
      </w:r>
    </w:p>
    <w:p>
      <w:pPr>
        <w:spacing w:after="0" w:line="199" w:lineRule="exact"/>
        <w:rPr>
          <w:rFonts w:ascii="Times New Roman" w:cs="Times New Roman" w:eastAsia="Times New Roman" w:hAnsi="Times New Roman"/>
          <w:sz w:val="24"/>
          <w:szCs w:val="24"/>
          <w:color w:val="auto"/>
        </w:rPr>
      </w:pPr>
    </w:p>
    <w:p>
      <w:pPr>
        <w:jc w:val="both"/>
        <w:ind w:left="1440" w:hanging="720"/>
        <w:spacing w:after="0" w:line="241"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421005</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584" w:right="479" w:bottom="1440" w:gutter="0" w:footer="0" w:header="0"/>
        </w:sectPr>
      </w:pPr>
    </w:p>
    <w:bookmarkStart w:id="2" w:name="page3"/>
    <w:bookmarkEnd w:id="2"/>
    <w:p>
      <w:pPr>
        <w:jc w:val="both"/>
        <w:ind w:firstLine="720"/>
        <w:spacing w:after="0" w:line="238" w:lineRule="auto"/>
        <w:rPr>
          <w:sz w:val="20"/>
          <w:szCs w:val="20"/>
          <w:color w:val="auto"/>
        </w:rPr>
      </w:pPr>
      <w:r>
        <w:rPr>
          <w:rFonts w:ascii="Times New Roman" w:cs="Times New Roman" w:eastAsia="Times New Roman" w:hAnsi="Times New Roman"/>
          <w:sz w:val="24"/>
          <w:szCs w:val="24"/>
          <w:color w:val="auto"/>
        </w:rPr>
        <w:t>The undersigned hereby acknowledges that: (i) the foregoing attorneys-in-fact are serving in such capacity at the request of the undersigned; (ii) this Power of Attorney authorizes, but does not require, each such attorney-in-fact to act in his or her discretion on information provided to such attorney-in-fact without independent verification of such information; (iii) any documents prepared and/or executed by any attorney-in-fact on behalf of the undersigned pursuant to this Power of Attorney shall be in such form and shall contain such information and disclosure as such attorney-in-fact, in his or her sole discretion, deems necessary or advisable;</w:t>
      </w:r>
    </w:p>
    <w:p>
      <w:pPr>
        <w:spacing w:after="0" w:line="5" w:lineRule="exact"/>
        <w:rPr>
          <w:sz w:val="20"/>
          <w:szCs w:val="20"/>
          <w:color w:val="auto"/>
        </w:rPr>
      </w:pPr>
    </w:p>
    <w:p>
      <w:pPr>
        <w:jc w:val="both"/>
        <w:spacing w:after="0" w:line="237" w:lineRule="auto"/>
        <w:tabs>
          <w:tab w:leader="none" w:pos="412"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any attorney-in-fact assumes (a) any liability for the undersigned’s responsibility to comply with the requirements of the Exchange Act or the Securities Act, (b) any liability of the undersigned for any failure to comply with such requirements or (c) any obligation or liability of the undersigned for profit disgorgement under Section 16(b) of the Exchange Act; and (v) this Power of Attorney does not relieve the undersigned from responsibility for compliance with the undersigned’s obligations under the Exchange Act or the Securities Act, including, without limitation, the reporting requirements under Section 16(a) of the Exchange Act.</w:t>
      </w:r>
    </w:p>
    <w:p>
      <w:pPr>
        <w:spacing w:after="0" w:line="20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as to any attorney-in-fact by the undersigned in a signed writing delivered to such attorney-in-fact.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Signature Page Follows</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598805</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350" w:right="479" w:bottom="1440" w:gutter="0" w:footer="0" w:header="0"/>
        </w:sectPr>
      </w:pPr>
    </w:p>
    <w:bookmarkStart w:id="3" w:name="page4"/>
    <w:bookmarkEnd w:id="3"/>
    <w:p>
      <w:pPr>
        <w:ind w:firstLine="7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31 day of March, 2026.</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080"/>
        <w:spacing w:after="0"/>
        <w:tabs>
          <w:tab w:leader="none" w:pos="5840" w:val="left"/>
        </w:tabs>
        <w:rPr>
          <w:sz w:val="20"/>
          <w:szCs w:val="20"/>
          <w:color w:val="auto"/>
        </w:rPr>
      </w:pPr>
      <w:r>
        <w:rPr>
          <w:rFonts w:ascii="Times New Roman" w:cs="Times New Roman" w:eastAsia="Times New Roman" w:hAnsi="Times New Roman"/>
          <w:sz w:val="24"/>
          <w:szCs w:val="24"/>
          <w:color w:val="auto"/>
        </w:rPr>
        <w:t>By:</w:t>
      </w:r>
      <w:r>
        <w:rPr>
          <w:sz w:val="20"/>
          <w:szCs w:val="20"/>
          <w:color w:val="auto"/>
        </w:rPr>
        <w:tab/>
      </w:r>
      <w:r>
        <w:rPr>
          <w:rFonts w:ascii="Times New Roman" w:cs="Times New Roman" w:eastAsia="Times New Roman" w:hAnsi="Times New Roman"/>
          <w:sz w:val="24"/>
          <w:szCs w:val="24"/>
          <w:color w:val="auto"/>
        </w:rPr>
        <w:t>/s/ Edith M. Hofmeister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15240</wp:posOffset>
            </wp:positionV>
            <wp:extent cx="215392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153920" cy="1905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4"/>
          <w:szCs w:val="24"/>
          <w:color w:val="auto"/>
        </w:rPr>
        <w:t>Name: Edith M. Hofmeister</w:t>
      </w:r>
    </w:p>
    <w:sectPr>
      <w:pgSz w:w="11900" w:h="16838" w:orient="portrait"/>
      <w:cols w:equalWidth="0" w:num="1">
        <w:col w:w="10920"/>
      </w:cols>
      <w:pgMar w:left="480" w:top="11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20"/>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15109" TargetMode="External"/><Relationship Id="rId11" Type="http://schemas.openxmlformats.org/officeDocument/2006/relationships/hyperlink" Target="http://www.sec.gov/cgi-bin/browse-edgar?action=getcompany&amp;CIK=00018124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2026-04-01T20:12:50Z</dcterms:created>
  <dcterms:modified xsi:type="dcterms:W3CDTF">2026-04-01T20:12:50Z</dcterms:modified>
</cp:coreProperties>
</file>