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ind w:left="330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31, 2024, the Registrant filed with the Canadian Securities Regulatory Authorities on the System for Electronic Data Analysis and Retrieval + (SEDAR +) a Report on Voting Results, a copy of which is attached hereto as Exhibit 99.1, and which is incorporated by reference to the Company’s Registration Statement on </w:t>
      </w:r>
      <w:hyperlink r:id="rId20">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70"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Report on Voting Results dated 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900" w:right="69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 May 31,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on Voting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11.3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National Instrument 51-102 – </w:t>
      </w:r>
      <w:r>
        <w:rPr>
          <w:rFonts w:ascii="Times New Roman" w:cs="Times New Roman" w:eastAsia="Times New Roman" w:hAnsi="Times New Roman"/>
          <w:sz w:val="18"/>
          <w:szCs w:val="18"/>
          <w:i w:val="1"/>
          <w:iCs w:val="1"/>
          <w:color w:val="auto"/>
        </w:rPr>
        <w:t>Continuous Disclosure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The annual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shareholders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was held on May 31, 2024. Shareholders holding an aggregate of 149,457,098 common shares of the Company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being 39.8% of the issued and outstanding Common Shares as of the record date of April 16, 2024, were present or represented by proxy at the Meeting.</w:t>
      </w:r>
    </w:p>
    <w:p>
      <w:pPr>
        <w:spacing w:after="0" w:line="171" w:lineRule="exact"/>
        <w:rPr>
          <w:sz w:val="20"/>
          <w:szCs w:val="20"/>
          <w:color w:val="auto"/>
        </w:rPr>
      </w:pPr>
    </w:p>
    <w:p>
      <w:pPr>
        <w:ind w:left="780" w:hanging="327"/>
        <w:spacing w:after="0"/>
        <w:tabs>
          <w:tab w:leader="none" w:pos="7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the proxies received and the votes at the Meeting, four of five nominees set forth in the Company’s management information circular dated April 16, 2024 were elected as directors of the Company at the Meeting. Detailed results of the votes are set out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Votes Against</w:t>
            </w:r>
          </w:p>
        </w:tc>
      </w:tr>
      <w:tr>
        <w:trPr>
          <w:trHeight w:val="216"/>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Nicolas Bonta</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82,364,315</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7,117,680</w:t>
            </w:r>
          </w:p>
        </w:tc>
      </w:tr>
      <w:tr>
        <w:trPr>
          <w:trHeight w:val="21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Andres Finkielsztain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81,170,259</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8,311,737</w:t>
            </w:r>
          </w:p>
        </w:tc>
      </w:tr>
      <w:tr>
        <w:trPr>
          <w:trHeight w:val="21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Emiliano Joel Grodzki</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33,957,229</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55,524,769</w:t>
            </w:r>
          </w:p>
        </w:tc>
      </w:tr>
      <w:tr>
        <w:trPr>
          <w:trHeight w:val="21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Edith M. Hofmeister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63,902,867</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25,579,129</w:t>
            </w:r>
          </w:p>
        </w:tc>
      </w:tr>
      <w:tr>
        <w:trPr>
          <w:trHeight w:val="21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Howlett</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81,169,394</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8,312,604</w:t>
            </w:r>
          </w:p>
        </w:tc>
      </w:tr>
    </w:tbl>
    <w:p>
      <w:pPr>
        <w:spacing w:after="0" w:line="19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representing a total of 60,014,630 shares were not voted in respect of the election of directors.</w:t>
      </w:r>
    </w:p>
    <w:p>
      <w:pPr>
        <w:spacing w:after="0" w:line="22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Auditors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Based on the proxies received and the votes at the Meeting, the shareholders of the Company (i) re-appointed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as auditors of the Company, and (iii) authorized the directors of the Company to fix the remuneration of PWC. The outcome of the vote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5500" w:type="dxa"/>
            <w:vAlign w:val="bottom"/>
          </w:tcPr>
          <w:p>
            <w:pPr>
              <w:jc w:val="right"/>
              <w:ind w:right="2070"/>
              <w:spacing w:after="0"/>
              <w:rPr>
                <w:sz w:val="20"/>
                <w:szCs w:val="20"/>
                <w:color w:val="auto"/>
              </w:rPr>
            </w:pPr>
            <w:r>
              <w:rPr>
                <w:rFonts w:ascii="Times New Roman" w:cs="Times New Roman" w:eastAsia="Times New Roman" w:hAnsi="Times New Roman"/>
                <w:sz w:val="18"/>
                <w:szCs w:val="18"/>
                <w:b w:val="1"/>
                <w:bCs w:val="1"/>
                <w:color w:val="auto"/>
              </w:rPr>
              <w:t>Votes Withheld</w:t>
            </w:r>
          </w:p>
        </w:tc>
      </w:tr>
      <w:tr>
        <w:trPr>
          <w:trHeight w:val="216"/>
        </w:trPr>
        <w:tc>
          <w:tcPr>
            <w:tcW w:w="5640" w:type="dxa"/>
            <w:vAlign w:val="bottom"/>
            <w:tcBorders>
              <w:top w:val="single" w:sz="8" w:color="auto"/>
            </w:tcBorders>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145,721,819</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70"/>
              <w:spacing w:after="0"/>
              <w:rPr>
                <w:sz w:val="20"/>
                <w:szCs w:val="20"/>
                <w:color w:val="auto"/>
              </w:rPr>
            </w:pPr>
            <w:r>
              <w:rPr>
                <w:rFonts w:ascii="Times New Roman" w:cs="Times New Roman" w:eastAsia="Times New Roman" w:hAnsi="Times New Roman"/>
                <w:sz w:val="18"/>
                <w:szCs w:val="18"/>
                <w:color w:val="auto"/>
              </w:rPr>
              <w:t>3,774,608</w:t>
            </w:r>
          </w:p>
        </w:tc>
      </w:tr>
    </w:tbl>
    <w:p>
      <w:pPr>
        <w:spacing w:after="0" w:line="194" w:lineRule="exact"/>
        <w:rPr>
          <w:sz w:val="20"/>
          <w:szCs w:val="20"/>
          <w:color w:val="auto"/>
        </w:rPr>
      </w:pPr>
    </w:p>
    <w:p>
      <w:pPr>
        <w:ind w:left="780" w:hanging="327"/>
        <w:spacing w:after="0"/>
        <w:tabs>
          <w:tab w:leader="none" w:pos="7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Long-Term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proxies received and the votes by ballot at the Meeting, the shareholders of the Company approved the ordinary resolution to renew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long term equity incentive plan and the unallocated entitlements thereunder. The outcome of the vote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5500" w:type="dxa"/>
            <w:vAlign w:val="bottom"/>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Votes Against</w:t>
            </w:r>
          </w:p>
        </w:tc>
      </w:tr>
      <w:tr>
        <w:trPr>
          <w:trHeight w:val="216"/>
        </w:trPr>
        <w:tc>
          <w:tcPr>
            <w:tcW w:w="5640" w:type="dxa"/>
            <w:vAlign w:val="bottom"/>
            <w:tcBorders>
              <w:top w:val="single" w:sz="8" w:color="auto"/>
            </w:tcBorders>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53,277,873</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30"/>
              <w:spacing w:after="0"/>
              <w:rPr>
                <w:sz w:val="20"/>
                <w:szCs w:val="20"/>
                <w:color w:val="auto"/>
              </w:rPr>
            </w:pPr>
            <w:r>
              <w:rPr>
                <w:rFonts w:ascii="Times New Roman" w:cs="Times New Roman" w:eastAsia="Times New Roman" w:hAnsi="Times New Roman"/>
                <w:sz w:val="18"/>
                <w:szCs w:val="18"/>
                <w:color w:val="auto"/>
              </w:rPr>
              <w:t>36,204,123</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lvl w:ilvl="1">
      <w:lvlJc w:val="left"/>
      <w:lvlText w:val="%2."/>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0" Type="http://schemas.openxmlformats.org/officeDocument/2006/relationships/hyperlink" Target="https://www.sec.gov/Archives/edgar/data/1812477/000121390023052498/ea180981-f10_bitfarmsltd.htm" TargetMode="External"/><Relationship Id="rId21"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2024-06-03T15:05:12Z</dcterms:created>
  <dcterms:modified xsi:type="dcterms:W3CDTF">2024-06-03T15:05:12Z</dcterms:modified>
</cp:coreProperties>
</file>