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5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523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Silverstein Rachel Rose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80" w:type="dxa"/>
            <w:vAlign w:val="bottom"/>
            <w:tcBorders>
              <w:top w:val="single" w:sz="8" w:color="0000EE"/>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Keel Infrastructure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KEEL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2697" w:hanging="5"/>
        <w:spacing w:after="0" w:line="402" w:lineRule="auto"/>
        <w:tabs>
          <w:tab w:leader="none" w:pos="481"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BROADWAY SUITE 1075</w:t>
      </w:r>
    </w:p>
    <w:p>
      <w:pPr>
        <w:spacing w:after="0" w:line="16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10004 YORK</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03"/>
        <w:spacing w:after="0"/>
        <w:rPr>
          <w:sz w:val="20"/>
          <w:szCs w:val="20"/>
          <w:color w:val="auto"/>
        </w:rPr>
      </w:pPr>
      <w:r>
        <w:rPr>
          <w:rFonts w:ascii="Times New Roman" w:cs="Times New Roman" w:eastAsia="Times New Roman" w:hAnsi="Times New Roman"/>
          <w:sz w:val="20"/>
          <w:szCs w:val="20"/>
          <w:color w:val="0000FF"/>
        </w:rPr>
        <w:t>General Counsel, Global</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40" w:type="dxa"/>
            <w:vAlign w:val="bottom"/>
          </w:tcPr>
          <w:p>
            <w:pPr>
              <w:jc w:val="center"/>
              <w:ind w:left="55"/>
              <w:spacing w:after="0"/>
              <w:rPr>
                <w:sz w:val="20"/>
                <w:szCs w:val="20"/>
                <w:color w:val="auto"/>
              </w:rPr>
            </w:pPr>
            <w:r>
              <w:rPr>
                <w:rFonts w:ascii="Times New Roman" w:cs="Times New Roman" w:eastAsia="Times New Roman" w:hAnsi="Times New Roman"/>
                <w:sz w:val="20"/>
                <w:szCs w:val="20"/>
                <w:color w:val="0000FF"/>
                <w:w w:val="97"/>
              </w:rPr>
              <w:t>1,390</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right"/>
              <w:ind w:right="28"/>
              <w:spacing w:after="0"/>
              <w:rPr>
                <w:sz w:val="20"/>
                <w:szCs w:val="20"/>
                <w:color w:val="auto"/>
              </w:rPr>
            </w:pPr>
            <w:r>
              <w:rPr>
                <w:rFonts w:ascii="Times New Roman" w:cs="Times New Roman" w:eastAsia="Times New Roman" w:hAnsi="Times New Roman"/>
                <w:sz w:val="15"/>
                <w:szCs w:val="15"/>
                <w:color w:val="0000FF"/>
              </w:rPr>
              <w:t>09/30/2029</w:t>
            </w:r>
          </w:p>
        </w:tc>
        <w:tc>
          <w:tcPr>
            <w:tcW w:w="174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20"/>
                <w:szCs w:val="20"/>
                <w:color w:val="0000FF"/>
                <w:w w:val="96"/>
              </w:rPr>
              <w:t>Common Shares</w:t>
            </w:r>
          </w:p>
        </w:tc>
        <w:tc>
          <w:tcPr>
            <w:tcW w:w="8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20"/>
                <w:szCs w:val="20"/>
                <w:color w:val="0000FF"/>
              </w:rPr>
              <w:t>145,000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ind w:right="164"/>
              <w:spacing w:after="0"/>
              <w:rPr>
                <w:sz w:val="20"/>
                <w:szCs w:val="20"/>
                <w:color w:val="auto"/>
              </w:rPr>
            </w:pPr>
            <w:r>
              <w:rPr>
                <w:rFonts w:ascii="Times New Roman" w:cs="Times New Roman" w:eastAsia="Times New Roman" w:hAnsi="Times New Roman"/>
                <w:sz w:val="20"/>
                <w:szCs w:val="20"/>
                <w:color w:val="0000FF"/>
              </w:rPr>
              <w:t>2.18</w:t>
            </w:r>
            <w:r>
              <w:rPr>
                <w:rFonts w:ascii="Times New Roman" w:cs="Times New Roman" w:eastAsia="Times New Roman" w:hAnsi="Times New Roman"/>
                <w:sz w:val="25"/>
                <w:szCs w:val="25"/>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right"/>
              <w:ind w:right="288"/>
              <w:spacing w:after="0"/>
              <w:rPr>
                <w:sz w:val="20"/>
                <w:szCs w:val="20"/>
                <w:color w:val="auto"/>
              </w:rPr>
            </w:pPr>
            <w:r>
              <w:rPr>
                <w:rFonts w:ascii="Times New Roman" w:cs="Times New Roman" w:eastAsia="Times New Roman" w:hAnsi="Times New Roman"/>
                <w:sz w:val="13"/>
                <w:szCs w:val="13"/>
                <w:color w:val="008000"/>
              </w:rPr>
              <w:t>(3)</w:t>
            </w:r>
          </w:p>
        </w:tc>
        <w:tc>
          <w:tcPr>
            <w:tcW w:w="1740" w:type="dxa"/>
            <w:vAlign w:val="bottom"/>
          </w:tcPr>
          <w:p>
            <w:pPr>
              <w:jc w:val="center"/>
              <w:ind w:left="15"/>
              <w:spacing w:after="0"/>
              <w:rPr>
                <w:sz w:val="20"/>
                <w:szCs w:val="20"/>
                <w:color w:val="auto"/>
              </w:rPr>
            </w:pPr>
            <w:r>
              <w:rPr>
                <w:rFonts w:ascii="Times New Roman" w:cs="Times New Roman" w:eastAsia="Times New Roman" w:hAnsi="Times New Roman"/>
                <w:sz w:val="20"/>
                <w:szCs w:val="20"/>
                <w:color w:val="0000FF"/>
                <w:w w:val="96"/>
              </w:rPr>
              <w:t>Common Shares</w:t>
            </w: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20"/>
                <w:szCs w:val="20"/>
                <w:color w:val="0000FF"/>
              </w:rPr>
              <w:t>55,109</w:t>
            </w:r>
          </w:p>
        </w:tc>
        <w:tc>
          <w:tcPr>
            <w:tcW w:w="60" w:type="dxa"/>
            <w:vAlign w:val="bottom"/>
          </w:tcPr>
          <w:p>
            <w:pPr>
              <w:spacing w:after="0"/>
              <w:rPr>
                <w:sz w:val="24"/>
                <w:szCs w:val="24"/>
                <w:color w:val="auto"/>
              </w:rPr>
            </w:pPr>
          </w:p>
        </w:tc>
        <w:tc>
          <w:tcPr>
            <w:tcW w:w="940" w:type="dxa"/>
            <w:vAlign w:val="bottom"/>
          </w:tcPr>
          <w:p>
            <w:pPr>
              <w:jc w:val="right"/>
              <w:ind w:right="344"/>
              <w:spacing w:after="0"/>
              <w:rPr>
                <w:sz w:val="20"/>
                <w:szCs w:val="20"/>
                <w:color w:val="auto"/>
              </w:rPr>
            </w:pPr>
            <w:r>
              <w:rPr>
                <w:rFonts w:ascii="Times New Roman" w:cs="Times New Roman" w:eastAsia="Times New Roman" w:hAnsi="Times New Roman"/>
                <w:sz w:val="13"/>
                <w:szCs w:val="13"/>
                <w:color w:val="008000"/>
              </w:rPr>
              <w:t>(4)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3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September 30, 2024 the reporting person was granted 145,000 stock options which vest in equal installments at September 30, 2024, March 30, 2025, September 30, 2025 and March 30, 2026.</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price was converted into its U.S. Dollar equivalent using the Bank of Canada daily exchange rate on March 30, 2026 (at CAD 1.00 = USD 0.718).</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stock units ("RSUs") that vest yearly in three equal installments starting July 10,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a contingent right to receive one common share or an equivalent value in cash at the issuer's election.</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/s/ Rachel Silverstein</w:t>
            </w:r>
          </w:p>
        </w:tc>
        <w:tc>
          <w:tcPr>
            <w:tcW w:w="5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04/01/2026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Rob Lovett with full power of substitution and re-substitution, acting individually, as the undersigned’s true and lawful attorney-in-fact, with full power and authority as hereinafter described on behalf of and in the name, place and stead of the undersigned to:</w:t>
      </w:r>
    </w:p>
    <w:p>
      <w:pPr>
        <w:spacing w:after="0" w:line="194" w:lineRule="exact"/>
        <w:rPr>
          <w:sz w:val="20"/>
          <w:szCs w:val="20"/>
          <w:color w:val="auto"/>
        </w:rPr>
      </w:pPr>
    </w:p>
    <w:p>
      <w:pPr>
        <w:jc w:val="both"/>
        <w:ind w:left="1440" w:hanging="720"/>
        <w:spacing w:after="0" w:line="238"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obtain credentials (including codes or passwords) to enable the undersigned to submit and file documents, forms and information required by Section 16(a) of the Securities Exchange Act of 1934, as amended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or any rule or regulation of the U.S. Securities and Exchange Commission (“</w:t>
      </w:r>
      <w:r>
        <w:rPr>
          <w:rFonts w:ascii="Times New Roman" w:cs="Times New Roman" w:eastAsia="Times New Roman" w:hAnsi="Times New Roman"/>
          <w:sz w:val="24"/>
          <w:szCs w:val="24"/>
          <w:u w:val="single" w:color="auto"/>
          <w:color w:val="auto"/>
        </w:rPr>
        <w:t>SEC</w:t>
      </w:r>
      <w:r>
        <w:rPr>
          <w:rFonts w:ascii="Times New Roman" w:cs="Times New Roman" w:eastAsia="Times New Roman" w:hAnsi="Times New Roman"/>
          <w:sz w:val="24"/>
          <w:szCs w:val="24"/>
          <w:color w:val="auto"/>
        </w:rPr>
        <w:t>”) via the Electronic Data Gathering and Retrieval (“</w:t>
      </w:r>
      <w:r>
        <w:rPr>
          <w:rFonts w:ascii="Times New Roman" w:cs="Times New Roman" w:eastAsia="Times New Roman" w:hAnsi="Times New Roman"/>
          <w:sz w:val="24"/>
          <w:szCs w:val="24"/>
          <w:u w:val="single" w:color="auto"/>
          <w:color w:val="auto"/>
        </w:rPr>
        <w:t>EDGAR</w:t>
      </w:r>
      <w:r>
        <w:rPr>
          <w:rFonts w:ascii="Times New Roman" w:cs="Times New Roman" w:eastAsia="Times New Roman" w:hAnsi="Times New Roman"/>
          <w:sz w:val="24"/>
          <w:szCs w:val="24"/>
          <w:color w:val="auto"/>
        </w:rPr>
        <w:t>”)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 or any successor filing system;</w:t>
      </w:r>
    </w:p>
    <w:p>
      <w:pPr>
        <w:spacing w:after="0" w:line="208" w:lineRule="exact"/>
        <w:rPr>
          <w:rFonts w:ascii="Times New Roman" w:cs="Times New Roman" w:eastAsia="Times New Roman" w:hAnsi="Times New Roman"/>
          <w:sz w:val="24"/>
          <w:szCs w:val="24"/>
          <w:color w:val="auto"/>
        </w:rPr>
      </w:pPr>
    </w:p>
    <w:p>
      <w:pPr>
        <w:jc w:val="both"/>
        <w:ind w:left="1440" w:hanging="720"/>
        <w:spacing w:after="0" w:line="241"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p>
      <w:pPr>
        <w:spacing w:after="0" w:line="198" w:lineRule="exact"/>
        <w:rPr>
          <w:rFonts w:ascii="Times New Roman" w:cs="Times New Roman" w:eastAsia="Times New Roman" w:hAnsi="Times New Roman"/>
          <w:sz w:val="24"/>
          <w:szCs w:val="24"/>
          <w:color w:val="auto"/>
        </w:rPr>
      </w:pPr>
    </w:p>
    <w:p>
      <w:pPr>
        <w:jc w:val="both"/>
        <w:ind w:left="1440" w:hanging="720"/>
        <w:spacing w:after="0" w:line="242"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Keel Infrastructure Corp.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Form 3, 4 or 5 relating to the Company in accordance with Section 16(a) of the Exchange Act and the rules and regulations promulgated thereunder and Form 144 in accordance with Rule 144 under the Securities Act of 1933, as amended (the “</w:t>
      </w:r>
      <w:r>
        <w:rPr>
          <w:rFonts w:ascii="Times New Roman" w:cs="Times New Roman" w:eastAsia="Times New Roman" w:hAnsi="Times New Roman"/>
          <w:sz w:val="24"/>
          <w:szCs w:val="24"/>
          <w:u w:val="single" w:color="auto"/>
          <w:color w:val="auto"/>
        </w:rPr>
        <w:t>Securities Act</w:t>
      </w:r>
      <w:r>
        <w:rPr>
          <w:rFonts w:ascii="Times New Roman" w:cs="Times New Roman" w:eastAsia="Times New Roman" w:hAnsi="Times New Roman"/>
          <w:sz w:val="24"/>
          <w:szCs w:val="24"/>
          <w:color w:val="auto"/>
        </w:rPr>
        <w:t>”);</w:t>
      </w:r>
    </w:p>
    <w:p>
      <w:pPr>
        <w:spacing w:after="0" w:line="199" w:lineRule="exact"/>
        <w:rPr>
          <w:rFonts w:ascii="Times New Roman" w:cs="Times New Roman" w:eastAsia="Times New Roman" w:hAnsi="Times New Roman"/>
          <w:sz w:val="24"/>
          <w:szCs w:val="24"/>
          <w:color w:val="auto"/>
        </w:rPr>
      </w:pPr>
    </w:p>
    <w:p>
      <w:pPr>
        <w:jc w:val="both"/>
        <w:ind w:left="1440" w:hanging="720"/>
        <w:spacing w:after="0" w:line="242"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complete and execute any such Form 3, 4 or 5 or Form 144 and any amendments thereto or other required reports and timely file such forms or reports with the SEC and any stock exchange or similar authority as considered necessary or advisable under Section 16(a) of the Exchange Act or Rule 144 under the Securities Act; and</w:t>
      </w:r>
    </w:p>
    <w:p>
      <w:pPr>
        <w:spacing w:after="0" w:line="199" w:lineRule="exact"/>
        <w:rPr>
          <w:rFonts w:ascii="Times New Roman" w:cs="Times New Roman" w:eastAsia="Times New Roman" w:hAnsi="Times New Roman"/>
          <w:sz w:val="24"/>
          <w:szCs w:val="24"/>
          <w:color w:val="auto"/>
        </w:rPr>
      </w:pPr>
    </w:p>
    <w:p>
      <w:pPr>
        <w:jc w:val="both"/>
        <w:ind w:left="1440" w:hanging="720"/>
        <w:spacing w:after="0" w:line="241"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421005</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584" w:right="479" w:bottom="1440" w:gutter="0" w:footer="0" w:header="0"/>
        </w:sectPr>
      </w:pPr>
    </w:p>
    <w:bookmarkStart w:id="2" w:name="page3"/>
    <w:bookmarkEnd w:id="2"/>
    <w:p>
      <w:pPr>
        <w:jc w:val="both"/>
        <w:ind w:firstLine="720"/>
        <w:spacing w:after="0" w:line="238" w:lineRule="auto"/>
        <w:rPr>
          <w:sz w:val="20"/>
          <w:szCs w:val="20"/>
          <w:color w:val="auto"/>
        </w:rPr>
      </w:pPr>
      <w:r>
        <w:rPr>
          <w:rFonts w:ascii="Times New Roman" w:cs="Times New Roman" w:eastAsia="Times New Roman" w:hAnsi="Times New Roman"/>
          <w:sz w:val="24"/>
          <w:szCs w:val="24"/>
          <w:color w:val="auto"/>
        </w:rPr>
        <w:t>The undersigned hereby acknowledges that: (i) the foregoing attorneys-in-fact are serving in such capacity at the request of the undersigned; (ii) this Power of Attorney authorizes, but does not require, each such attorney-in-fact to act in his or her discretion on information provided to such attorney-in-fact without independent verification of such information; (iii) any documents prepared and/or executed by any attorney-in-fact on behalf of the undersigned pursuant to this Power of Attorney shall be in such form and shall contain such information and disclosure as such attorney-in-fact, in his or her sole discretion, deems necessary or advisable;</w:t>
      </w:r>
    </w:p>
    <w:p>
      <w:pPr>
        <w:spacing w:after="0" w:line="5" w:lineRule="exact"/>
        <w:rPr>
          <w:sz w:val="20"/>
          <w:szCs w:val="20"/>
          <w:color w:val="auto"/>
        </w:rPr>
      </w:pPr>
    </w:p>
    <w:p>
      <w:pPr>
        <w:jc w:val="both"/>
        <w:spacing w:after="0" w:line="237" w:lineRule="auto"/>
        <w:tabs>
          <w:tab w:leader="none" w:pos="412"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any attorney-in-fact assumes (a) any liability for the undersigned’s responsibility to comply with the requirements of the Exchange Act or the Securities Act, (b) any liability of the undersigned for any failure to comply with such requirements or (c) any obligation or liability of the undersigned for profit disgorgement under Section 16(b) of the Exchange Act; and (v) this Power of Attorney does not relieve the undersigned from responsibility for compliance with the undersigned’s obligations under the Exchange Act or the Securities Act, including, without limitation, the reporting requirements under Section 16(a) of the Exchange Act.</w:t>
      </w:r>
    </w:p>
    <w:p>
      <w:pPr>
        <w:spacing w:after="0" w:line="20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as to any attorney-in-fact by the undersigned in a signed writing delivered to such attorney-in-fact.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Signature Page Follows</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598805</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350" w:right="479" w:bottom="1440" w:gutter="0" w:footer="0" w:header="0"/>
        </w:sectPr>
      </w:pPr>
    </w:p>
    <w:bookmarkStart w:id="3" w:name="page4"/>
    <w:bookmarkEnd w:id="3"/>
    <w:p>
      <w:pPr>
        <w:ind w:firstLine="7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31 day of March, 2026.</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080"/>
        <w:spacing w:after="0"/>
        <w:tabs>
          <w:tab w:leader="none" w:pos="5840" w:val="left"/>
        </w:tabs>
        <w:rPr>
          <w:sz w:val="20"/>
          <w:szCs w:val="20"/>
          <w:color w:val="auto"/>
        </w:rPr>
      </w:pPr>
      <w:r>
        <w:rPr>
          <w:rFonts w:ascii="Times New Roman" w:cs="Times New Roman" w:eastAsia="Times New Roman" w:hAnsi="Times New Roman"/>
          <w:sz w:val="24"/>
          <w:szCs w:val="24"/>
          <w:color w:val="auto"/>
        </w:rPr>
        <w:t>By:</w:t>
      </w:r>
      <w:r>
        <w:rPr>
          <w:sz w:val="20"/>
          <w:szCs w:val="20"/>
          <w:color w:val="auto"/>
        </w:rPr>
        <w:tab/>
      </w:r>
      <w:r>
        <w:rPr>
          <w:rFonts w:ascii="Times New Roman" w:cs="Times New Roman" w:eastAsia="Times New Roman" w:hAnsi="Times New Roman"/>
          <w:sz w:val="24"/>
          <w:szCs w:val="24"/>
          <w:color w:val="auto"/>
        </w:rPr>
        <w:t>/s/ Rachel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15240</wp:posOffset>
            </wp:positionV>
            <wp:extent cx="215392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153920" cy="1905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4"/>
          <w:szCs w:val="24"/>
          <w:color w:val="auto"/>
        </w:rPr>
        <w:t>Name: Rachel Silverstein</w:t>
      </w:r>
    </w:p>
    <w:sectPr>
      <w:pgSz w:w="11900" w:h="16838" w:orient="portrait"/>
      <w:cols w:equalWidth="0" w:num="1">
        <w:col w:w="10920"/>
      </w:cols>
      <w:pgMar w:left="480" w:top="11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20"/>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20765" TargetMode="External"/><Relationship Id="rId11" Type="http://schemas.openxmlformats.org/officeDocument/2006/relationships/hyperlink" Target="http://www.sec.gov/cgi-bin/browse-edgar?action=getcompany&amp;CIK=00018124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2026-04-01T20:13:05Z</dcterms:created>
  <dcterms:modified xsi:type="dcterms:W3CDTF">2026-04-01T20:13:05Z</dcterms:modified>
</cp:coreProperties>
</file>