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DOCUMENTS INCLUDED AS PART OF THIS FORM 6-K</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listed below.</w:t>
      </w:r>
    </w:p>
    <w:p>
      <w:pPr>
        <w:sectPr>
          <w:pgSz w:w="11900" w:h="16838" w:orient="portrait"/>
          <w:cols w:equalWidth="0" w:num="1">
            <w:col w:w="11220"/>
          </w:cols>
          <w:pgMar w:left="320" w:top="900" w:right="35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642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620" cy="1714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6412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EE"/>
        </w:rPr>
        <w:t>Agreement and Plan of Merger, dated August 21, 2024, by and among Stronghold Digital Mining, Inc. Bitfarms Ltd. and HPC &amp; AI Megacorp,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323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300"/>
            <w:col w:w="10080"/>
          </w:cols>
          <w:pgMar w:left="320" w:top="900" w:right="359" w:bottom="1440" w:gutter="0" w:footer="0" w:header="0"/>
          <w:type w:val="continuous"/>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AGREEMENT AND PLAN OF MERGER</w:t>
      </w:r>
    </w:p>
    <w:p>
      <w:pPr>
        <w:spacing w:after="0" w:line="2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Dated as of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1545590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6"/>
        </w:trPr>
        <w:tc>
          <w:tcPr>
            <w:tcW w:w="680" w:type="dxa"/>
            <w:vAlign w:val="bottom"/>
          </w:tcPr>
          <w:p>
            <w:pPr>
              <w:spacing w:after="0"/>
              <w:rPr>
                <w:sz w:val="24"/>
                <w:szCs w:val="24"/>
                <w:color w:val="auto"/>
              </w:rPr>
            </w:pPr>
          </w:p>
        </w:tc>
        <w:tc>
          <w:tcPr>
            <w:tcW w:w="9560" w:type="dxa"/>
            <w:vAlign w:val="bottom"/>
          </w:tcPr>
          <w:p>
            <w:pPr>
              <w:jc w:val="center"/>
              <w:ind w:left="23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000" w:type="dxa"/>
            <w:vAlign w:val="bottom"/>
          </w:tcPr>
          <w:p>
            <w:pPr>
              <w:spacing w:after="0"/>
              <w:rPr>
                <w:sz w:val="24"/>
                <w:szCs w:val="24"/>
                <w:color w:val="auto"/>
              </w:rPr>
            </w:pPr>
          </w:p>
        </w:tc>
      </w:tr>
      <w:tr>
        <w:trPr>
          <w:trHeight w:val="468"/>
        </w:trPr>
        <w:tc>
          <w:tcPr>
            <w:tcW w:w="68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680" w:type="dxa"/>
            <w:vAlign w:val="bottom"/>
          </w:tcPr>
          <w:p>
            <w:pPr>
              <w:spacing w:after="0"/>
              <w:rPr>
                <w:sz w:val="24"/>
                <w:szCs w:val="24"/>
                <w:color w:val="auto"/>
              </w:rPr>
            </w:pPr>
          </w:p>
        </w:tc>
        <w:tc>
          <w:tcPr>
            <w:tcW w:w="95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ARTICLE I</w:t>
            </w:r>
          </w:p>
        </w:tc>
        <w:tc>
          <w:tcPr>
            <w:tcW w:w="100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95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1000" w:type="dxa"/>
            <w:vAlign w:val="bottom"/>
          </w:tcPr>
          <w:p>
            <w:pPr>
              <w:spacing w:after="0"/>
              <w:rPr>
                <w:sz w:val="20"/>
                <w:szCs w:val="20"/>
                <w:color w:val="auto"/>
              </w:rPr>
            </w:pPr>
          </w:p>
        </w:tc>
      </w:tr>
      <w:tr>
        <w:trPr>
          <w:trHeight w:val="216"/>
        </w:trPr>
        <w:tc>
          <w:tcPr>
            <w:tcW w:w="6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Certain Definitions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Terms Defined Elsewhere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68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5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1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5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THE MERGER; THE EXCHANGES</w:t>
            </w:r>
          </w:p>
        </w:tc>
        <w:tc>
          <w:tcPr>
            <w:tcW w:w="10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Merger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Exchanges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The Conversion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Closing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the Merger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Directors and Officers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5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ARTICLE III</w:t>
            </w:r>
          </w:p>
        </w:tc>
        <w:tc>
          <w:tcPr>
            <w:tcW w:w="1000" w:type="dxa"/>
            <w:vAlign w:val="bottom"/>
            <w:shd w:val="clear" w:color="auto" w:fill="CCEEFF"/>
          </w:tcPr>
          <w:p>
            <w:pPr>
              <w:spacing w:after="0"/>
              <w:rPr>
                <w:sz w:val="18"/>
                <w:szCs w:val="18"/>
                <w:color w:val="auto"/>
              </w:rPr>
            </w:pPr>
          </w:p>
        </w:tc>
      </w:tr>
      <w:tr>
        <w:trPr>
          <w:trHeight w:val="198"/>
        </w:trPr>
        <w:tc>
          <w:tcPr>
            <w:tcW w:w="680" w:type="dxa"/>
            <w:vAlign w:val="bottom"/>
          </w:tcPr>
          <w:p>
            <w:pPr>
              <w:spacing w:after="0"/>
              <w:rPr>
                <w:sz w:val="17"/>
                <w:szCs w:val="17"/>
                <w:color w:val="auto"/>
              </w:rPr>
            </w:pPr>
          </w:p>
        </w:tc>
        <w:tc>
          <w:tcPr>
            <w:tcW w:w="9560" w:type="dxa"/>
            <w:vAlign w:val="bottom"/>
          </w:tcPr>
          <w:p>
            <w:pPr>
              <w:jc w:val="center"/>
              <w:ind w:left="210"/>
              <w:spacing w:after="0" w:line="198" w:lineRule="exact"/>
              <w:rPr>
                <w:sz w:val="20"/>
                <w:szCs w:val="20"/>
                <w:color w:val="auto"/>
              </w:rPr>
            </w:pPr>
            <w:r>
              <w:rPr>
                <w:rFonts w:ascii="Times New Roman" w:cs="Times New Roman" w:eastAsia="Times New Roman" w:hAnsi="Times New Roman"/>
                <w:sz w:val="18"/>
                <w:szCs w:val="18"/>
                <w:color w:val="auto"/>
                <w:w w:val="99"/>
              </w:rPr>
              <w:t>EFFECT OF THE MERGER ON THE CAPITAL STOCK AND RELATED SECURITIES OF</w:t>
            </w:r>
          </w:p>
        </w:tc>
        <w:tc>
          <w:tcPr>
            <w:tcW w:w="10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95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THE COMPANY AND MERGER SUB; EXCHANGE OF SHARES</w:t>
            </w:r>
          </w:p>
        </w:tc>
        <w:tc>
          <w:tcPr>
            <w:tcW w:w="1000" w:type="dxa"/>
            <w:vAlign w:val="bottom"/>
          </w:tcPr>
          <w:p>
            <w:pPr>
              <w:spacing w:after="0"/>
              <w:rPr>
                <w:sz w:val="20"/>
                <w:szCs w:val="20"/>
                <w:color w:val="auto"/>
              </w:rPr>
            </w:pPr>
          </w:p>
        </w:tc>
      </w:tr>
      <w:tr>
        <w:trPr>
          <w:trHeight w:val="216"/>
        </w:trPr>
        <w:tc>
          <w:tcPr>
            <w:tcW w:w="68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the Merger on Capital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Treatment of Equity Compensation Awards; Company Warrants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for Securities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Appraisal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6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56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10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5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10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Structure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 Documents; Financial Statements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4.8</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Information Supplied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 Permits; Compliance with Applicable Law</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4.10</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Benefits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Labor Matters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4.12</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Litigation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4.14</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Property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Intellectual Property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9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Environmental Matters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 Contracts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Bitcoin Miners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4.19</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Regulatory Status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Insurance</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4.21</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Brokers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4.23</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Takeover Laws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Anti-Corruption</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4.25</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4.26</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06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ARTICLE V</w:t>
            </w:r>
          </w:p>
        </w:tc>
        <w:tc>
          <w:tcPr>
            <w:tcW w:w="15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REPRESENTATIONS AND WARRANTIES OF PARENT, BMS AND MERGER SUB</w:t>
            </w:r>
          </w:p>
        </w:tc>
        <w:tc>
          <w:tcPr>
            <w:tcW w:w="15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Structure</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Consents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Disclosure Documents; Financial Statements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Information Supplied</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Parent Permits; Compliance with Applicable Law</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Litigation</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Property</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Environmental Matters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Material Contracts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Valid Issuance</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 Vote/Approval Required</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 Conduct</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Bitcoin Miners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Brokers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Anti-Corruption</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5.23</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06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15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90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150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Conduct of Company Business Pending the Merger</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Conduct of Parent Business Pending the Merger</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 Solicitation</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6.4</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Preparation of Registration Statement and Proxy Statement/Prospectus.</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9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Meeting</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w:t>
            </w:r>
          </w:p>
        </w:tc>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Access to Information</w:t>
            </w:r>
          </w:p>
        </w:tc>
        <w:tc>
          <w:tcPr>
            <w:tcW w:w="1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HSR and Other Approvals</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to Defend; Stockholder Litigation</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Announcements</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Reasonable Best Efforts; Notification</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 Matters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ARTICLE VII</w:t>
            </w:r>
          </w:p>
        </w:tc>
        <w:tc>
          <w:tcPr>
            <w:tcW w:w="25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2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Each Party’s Obligation to Consummate the Merger</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Parent, BMS and Merger Sub</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25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7"/>
              </w:rPr>
              <w:t>TERMINATION</w:t>
            </w:r>
          </w:p>
        </w:tc>
        <w:tc>
          <w:tcPr>
            <w:tcW w:w="2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and Other Payments</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2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4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560" w:type="dxa"/>
            <w:vAlign w:val="bottom"/>
          </w:tcPr>
          <w:p>
            <w:pPr>
              <w:spacing w:after="0"/>
              <w:rPr>
                <w:sz w:val="18"/>
                <w:szCs w:val="18"/>
                <w:color w:val="auto"/>
              </w:rPr>
            </w:pPr>
          </w:p>
        </w:tc>
      </w:tr>
      <w:tr>
        <w:trPr>
          <w:trHeight w:val="216"/>
        </w:trPr>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 Definitions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Venue; Waiver of Jury Trial</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Liability</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 Waiver</w:t>
            </w:r>
          </w:p>
        </w:tc>
        <w:tc>
          <w:tcPr>
            <w:tcW w:w="2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180" w:type="dxa"/>
            <w:vAlign w:val="bottom"/>
            <w:shd w:val="clear" w:color="auto" w:fill="CCEEFF"/>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2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39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A</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2560" w:type="dxa"/>
            <w:vAlign w:val="bottom"/>
          </w:tcPr>
          <w:p>
            <w:pPr>
              <w:spacing w:after="0"/>
              <w:rPr>
                <w:sz w:val="24"/>
                <w:szCs w:val="24"/>
                <w:color w:val="auto"/>
              </w:rPr>
            </w:pPr>
          </w:p>
        </w:tc>
      </w:tr>
      <w:tr>
        <w:trPr>
          <w:trHeight w:val="412"/>
        </w:trPr>
        <w:tc>
          <w:tcPr>
            <w:tcW w:w="6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Annex B</w:t>
            </w:r>
          </w:p>
        </w:tc>
        <w:tc>
          <w:tcPr>
            <w:tcW w:w="180" w:type="dxa"/>
            <w:vAlign w:val="bottom"/>
          </w:tcPr>
          <w:p>
            <w:pPr>
              <w:spacing w:after="0"/>
              <w:rPr>
                <w:sz w:val="24"/>
                <w:szCs w:val="24"/>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Certificate of Merger</w:t>
            </w:r>
          </w:p>
        </w:tc>
        <w:tc>
          <w:tcPr>
            <w:tcW w:w="2560" w:type="dxa"/>
            <w:vAlign w:val="bottom"/>
          </w:tcPr>
          <w:p>
            <w:pPr>
              <w:spacing w:after="0"/>
              <w:rPr>
                <w:sz w:val="24"/>
                <w:szCs w:val="24"/>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AGREEMENT AND PLAN OF MERGER, dated as of August 21,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has by unanimous vote, (i) determined that this Agreement and the transactions contemplated hereby, including the merger of Merger Sub with and into the Company, with the Company surviving the merger as a wholly owned, indirect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are in the best interests of the holders of Company Common Stock, (ii) approved and declared advisable this Agreement and the transactions contemplated hereby, including the Merger, and (iii) resolved to recommend that the holders of Company Common Stock approve and adopt this Agreement and the transactions contemplated hereby, including the Merger;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board of directors of each of Parent, BMS and Merger Sub have approved this Agreement and declared it advisable for Parent, BMS and Merger Sub, respectively, to enter into this Agreement and to consummate the transactions contemplated thereby, including the Merger and the issuance of common shares in the capital of Parent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in connection therewith;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certain stockholders of the Company have entered into a voting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Parent, pursuant to which, among other things, such stockholders have agreed to vote their shares of Company Common Stock in favor of the approval and adoption of this Agreement and the transactions contemplated hereby, including the Merger;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holders of outstanding Company Preferred Stock have entered into a conversion agreement (the “</w:t>
      </w:r>
      <w:r>
        <w:rPr>
          <w:rFonts w:ascii="Times New Roman" w:cs="Times New Roman" w:eastAsia="Times New Roman" w:hAnsi="Times New Roman"/>
          <w:sz w:val="18"/>
          <w:szCs w:val="18"/>
          <w:u w:val="single" w:color="auto"/>
          <w:color w:val="auto"/>
        </w:rPr>
        <w:t>Conversion Agreement</w:t>
      </w:r>
      <w:r>
        <w:rPr>
          <w:rFonts w:ascii="Times New Roman" w:cs="Times New Roman" w:eastAsia="Times New Roman" w:hAnsi="Times New Roman"/>
          <w:sz w:val="18"/>
          <w:szCs w:val="18"/>
          <w:color w:val="auto"/>
        </w:rPr>
        <w:t>”) with Parent and the Company, pursuant to which, among other things, such holders have consented to the Merger and submitted a notice to the Company to effect an optional conversion of their Company Preferred Stock into Company Class A Common Stock, conditioned upon and immediately prior to the Effective Time, in accordance with the Company Series C CoD;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and the TRA Holders (as defined in the Tax Receivable Agreement) have entered into that certain TRA Waiver and Termination Agreement (the “</w:t>
      </w:r>
      <w:r>
        <w:rPr>
          <w:rFonts w:ascii="Times New Roman" w:cs="Times New Roman" w:eastAsia="Times New Roman" w:hAnsi="Times New Roman"/>
          <w:sz w:val="18"/>
          <w:szCs w:val="18"/>
          <w:u w:val="single" w:color="auto"/>
          <w:color w:val="auto"/>
        </w:rPr>
        <w:t>TRA Waiver</w:t>
      </w:r>
      <w:r>
        <w:rPr>
          <w:rFonts w:ascii="Times New Roman" w:cs="Times New Roman" w:eastAsia="Times New Roman" w:hAnsi="Times New Roman"/>
          <w:sz w:val="18"/>
          <w:szCs w:val="18"/>
          <w:color w:val="auto"/>
        </w:rPr>
        <w:t>”), which provides for, among other things, the waiver of the TRA Holders’ rights to receive any further payments under the Tax Receivable Agreement, including pursuant to Section 4.2 thereof, as a result of the transactions contemplated hereby, to be effective at, and contingent upon, the Closing;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for U.S. federal income tax purposes, each of the Parties intends that the Merger will be treated as a taxable exchange described in Section 1001 of the Code by the Company’s stockholders of Company Common Stock for Parent Common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BMS, Merger Sub and the Company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capitalized terms have the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as otherwise defined elsewhere in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As used in this Agreement, the following capitalized terms are defined in this Agreement as referenced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8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7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Antitrust Authority</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6.7(b)</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3.3(b)(i)(B)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Cap Amount</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2.4(b)</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3.3(b)(i)(A)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6.8(f)</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Affiliate</w:t>
            </w:r>
          </w:p>
        </w:tc>
        <w:tc>
          <w:tcPr>
            <w:tcW w:w="7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Balance Sheet Date</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Capital Stock</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4.2(a)(iii)</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6.3(d)</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7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Easement Real Property</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Miners</w:t>
            </w:r>
          </w:p>
        </w:tc>
        <w:tc>
          <w:tcPr>
            <w:tcW w:w="7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4.9(a)</w:t>
            </w:r>
          </w:p>
        </w:tc>
      </w:tr>
      <w:tr>
        <w:trPr>
          <w:trHeight w:val="682"/>
        </w:trPr>
        <w:tc>
          <w:tcPr>
            <w:tcW w:w="42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right"/>
              <w:ind w:right="427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55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Plans</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4.10(a)</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4.2(a)(iii)</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Real Property</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4.14(e)</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Company Real Property Easements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4.14(a)</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4.4(b)(i)</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Competition Law Notifications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6.7(b)</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6.6(b)</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Conversion</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Agreement</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Creditors’ Rights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 Action</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6.7(c)</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9.3(c)</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2.4(b)</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Eligible Shares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Date</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8.1(b)(ii)</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3.3(a)(ii)</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Exchanges</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3.1(a)(v)</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Export Control and Economic Sanctions Laws</w:t>
            </w:r>
          </w:p>
        </w:tc>
        <w:tc>
          <w:tcPr>
            <w:tcW w:w="6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FCPA</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Fractional Share Consideration</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3.3(g)</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4.5(b)</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HSR Act</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4.4(a)</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6.9(a)</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3.3(b)(i)(B)</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Material Company Insurance Policies</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MBR Authority</w:t>
            </w:r>
          </w:p>
        </w:tc>
        <w:tc>
          <w:tcPr>
            <w:tcW w:w="6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Parent Option</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3.2(a)(ii)</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New Parent Warrant</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3.2(b)</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Parent Affiliate</w:t>
            </w: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Balance Sheet Date</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5.6(a)</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Parent Common Shares</w:t>
            </w: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Contracts</w:t>
            </w:r>
          </w:p>
        </w:tc>
        <w:tc>
          <w:tcPr>
            <w:tcW w:w="6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682"/>
        </w:trPr>
        <w:tc>
          <w:tcPr>
            <w:tcW w:w="44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jc w:val="right"/>
              <w:ind w:right="427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9"/>
        </w:trPr>
        <w:tc>
          <w:tcPr>
            <w:tcW w:w="10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Disclosure Documents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5.5(a)</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V</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5.5(b)</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Leased Real Property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Material Real Property Lease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Miners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Preferred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5.2(a)(ii)</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Share Capital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5.2(a)(ii)</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4.4(b)(i)</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PURPA Requirements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Reactive Power Filing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6.7(d)</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Reactive Power Tariff</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4.8(a)</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Tail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4.12(j)</w:t>
            </w:r>
          </w:p>
        </w:tc>
      </w:tr>
      <w:tr>
        <w:trPr>
          <w:trHeight w:val="216"/>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Terminable Breach</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8.1(b)(iii)</w:t>
            </w: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 Waiver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Voting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THE EXCHANGES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of this Agreement, at the Effective Time, Merger Sub will be merged with and into the Company in accordance with the provisions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a result of the Merger, the separate existence of Merger Sub shall cease and the Company shall continue its existence under the laws of the State of Delaware as the surviving corporation (in such capacity, the Company is sometimes referred to herein as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The Exchanges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at the Closing (and the Closing Date shall constitute the “Change of Control Exchange Date” as defined in the Company Holdco LLC Agreement), immediately prior to and conditioned upon the Effective Time, the Company shall require each member of Company Holdco (other than the Company and its wholly owned Subsidiaries) to effect an exchange of all outstanding Company Holdco Units held by such member together with the surrender for cancellation of a corresponding number of shares of Company Class V Common Stock, for shares of Company Class A Common Stock in accordance with Section 3.6(q) of the Company Holdco LLC Agreement (the “</w:t>
      </w:r>
      <w:r>
        <w:rPr>
          <w:rFonts w:ascii="Times New Roman" w:cs="Times New Roman" w:eastAsia="Times New Roman" w:hAnsi="Times New Roman"/>
          <w:sz w:val="18"/>
          <w:szCs w:val="18"/>
          <w:u w:val="single" w:color="auto"/>
          <w:color w:val="auto"/>
        </w:rPr>
        <w:t>Exchanges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both"/>
        <w:ind w:firstLine="1304"/>
        <w:spacing w:after="0" w:line="256" w:lineRule="auto"/>
        <w:tabs>
          <w:tab w:leader="none" w:pos="15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shall cause Company Holdco LLC to, take such other actions as are necessary or desirable to permit and effect the Exchanges and otherwise give effect to the treatment of the Company Holdco Units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at the Closing and immediately prior to the Effective Time. No later than the fifth Business Day following the date hereof, the Company shall cause Company Holdco LLC to deliver a written notice of a PubCo Approved Change of Control (as defined in the Company Holdco LLC Agreement), to members of Company Holdco in accordance with Section 3.6 of the Company Holdco LLC Agreement. For the avoidance of doubt, the Exchanges shall not be effective if the Merger is not consummated in accordance with the terms hereof.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Upon the terms and subject to the conditions set forth in this Agreement, at the Closing, immediately prior to and conditioned upon the Effective Time, each share of Company Preferred Stock issued and outstanding as of such time shall, pursuant to the Conversion Agreement, convert into 250 shares of Company Class A Common Stock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All of the shares of Company Preferred Stock converted into shares of Company Class A Common Stock shall no longer be outstanding and shall cease to exist, and each holder of Company Preferred Stock shall thereafter cease to have any rights with respect to such shares of Company Preferred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Exchanges, the Conversion and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New York, New York time, on a date that is three (3) Business Days following the satisfaction or (to the extent permitted by applicable Law) waiver in accordance with this Agreement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which by their nature cannot be satisfied until the Closing Date, which shall be required to be so satisfied or (to the extent permitted by applicable Law) waived in accordance with this Agreement on the Closing Date) remotely via electronic exchange of documents, or in such other manner or at such location as may be agreed upon between Parent and the Company. For purposes of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on which the Closing occurs.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on the Closing Date after the Closing, a certificate of merger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shall be filed with the Office of the Secretary of State of the State of Delaware. The Merger shall become effective upon the filing and acceptance of the Certificate of Merger with the Office of the Secretary of State of the State of Delaware, or at such later time as shall be agreed upon in writing by Parent and the Company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Effect of the Merger</w:t>
      </w:r>
      <w:r>
        <w:rPr>
          <w:rFonts w:ascii="Times New Roman" w:cs="Times New Roman" w:eastAsia="Times New Roman" w:hAnsi="Times New Roman"/>
          <w:sz w:val="17"/>
          <w:szCs w:val="17"/>
          <w:color w:val="auto"/>
        </w:rPr>
        <w:t>. At the Effective Time, the Merger shall have the effects set forth in this Agreement and the applicable provisions of the DGCL. Without limiting the generality of the foregoing, and subject thereto, at the Effective Time, all the property, rights, privileges, powers and franchises of each of the Company and Merger Sub shall vest in the Surviving Corporation, and all debts, liabilities, obligations, restrictions, disabilities and duties of each of the Company and Merger Sub shall become the debts, liabilities, obligations, restrictions, disabilities and duties of the Surviving Corporation.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Organizational Documents of the Surviving Corporation</w:t>
      </w:r>
      <w:r>
        <w:rPr>
          <w:rFonts w:ascii="Times New Roman" w:cs="Times New Roman" w:eastAsia="Times New Roman" w:hAnsi="Times New Roman"/>
          <w:sz w:val="18"/>
          <w:szCs w:val="18"/>
          <w:color w:val="auto"/>
        </w:rPr>
        <w:t xml:space="preserve">. At the Effective Time, (i) the certificate of incorporation of the Company in effect immediately prior to the Effective Time shall be amended in its entirety to read as Exhibit A to the Certificate of Merger, and (ii) the bylaws of the Company in effect immediately prior to the Effective Time shall be amended in its entirety to read as the bylaws of the Surviving Corporation, in each case, until thereafter amended, subject to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in accordance with their respective terms and applicable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From and after the Effective Time, the directors and officers of Merger Sub shall be the directors and officers of the Surviving Corporation, and such directors and officers shall serve until their successors have been duly elected or appointed and qualified or until their death, resignation or removal in accordance with the Organizational Documents of the Surviving Corporation.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OF THE MERGER ON THE CAPITAL STOCK AND RELATED SECURITIES OF THE COMPANY AND MERGER SUB;</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OF SHARES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the Merger on Capital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Party or any holder of their securities: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18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share of capital stock of Merger Sub issued and outstanding immediately prior to the Effective Time shall be converted into and shall represent one fully paid and nonassessable share of common stock, par value $0.01 per share, of the Surviving Corporation, which shall constitute the only outstanding share of common stock of the Surviving Corporation immediately following the Effective Time.</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291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share of Company Class A Common Stock issued and outstanding immediately prior to the Effective Time (including, for the avoidance of doubt, each share of Company Class A Common Stock issued in the Exchanges and the Conversion and excluding any Excluded Shares) (such shares of Company Common Stock,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shall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fully paid and nonassessable Parent Common Shares, subject to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with respect to fractional shares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89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Company Class A Common Stock, when so converted, shall cease to be outstanding and shall automatically be canceled and cease to exist. Each holder of a share of Company Class A Common Stock that was outstanding immediately prior to the Effective Time shall cease to have any rights with respect thereto, except the right to receive the Per Share Merger Consideration.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2260" w:hanging="308"/>
        <w:spacing w:after="0"/>
        <w:tabs>
          <w:tab w:leader="none" w:pos="22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V Common Stock and Company Holdco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right="20" w:firstLine="1300"/>
        <w:spacing w:after="0" w:line="266" w:lineRule="auto"/>
        <w:tabs>
          <w:tab w:leader="none" w:pos="290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share of Company Class V Common Stock issued and outstanding immediately prior to the Effective Time shall be automatically cancelled and shall cease to exist and no payment shall be made with respect thereto, and the holders thereof shall cease to have any rights with respect thereto.</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908"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Company Holdco Unit as of the Effective Time (and after giving effect to the Exchanges) shall be unaffected by the Merger and shall be unchanged and remain outstanding, and no consideration shall be delivered in respect thereof.</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8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As of the Effective Time, each share of Company Preferred Stock issued and outstanding immediately prior to the Effective Time (and after giving effect to the Conversion) shall be automatically cancelled and shall cease to exist and no payment shall be made with respect thereto, and the holders thereof shall cease to have any rights with respect thereto.</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1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All shares of Company Capital Stock held by the Company as treasury shares or by Parent or Merger Sub or by any wholly owned Subsidiary of Parent or Merger Sub immediately prior to the Effective Time and, in each case, not held on behalf of third parties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automatically be canceled and cease to exist as of the Effective Time,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the number of shares of Company Common Stock, Company Holdco Units, Company Series C Preferred Stock, Parent Common Shares, or securities convertible or exchangeable into or exercisable for shares of Company Common Stock, Company Holdco Units, Company Series C Preferred Stock or Parent Common Shares (including any successor securities of Parent Common Shares), issued and outstanding after the date of this Agreement and prior to the Effective Time by reason of any stock split, reverse stock split, stock dividend, subdivision, reclassification, recapitalization, combination, exchange of shares or the like, the Per Share Merger Consideration to be paid for each Eligible Share shall be equitably adjusted to reflect the effect of such change and, as so adjusted, shall from and after the date of such event, be the Per Share Merger Consideration, subject to further adjustment in accordance with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provided that, for the avoidance of doubt, no adjustment shall be made for the issuance of Company Class A Common Stock upon the Exchanges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otherwise prior to the Effective Time in accordance with the terms of the Company Holdco LLC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Treatment of Equity Compensation Awards; Company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92"/>
        <w:spacing w:after="0" w:line="254" w:lineRule="auto"/>
        <w:tabs>
          <w:tab w:leader="none" w:pos="1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Each Company RSU (whether vested or unvested) that is outstanding immediately prior to the Effective Time shall, at the Effective Time, automatically and without any action on the part of Parent, the Company or any holder thereof, immediately vest in full and any forfeiture restrictions applicable to such Company RSU shall lapse immediately and each Company RSU shall be treated as a share of Company Common Stock for all purposes of this Agreement, including the right to receive the Per Share Merger Consideration in accordance with the terms hereof (the “</w:t>
      </w:r>
      <w:r>
        <w:rPr>
          <w:rFonts w:ascii="Times New Roman" w:cs="Times New Roman" w:eastAsia="Times New Roman" w:hAnsi="Times New Roman"/>
          <w:sz w:val="18"/>
          <w:szCs w:val="18"/>
          <w:u w:val="single" w:color="auto"/>
          <w:color w:val="auto"/>
        </w:rPr>
        <w:t>Company RSU Consideration</w:t>
      </w:r>
      <w:r>
        <w:rPr>
          <w:rFonts w:ascii="Times New Roman" w:cs="Times New Roman" w:eastAsia="Times New Roman" w:hAnsi="Times New Roman"/>
          <w:sz w:val="18"/>
          <w:szCs w:val="18"/>
          <w:color w:val="auto"/>
        </w:rPr>
        <w:t xml:space="preserve">”). Parent shall, or shall cause the Surviving Corporation to, deliver the Company RSU Consideration to each holder of Company RSUs, less any required withholding Taxes and without interest, within ten (10) Business Days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that any payment within such time or on such date would trigger a Tax or penalty under Section 409A of the Code, such payment shall be made on the earliest date that payment would not trigger such Tax or penalty.</w:t>
      </w:r>
    </w:p>
    <w:p>
      <w:pPr>
        <w:spacing w:after="0" w:line="191"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1300"/>
        <w:spacing w:after="0" w:line="252" w:lineRule="auto"/>
        <w:tabs>
          <w:tab w:leader="none" w:pos="223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(whether vested or unvested) that is outstanding immediately prior to the Effective Time, other than each Company Option that is held by a former employee of, former non-employee director of, or former other service provider to, the Company or its Subsidiaries, in each case, as of immediately prior to the Effective Time (a “</w:t>
      </w:r>
      <w:r>
        <w:rPr>
          <w:rFonts w:ascii="Times New Roman" w:cs="Times New Roman" w:eastAsia="Times New Roman" w:hAnsi="Times New Roman"/>
          <w:sz w:val="18"/>
          <w:szCs w:val="18"/>
          <w:u w:val="single" w:color="auto"/>
          <w:color w:val="auto"/>
        </w:rPr>
        <w:t>Former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 Option</w:t>
      </w:r>
      <w:r>
        <w:rPr>
          <w:rFonts w:ascii="Times New Roman" w:cs="Times New Roman" w:eastAsia="Times New Roman" w:hAnsi="Times New Roman"/>
          <w:sz w:val="18"/>
          <w:szCs w:val="18"/>
          <w:color w:val="auto"/>
        </w:rPr>
        <w:t>”), shall, automatically and without any required action on the part of the holder thereof, be assumed by Parent and converted into and thereafter evidence an option to acquire Parent Common Shares (a “</w:t>
      </w:r>
      <w:r>
        <w:rPr>
          <w:rFonts w:ascii="Times New Roman" w:cs="Times New Roman" w:eastAsia="Times New Roman" w:hAnsi="Times New Roman"/>
          <w:sz w:val="18"/>
          <w:szCs w:val="18"/>
          <w:u w:val="single" w:color="auto"/>
          <w:color w:val="auto"/>
        </w:rPr>
        <w:t>New Parent Option</w:t>
      </w:r>
      <w:r>
        <w:rPr>
          <w:rFonts w:ascii="Times New Roman" w:cs="Times New Roman" w:eastAsia="Times New Roman" w:hAnsi="Times New Roman"/>
          <w:sz w:val="18"/>
          <w:szCs w:val="18"/>
          <w:color w:val="auto"/>
        </w:rPr>
        <w:t xml:space="preserve">”). Each New Parent Option shall continue to have and be subject to substantially the same terms and conditions as were applicable to such Company Option immediately prior to the Effective Time (including with respect to vesting conditions, expiration date, and exercise provisions), except that (i) each New Parent Option shall be exercisable for that number of Parent Common Shares (rounded, if necessary, to the nearest whole share) determined by multiplying the number of shares of Company Class A Common Stock subject to such Company Option as of immediately prior to the Effective Time by the Exchange Ratio and (ii) the per share exercise price for each Parent Common Share issuable upon exercise of the New Parent Option shall be (rounded, if necessary, up to the nearest whole cent) equal to the exercise price per share of Company Class A Common Stock under such Company Option divided by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adjustments provided in this </w:t>
      </w:r>
      <w:r>
        <w:rPr>
          <w:rFonts w:ascii="Times New Roman" w:cs="Times New Roman" w:eastAsia="Times New Roman" w:hAnsi="Times New Roman"/>
          <w:sz w:val="18"/>
          <w:szCs w:val="18"/>
          <w:u w:val="single" w:color="auto"/>
          <w:color w:val="auto"/>
        </w:rPr>
        <w:t>Section 3.2(a)(ii)(A)</w:t>
      </w:r>
      <w:r>
        <w:rPr>
          <w:rFonts w:ascii="Times New Roman" w:cs="Times New Roman" w:eastAsia="Times New Roman" w:hAnsi="Times New Roman"/>
          <w:sz w:val="18"/>
          <w:szCs w:val="18"/>
          <w:color w:val="auto"/>
        </w:rPr>
        <w:t xml:space="preserve"> with respect to any Company Options are intended to be effected in a manner that is consistent with Section 409A of the Code and the applicable regulations promulgated thereunder.</w:t>
      </w:r>
    </w:p>
    <w:p>
      <w:pPr>
        <w:spacing w:after="0" w:line="197" w:lineRule="exact"/>
        <w:rPr>
          <w:rFonts w:ascii="Times New Roman" w:cs="Times New Roman" w:eastAsia="Times New Roman" w:hAnsi="Times New Roman"/>
          <w:sz w:val="18"/>
          <w:szCs w:val="18"/>
          <w:color w:val="auto"/>
        </w:rPr>
      </w:pPr>
    </w:p>
    <w:p>
      <w:pPr>
        <w:jc w:val="both"/>
        <w:ind w:left="640" w:firstLine="1300"/>
        <w:spacing w:after="0" w:line="254" w:lineRule="auto"/>
        <w:tabs>
          <w:tab w:leader="none" w:pos="222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Parent Common Shares equal to the product of (x) the number of shares of Company Class A Common Stock subject to such Former Employee Option as of immediately prior to the Effective Time and (y) (A) the excess, if any, of the Merger Consideration Value over the exercise price per share of Company Class A Common Stock applicable to such Former Employee Option, divided by (B) the Merger Consideration Value (the “</w:t>
      </w:r>
      <w:r>
        <w:rPr>
          <w:rFonts w:ascii="Times New Roman" w:cs="Times New Roman" w:eastAsia="Times New Roman" w:hAnsi="Times New Roman"/>
          <w:sz w:val="18"/>
          <w:szCs w:val="18"/>
          <w:u w:val="single" w:color="auto"/>
          <w:color w:val="auto"/>
        </w:rPr>
        <w:t>Former Employee Option Consideration</w:t>
      </w:r>
      <w:r>
        <w:rPr>
          <w:rFonts w:ascii="Times New Roman" w:cs="Times New Roman" w:eastAsia="Times New Roman" w:hAnsi="Times New Roman"/>
          <w:sz w:val="18"/>
          <w:szCs w:val="18"/>
          <w:color w:val="auto"/>
        </w:rPr>
        <w:t>”). Parent shall, or shall cause the Surviving Corporation to, deliver the Former Employee Option Consideration to each holder of Former Employee Options, less any required withholding Taxes and without interest, within ten (10) Business Days following the Effective Time.</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left="660" w:firstLine="1292"/>
        <w:spacing w:after="0" w:line="256" w:lineRule="auto"/>
        <w:tabs>
          <w:tab w:leader="none" w:pos="22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Board and/or the compensation committee of the Company Board shall take such action and adopt such resolutions as are required to (i) effectuate the treatment of the Company RSUs and Company Options pursuant to the terms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if requested by Parent in writing, cause the Company Equity Plans to terminate at or prior to the Effective Time and (iii) take all actions reasonably required to effectuate any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including to ensure that from and after the Effective Time neither Parent nor the Surviving Corporation will be required to deliver shares of Company Common Stock or other capital stock of the Company to any Person pursuant to or in settlement of any equity awards of the Company, including any Company RSUs or Company Options.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At the Effective Time, and in accordance with the terms of each Company Warrant that is issued and outstanding immediately prior to the Effective Time, unless otherwise mutually agreed by the holder of any such Company Warrant and Parent, each Company Warrant shall cease to represent a right to acquire Company Class A Common Stock and shall be replaced with a warrant to acquire Parent Common Shares (a “</w:t>
      </w:r>
      <w:r>
        <w:rPr>
          <w:rFonts w:ascii="Times New Roman" w:cs="Times New Roman" w:eastAsia="Times New Roman" w:hAnsi="Times New Roman"/>
          <w:sz w:val="18"/>
          <w:szCs w:val="18"/>
          <w:u w:val="single" w:color="auto"/>
          <w:color w:val="auto"/>
        </w:rPr>
        <w:t>New Parent Warrant</w:t>
      </w:r>
      <w:r>
        <w:rPr>
          <w:rFonts w:ascii="Times New Roman" w:cs="Times New Roman" w:eastAsia="Times New Roman" w:hAnsi="Times New Roman"/>
          <w:sz w:val="18"/>
          <w:szCs w:val="18"/>
          <w:color w:val="auto"/>
        </w:rPr>
        <w:t>”), with (i) the number of such Parent Common Shares equal to the product obtained by multiplying the number of shares of Company Class A Common Stock subject to such Company Warrant immediately prior to the Effective Time by the Exchange Ratio, and (ii) an exercise price for each such Parent Common Share equal to the quotient obtained by dividing the exercise price per share of Company Class A Common Stock under such Company Warrant by the Exchange Ratio.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Payment for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 Exchange Fund</w:t>
      </w:r>
      <w:r>
        <w:rPr>
          <w:rFonts w:ascii="Times New Roman" w:cs="Times New Roman" w:eastAsia="Times New Roman" w:hAnsi="Times New Roman"/>
          <w:sz w:val="18"/>
          <w:szCs w:val="18"/>
          <w:color w:val="auto"/>
        </w:rPr>
        <w:t>. Prior to the Effective Time, Parent shall select a bank or trust company reasonably acceptable to the Company to act as exchange agent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On the Closing Date and prior to the filing of the Certificate of Merger, Parent shall deposit, or cause to be deposited, with the Exchange Agent, for the benefit of the holders of Eligible Shares, for payment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(i) evidence of Parent Common Shares issuable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book-entry form equal to the aggregate Per Share Merger Consideration (excluding any Fractional Share Consideration), and (ii) cash in immediately available funds in an amount sufficient to pay the Fractional Share Consideration (such evidence of book-entry Parent Common Shares and cash amounts, together with any dividends or other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the Per Share Merger Consideration payable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out of the Exchange Fund. The Exchange Fund shall not be used for any other purpose. Parent or the Surviving Corporation shall pay all charges and expenses of the Exchange Agent, in connection with the exchange of Eligible Shares for the Per Share Merger Consideration pursuant to this Agreement.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shall promptly replace, restore or supplement the cash in the Exchange Fund so as to ensure that the Exchange Fund is at all times maintained at a level sufficient for the Exchange Agent to make the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Any interest or other income resulting from investment of the cash portion of the Exchange Fund may become part of the Exchange Fund, and any cash amounts in excess of the cash amounts payable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may, at the discretion of Parent, be promptly returned to Parent or the Surviving Corporation.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440" w:hanging="25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0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As soon as reasonably practicable after the Effective Time, but in no event more than two (2) Business Days after the Closing Date, Parent shall cause the Exchange Agent to deliver to each record holder, as of immediately prior to the Effective Time after giving effect to the Exchanges and the Conversion, of (A) an outstanding certificate or certificates which immediately prior to the Effective Time represented shares of Company Common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 shares of Company Common Stock represented by book-entry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 customary letter of transmittal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Parent and the Company prior to the Closing) and instructions for use in effecting the surrender of the Certificates or, in the case of Book-Entry Shares, the surrender of such shares, for payment of the Per Share Merger Consideration set forth in </w:t>
      </w:r>
      <w:r>
        <w:rPr>
          <w:rFonts w:ascii="Times New Roman" w:cs="Times New Roman" w:eastAsia="Times New Roman" w:hAnsi="Times New Roman"/>
          <w:sz w:val="18"/>
          <w:szCs w:val="18"/>
          <w:u w:val="single" w:color="auto"/>
          <w:color w:val="auto"/>
        </w:rPr>
        <w:t>Section 3.1.</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10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 No interest shall be paid or accrued for the benefit of holders of the Certificates or Book-Entry Shares on the Per Share Merger Consideration payable in respect of the Certificates or Book-Entry Shares. If payment of the Per Share Merger Consideration is to be made to any Person other than the Person in whose name the surrendered Certificate is registered, it shall be a condition of payment that the Certificate so surrendered shall be properly endorsed or shall be otherwise in proper form for transfer and that the Person requesting such payment shall have paid any transfer and other Taxes required by reason of the payment of the Per Share Merger Consideration to a Person other than the registered holder of the Certificate surrendered and shall have established to the satisfaction of the Surviving Corporation that such Taxes either have been paid or are not applicable. Until surrendered as contemplated by this </w:t>
      </w:r>
      <w:r>
        <w:rPr>
          <w:rFonts w:ascii="Times New Roman" w:cs="Times New Roman" w:eastAsia="Times New Roman" w:hAnsi="Times New Roman"/>
          <w:sz w:val="18"/>
          <w:szCs w:val="18"/>
          <w:u w:val="single" w:color="auto"/>
          <w:color w:val="auto"/>
        </w:rPr>
        <w:t>Section 3.3(b)(ii)</w:t>
      </w:r>
      <w:r>
        <w:rPr>
          <w:rFonts w:ascii="Times New Roman" w:cs="Times New Roman" w:eastAsia="Times New Roman" w:hAnsi="Times New Roman"/>
          <w:sz w:val="18"/>
          <w:szCs w:val="18"/>
          <w:color w:val="auto"/>
        </w:rPr>
        <w:t xml:space="preserve">, each Certificate and each Book-Entry Share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be deemed at any time after the Effective Time to represent only the right to receive upon such surrender the Per Share Merger Consideration as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firstLine="1304"/>
        <w:spacing w:after="0" w:line="256" w:lineRule="auto"/>
        <w:tabs>
          <w:tab w:leader="none" w:pos="15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xml:space="preserve">. All Per Share Merger Consideration paid upon the surrender of and in exchange for Eligible Shares in accordance with the terms hereof shall be deemed to have been paid in full satisfaction of all rights pertaining to such Company Common Stock. After the Effective Time, there shall be no further registration of transfers on the stock transfer books of the Surviving Corporation of the shares of Company Common Stock that were outstanding immediately prior to the Effective Time. If, after the Effective Time, Certificates or Book-Entry Shares are presented to the Surviving Corporation for any reason, they shall be canceled and exchanged for the Per Share Merger Consideration payable in respect of the Eligible Shares previously represented by such Certificates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the former stockholders of the</w:t>
      </w:r>
    </w:p>
    <w:p>
      <w:pPr>
        <w:spacing w:after="0" w:line="2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Company on the 365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Date shall be delivered to the Surviving Corporation, upon demand, and any former equity holders of the Company who have not theretofore received the Per Share Merger Consideration to which they are entitled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thereafter look only to the Surviving Corporation and Parent for payment of their claim for such amounts.</w:t>
      </w:r>
    </w:p>
    <w:p>
      <w:pPr>
        <w:spacing w:after="0" w:line="198" w:lineRule="exact"/>
        <w:rPr>
          <w:sz w:val="20"/>
          <w:szCs w:val="20"/>
          <w:color w:val="auto"/>
        </w:rPr>
      </w:pPr>
    </w:p>
    <w:p>
      <w:pPr>
        <w:jc w:val="both"/>
        <w:ind w:firstLine="1304"/>
        <w:spacing w:after="0" w:line="256" w:lineRule="auto"/>
        <w:tabs>
          <w:tab w:leader="none" w:pos="1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Surviving Corporation, Parent, BMS, Merger Sub or the Exchange Agent shall be liable to any holder of Company Common Stock for any amount of Per Share Merger Consideration properly delivered to a public official pursuant to any applicable abandoned property, escheat or similar Law. If any Certificate or Book-Entry Share has not been surrendered prior to the time that is immediately prior to the time at which Per Share Merger Consideration in respect of such Certificate or Book-Entry Share would otherwise escheat to or become the property of any Governmental Entity, any such shares, cash, dividends or distributions in respect of such Certificate or Book-Entry Share shall, to the extent permitted by applicable Law, become the property of Parent, free and clear of all claims or interest of any Person previously entitled thereto.</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amount of Per Share Merger Consideration payable in respect of the number of shares of Company Common Stock formerly represented by such Certificate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certificate or scrip representing fractional Parent Common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Parent Common Share (after aggregating all shares represented by the Certificates and Book-Entry Shares delivered by such holder) shall receive, in lieu thereof, cash, without interest, in an amount equal to the product of (a) such fraction of a Parent Common Share multiplied by (b) the closing price per share of a Parent Common Share on the Business Day immediately prior to the Closing Date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304"/>
        <w:spacing w:after="0" w:line="253"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Share Capital</w:t>
      </w:r>
      <w:r>
        <w:rPr>
          <w:rFonts w:ascii="Times New Roman" w:cs="Times New Roman" w:eastAsia="Times New Roman" w:hAnsi="Times New Roman"/>
          <w:sz w:val="18"/>
          <w:szCs w:val="18"/>
          <w:color w:val="auto"/>
        </w:rPr>
        <w:t>. No dividends or other distributions with respect to Parent Common Shares with a record date after the Effective Time shall be paid to the holder of any unsurrendered Certificate or Book-Entry Share with respect to the Parent Common Shares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Parent Common Shares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Parent Common Shares.</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Notwithstanding anything in this Agreement to the contrary, Parent, the Company, BMS, Merger Sub, the Surviving Corporation and the Exchange Agent shall be entitled to deduct or withhold from any payment made pursuant to this Agreement any amount required to be deducted or withheld under applicable Tax Law with respect to the making of such payment. To the extent any such amount is so deducted or withheld and paid over to the relevant Taxing Authority, such amount shall be treated for all purposes of this Agreement as having been paid to the Person to whom such amount would have been paid absent such deduction or withholding. The Parties agree that no amount shall be deducted or withheld from the Per Share Merger Consideration pursuant to Section 1445 of the Code or the U.S. Treasury Regulations promulgated thereunder, or in connection with the Exchanges, pursuant to Section 1445 of the Code or Section 1446 of the Code and the Treasury Regulations promulgated thereunder with respect to any holder of Company Holdco Units that has delivered an IRS Form W-9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unless required by a change in Law after the date hereof.</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in this Agreement to the contrary, shares of Company Class V Common Stock issued and outstanding immediately prior to the Effective Time that are held by any holder who is entitled to demand and properly demands appraisal of such shares pursuant to Section 262 of the DGCL shall be treated in accordance with Section 262 of the DGCL. The Company shall serve prompt notice to Parent of any demands for appraisal of any shares of Company Class V Common Stock, attempted withdrawals of such notices or demands and any other instruments received by the Company relating to rights to appraisal, and Parent shall have the right to participate in and direct all negotiations and proceedings with respect to such demands. The Company shall not, without the prior written consent of Parent, make any payment with respect to, settle or offer to settle, or approve any withdrawal of any such demands. For the avoidance of doubt, (a) no dissenters’ or appraisal rights shall be available with respect to the Company Class A Common Stock or with respect to the Company Holdco Units and (b) appraisal rights shall be limited to an appraisal, pursuant to Section 262 of the DGCL, solely of the fair value of the Company Class V Common Stock, as such.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(i) as set forth in the disclosure letter dated as of the date of this Agreement and delivered by the Company to Parent, BMS and Merger Sub on or prior to the date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xml:space="preserve">”) and (ii) as disclosed in the Company SEC Documents (including all exhibits and schedules thereto and documents incorporated by reference therein) filed with or furnished to the SEC and publicly available on Edgar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represents and warrants to Parent, BMS and Merger Sub as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xml:space="preserve">. Each of the Company and its Subsidiaries is a corporation, partnership or limited liability company duly organized, validly existing and in good standing under the Laws of its jurisdiction of incorporation or organization. Each of the Company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Company Material Adverse Effect. Each of the Company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Company Material Adverse Effect.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w:t>
      </w:r>
      <w:r>
        <w:rPr>
          <w:rFonts w:ascii="Times New Roman" w:cs="Times New Roman" w:eastAsia="Times New Roman" w:hAnsi="Times New Roman"/>
          <w:sz w:val="18"/>
          <w:szCs w:val="18"/>
          <w:color w:val="auto"/>
        </w:rPr>
        <w:t xml:space="preserve"> of the Company Disclosure Letter lists, as of the date of this Agreement, all Subsidiaries of the Company together with (i) the jurisdiction of organization of each such Subsidiary, (ii) for each such Subsidiary that is not wholly owned (directly or indirectly) by the Company, the percentage of issued and outstanding equity interests owned directly or indirectly by the Company and (iii) the Company’s or its Subsidiaries’ capital stock, equity interest or other direct or indirect ownership interest in any other Person other than the Company or any Subsidiary (other than securities in a publicly traded company held for investment by the Company or any of its Subsidiaries and consisting of less than 1% of the outstanding capital stock of such Person). As of the date hereof, the Company has made available to Parent accurate and complete copies of the Organizational Documents of each of the Company and its Subsidiaries as amended to date and currently in effect.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the Company consists of (i) 23,800,000 shares of Company Class A Common Stock, (ii)5,000,000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At the close of business on August 19, 2024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 14,483,110 shares of Company Class A Common Stock were issued and outstanding; (B) 691,687 shares of Company Class A Common Stock were underlying the Company RSUs; (C) 80,352 shares of Company Class A Common Stock were underlying the Company Options;</w:t>
      </w:r>
    </w:p>
    <w:p>
      <w:pPr>
        <w:spacing w:after="0" w:line="3" w:lineRule="exact"/>
        <w:rPr>
          <w:rFonts w:ascii="Times New Roman" w:cs="Times New Roman" w:eastAsia="Times New Roman" w:hAnsi="Times New Roman"/>
          <w:sz w:val="18"/>
          <w:szCs w:val="18"/>
          <w:color w:val="auto"/>
        </w:rPr>
      </w:pPr>
    </w:p>
    <w:p>
      <w:pPr>
        <w:jc w:val="both"/>
        <w:ind w:firstLine="8"/>
        <w:spacing w:after="0" w:line="252"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14,483,110 Company Holdco Units were issued and outstanding and held by the Company; (E) 2,405,760 Company Holdco Units and 2,405,760 shares of Company Class V Common Stock were issued and outstanding and not held by the Company or any of its Subsidiaries and were together exchangeable for 2,405,760 shares of Company Class A Common Stock pursuant to the Company Holdco LLC Agreement and the Organizational Documents of the Company; (F) 5,989.407 shares of Company Series C Preferred Stock were issued and outstanding; (G) 0 shares of Company Series D Preferred Stock were issued and outstanding; (H) Company Warrants to purchase 3,976,026 shares of Company Class A Common Stock were outstanding; and (I) 1,652,269 shares of Company Class A Common Stock remained available for issuance pursuant to the Company Equity Plans.</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Company Common Stock and Company Series C Preferred Stock are validly issued, fully paid and non-assessable and are not subject to preemptive rights. All outstanding shares of Company Common Stock and Company Series C Preferred Stock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Redemption Right (as defined in the Company Holdco LLC Agreement), there are no outstanding restricted stock, restricted stock units, phantom units or other equity-related awards, options, warrants or other rights to subscribe for, purchase or acquire from the Company or any of its Subsidiaries any capital stock of the Company or securities convertible into or exchangeable or exercisable for capital stock of the Company. All outstanding shares of capital stock or other equity interests of the Subsidiaries of the Company are validly issued, fully paid and non-assessable, are owned by the Company or Company Holdco or by a wholly owned Subsidiary of the Company or Company Holdco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except for changes since the Measurement Date resulting from the vesting of Company RSUs, the conversion of Company Preferred Stock, the exercise of Company Options, Company Warrants, or the exchange of Company Holdco Units, in each case outstanding at such date (and the issuance of shares thereunder), or stock issuances, grants or other awards granted in accordance with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there are outstanding:</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Company Capital Stock, (B) no Voting Debt, (C) no securities of the Company or any Subsidiary of the Company convertible into or exchangeable or exercisable for shares of Company Capital Stock or Voting Debt and (D)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any Voting Debt or other voting securities of the Company, or obligating the Company or any Subsidiary of the Company to grant, extend or enter into any such option, warrant, subscription, call, right, commitment or agreement. There are not any stockholder agreements, voting trusts or other agreements to which the Company is a party or by which it is bound relating to the voting of any shares of Company Capital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304"/>
        <w:spacing w:after="0" w:line="253" w:lineRule="auto"/>
        <w:tabs>
          <w:tab w:leader="none" w:pos="15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Company Options or Company RSUs other than those granted pursuant to the Company Equity Plans. </w:t>
      </w:r>
      <w:r>
        <w:rPr>
          <w:rFonts w:ascii="Times New Roman" w:cs="Times New Roman" w:eastAsia="Times New Roman" w:hAnsi="Times New Roman"/>
          <w:sz w:val="18"/>
          <w:szCs w:val="18"/>
          <w:u w:val="single" w:color="auto"/>
          <w:color w:val="auto"/>
        </w:rPr>
        <w:t>Schedule 4.2(c)-1</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outstanding Company Options (by grantee identification number), whether or not granted under the Company Equity Plans, including the number of shares of Company Common Stock subject to each such option, the date of grant, the exercise or vesting schedule (including identification of any Company Options that may be exercised in advance of vesting), the vesting commencement date and the terms of any acceleration thereof, the extent vested and unvested as of the Measurement Date, the exercise price per share, the Tax status of such option under Section 422 of the Code (or any intended applicable foreign Tax Law), the plan from which such Company Option was granted, the term of each such Company Option and the country of residence of each such holder. </w:t>
      </w:r>
      <w:r>
        <w:rPr>
          <w:rFonts w:ascii="Times New Roman" w:cs="Times New Roman" w:eastAsia="Times New Roman" w:hAnsi="Times New Roman"/>
          <w:sz w:val="18"/>
          <w:szCs w:val="18"/>
          <w:u w:val="single" w:color="auto"/>
          <w:color w:val="auto"/>
        </w:rPr>
        <w:t>Schedule 4.2(c)-2</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Company RSUs (by grantee identification number), including the number of shares of Company Common Stock remaining subject to issuance under such Company RSUs, the vesting schedule, the vesting commencement date and the terms of any acceleration thereof, the plan from which such Company RSU was granted and the country of residence of each such holder.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No Violations;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and deliver this Agreement and to perform its obligations hereunder. The execution and delivery of this Agreement by the Company and the consummation by the Company of the Transactions have been duly authorized by all necessary corporate action on the part of the Company, subject, with respect to consummation of the Merger, to the Company Stockholder Approval. This Agreement has been duly executed and delivered by the Company and, assuming this Agreement constitutes the valid and binding obligation of Parent, BMS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xml:space="preserve">”). The Company Board, at a meeting duly called and held, (i) determined that this Agreement and the transactions contemplated hereby, including the Merger, are in the best interests of the holders of Company Common Stock, (ii) approved and declared advisable the execution, delivery and performance of this Agreement and the transactions contemplated hereby, including the Merger, and (iii) resolved to recommend that the holders of Company Common Stock approve this Agreement and the transactions contemplated hereby, including the Merger (such recommendation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Company Stockholder Approval is the only vote of the holders of any class or series of the Company Capital Stock necessary to approve and adopt this Agreement and the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304"/>
        <w:spacing w:after="0" w:line="253" w:lineRule="auto"/>
        <w:tabs>
          <w:tab w:leader="none" w:pos="1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the Company (assuming that the Company Stockholder Approval is obtained), (ii) other than the Company Credit Agreement, result in a violation of, or default under, or acceleration of any material obligation or the loss of a material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Company Material Adverse Effect.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Company or any of its Subsidiaries in connection with the execution, delivery and performance of this Agreement by the Company or the consummation by the Company of the Transactions, except for: (a) the filing of a premerger notification report by the Company under the Hart-Scott-Rodino Antitrust Improvements Act of 1976 (the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expiration or termination of the applicable waiting period with respect thereto, if applicable; (b) the filing with the SEC of (i) a proxy statement/prospectus in preliminary and definitive form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relating to the meeting of the stockholders of the Company to consider the approval of this Agreement and the Transactions (including any postponement, adjournment or recess thereof,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Meeting</w:t>
      </w:r>
      <w:r>
        <w:rPr>
          <w:rFonts w:ascii="Times New Roman" w:cs="Times New Roman" w:eastAsia="Times New Roman" w:hAnsi="Times New Roman"/>
          <w:sz w:val="18"/>
          <w:szCs w:val="18"/>
          <w:color w:val="auto"/>
        </w:rPr>
        <w:t xml:space="preserve">”)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NASDAQ;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 and (g) any such Consent that the failure to obtain or make would not reasonably be expected to have, individually or in the aggregate, a Company Material Adverse Effect.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filed or furnished with the SEC all forms, reports and statements required to be filed or furnished under the Securities Act or the Exchange Act, respectively (such forms, reports and statements,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304"/>
        <w:spacing w:after="0" w:line="254" w:lineRule="auto"/>
        <w:tabs>
          <w:tab w:leader="none" w:pos="15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as of their respective dates and the results of operations and the cash flows of the Company and its consolidated Subsidiaries for the periods presented therein.</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complies with the applicable requirements of the Exchange Act and has been designed to provide reasonable assurance that:</w:t>
      </w:r>
    </w:p>
    <w:p>
      <w:pPr>
        <w:jc w:val="both"/>
        <w:ind w:firstLine="8"/>
        <w:spacing w:after="0" w:line="252" w:lineRule="auto"/>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In the last three (3) years, the Company has not had: (i) any significant deficiency or material weakness in the design or operation of its internal control over financial reporting that is reasonably likely to adversely affect the Company’s ability to record, process, summarize and report financial information; or (ii) any fraud that involves management or any other employee who has (or has had) a significant role in the Company’s internal control over financial reporting.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13a-15 or 15d-15 under the Exchange Act. Such disclosure controls and procedures comply with the applicable requirements of the Exchange Act and have been designed to ensure that all material information concerning the Company and its Subsidiaries is made known on a timely basis to the individuals responsible for the preparation of the Company’s filings with the SEC and other public disclosure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through the date of this Agreement, there has not been any Company Material Adverse Effect or any event, change, effect or development that, individually or in the aggregate, would reasonably be expected to have a Company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right="20" w:firstLine="1304"/>
        <w:spacing w:after="0" w:line="282"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Company Balance Sheet Date through the date of this Agreement, the Company and its Subsidiaries have conducted their business in the ordinary course of business in all material respects.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the Company or any of its Subsidiaries of any kind whatsoever, whether accrued, contingent, absolute, determined, determinable or otherwise, other than: (a) liabilities adequately provided for on the Company’s balance sheet as of June 30, 2024 or the notes thereto included in the Company’s Quarterly Report on Form 10-Q for the quarter ended June 30, 2024; (b) liabilities not required to be presented on the face of a balance sheet in accordance with GAAP;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(f) liabilities that would not reasonably be expected to have, individually or in the aggregate, a Company Material Adverse Effect. There are no liabilities of the Company or any of its Subsidiaries under the Specified Debt Agreements.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for inclusion or incorporation by reference in (a) the registration statement on Form F-4 (of which the Proxy Statement/Prospectus will form a part) to be filed with the SEC by Parent in connection with the issuance of Parent Common Shares in the Merger (including any amendments or supplements,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in the form mailed to stockholders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by the Company with respect to statements made therein based on information supplied by Parent, BMS and Merger Sub specifically for inclusion or incorporation by reference therein.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Company Permits; 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all material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The Company and its Subsidiaries are in compliance with the terms of the Company Permits in all material respects. In the last three (3) years, neither the Company nor any of its Subsidiaries has received any written, or to the knowledge of the Company, oral, notice from any Governmental Entity regarding (i) any actual or possible material violation of any Company Permit, or any failure to comply in any material respect with any term or requirement of any Company Permit or (ii) any actual or possible revocation, withdrawal, suspension, cancellation, termination or modification of any Company Permit.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304"/>
        <w:spacing w:after="0" w:line="255"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are not currently being conducted, and at no time within the last three (3) years have been conducted, in violation of any applicable Law in any material respect. As of the date of this Agreement, no investigation or review by any Governmental Entity with respect to the Company or any of its Subsidiaries is pending or, to the knowledge of the Company, threatened, other than those the outcome of which would not reasonably be expected to, individually or in the aggregate, result in a material liability to the Company or its Subsidiaries, taken as a whole. In the last three (3) years, neither the Company nor any of its Subsidiaries has received any written, or to the knowledge of the Company, oral, notice of violation with respect to any applicable Law or any inquiry, subpoena, civil investigative demand, or other investigational inquiry from a Governmental Entity with respect thereto.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Compensation;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4.10(a)</w:t>
      </w:r>
      <w:r>
        <w:rPr>
          <w:rFonts w:ascii="Times New Roman" w:cs="Times New Roman" w:eastAsia="Times New Roman" w:hAnsi="Times New Roman"/>
          <w:sz w:val="18"/>
          <w:szCs w:val="18"/>
          <w:color w:val="auto"/>
        </w:rPr>
        <w:t xml:space="preserve"> of the Company Disclosure Letter is a list, as of the date hereof, of all of the material Employee Benefit Plans sponsored, maintained, or contributed to or required to be contributed to by the Company or any of its Affiliates (without regard to materiality,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plan documents, including any amendments thereto, of each of the Company Plans (or if any such Company Plan is not in writing, a written description of such Company Plan) and related trust documents, summary plan descriptions (including any summaries of material modifications thereto) and favorable determination letters, if applicable, have been furnished or made available to Parent or its Representatives, along with the most recent report filed on Form 5500 with respect to each Company Plan required to file a Form 5500.</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maintained, operated, administered and funded in all material respects in accordance with its terms and in material compliance with all applicable Laws. Each Company Plan that constitutes in any part a “nonqualified deferred compensation plan” (as defined under Section 409A(d)(1) of the Code) subject to Section 409A of the Code has been operated and administered in material operational compliance with, and is in all respects in documentary compliance with, Section 409A of the Code, and no amount under any such Company Plan is or has been subject to the interest and additional Tax set forth under Section 409A(a)(1)(B) of the Code.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intended to be “qualified” within the meaning of Section 401(a) of the Code, (i) each such Company Plan has received a favorable determination letter (or opinion or advisory letter, if applicable) from the Internal Revenue Service with respect to its qualification, (ii) the trusts maintained thereunder are intended to be exempt from taxation under Section 501(a) of the Code and (iii) to the knowledge of the Company, no event has occurred or condition exists that could reasonably be expected to result in disqualification of such Company Plan or adversely affect the tax-exemption of its related trust.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304"/>
        <w:spacing w:after="0" w:line="258" w:lineRule="auto"/>
        <w:tabs>
          <w:tab w:leader="none" w:pos="15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suits or claims pending (other than routine claims for benefits) or, to the knowledge of the Company, threatened against, or with respect to, any of the Company Plans, except for such pending actions, suits, claims or Proceedings that would not reasonably be expected to result in a material liability to the Company of its Affiliates. No Company Plan is, or within the last six years has been, the subject of an examination, investigation or audit by a Governmental Entity, or is the subject of an application or filing under, or a participant in, a government-sponsored amnesty, voluntary compliance, self-correction or similar program.</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unfunded benefit obligations that have not been properly accrued for in the Company’s financial statements or disclosed in the notes thereto in accordance with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member of its Aggregated Group sponsors, maintains, contributes to, has an obligation to contribute to, or has ever sponsored, maintained, contributed to or has had an obligation to contribute to, and no Company Plan is, (i) a plan subject to Title IV of ERISA (including a multiemployer plan within the meaning of Section 3(37) of ERISA), Section 302 of ERISA, or Section 412 of the Code, (ii) a multiple employer plan that is subject to Section 413(c) of the Code, (iii) a multiple employer welfare arrangement, as defined in Section 3(40) of ERISA or (iv) a Company Plan that obligates the Company to provide a current or former employee, consultant, director or other service provider (or any beneficiary or dependent thereof) of the Company, any life insurance or medical or health benefits after his or her termination of employment or service with the Company, other than as required under Part 6 of Subtitle B of Title I of ERISA, Section 4980B of the Code or any similar state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neither the Company nor its Subsidiaries have engaged in, and to the knowledge of the Company, no other Person has engaged in, any non-exempt “prohibited transaction” (as defined in Section 406 of ERISA or Section 4975 of the Code) and</w:t>
      </w:r>
    </w:p>
    <w:p>
      <w:pPr>
        <w:jc w:val="both"/>
        <w:ind w:firstLine="8"/>
        <w:spacing w:after="0" w:line="255"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Affiliates or, to the knowledge of the Company, any other “fiduciary” (as defined in Section 3(21) of ERISA) has any liability for breach of fiduciary duty or any other failure to act or comply in connection with the administration or investment of the assets of such Company Plan that, in either case, would reasonably be expected to result in a material liability to the Company or any of its Subsidiaries.</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4.10(i)</w:t>
      </w:r>
      <w:r>
        <w:rPr>
          <w:rFonts w:ascii="Times New Roman" w:cs="Times New Roman" w:eastAsia="Times New Roman" w:hAnsi="Times New Roman"/>
          <w:sz w:val="18"/>
          <w:szCs w:val="18"/>
          <w:color w:val="auto"/>
        </w:rPr>
        <w:t xml:space="preserve"> of the Company Disclosure Letter, neither the execution and delivery of this Agreement, nor the consummation of the transactions contemplated hereby, either alone or in combination with another event, could: (i) entitle any current or former individual service provider of the Company or any Subsidiary (or any dependent or beneficiary thereof) to any payment of compensation; (ii) increase the amount of compensation or benefits due to any such person; (iii) accelerate the vesting, funding or time of payment of any compensation or benefit; (iv) require a contribution by the Company or any Subsidiary to any Company Plan; (v) result in any payments or benefits that, individually or in combination with any other payment or benefit, could constitute the payment of any “excess parachute payment” within the meaning of Section 280G of the Code or in the imposition of an excise Tax under Section 4999 of the Code; or (vi) trigger any Tax gross-up, Tax equalization or other Tax reimbursement payment from the Company or any Subsidiary to any individual service provider of the Company or any Subsidiary.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neither the Company nor any of its Subsidiaries is a party to or bound by any labor union agreement, collective bargaining agreement, or other labor-related agreement or arrangement with any labor union, similar labor organization or works council, no employees of the Company or any of its Subsidiaries are represented by any labor union, similar labor organization or works council and there are no labor agreements, collective bargaining agreements or any other labor-related agreements or labor union arrangements that pertain to any of the employees of the Company or its Subsidiaries, (ii) there is no pending union representation petition involving employees of the Company or any of its Subsidiaries, and (iii) to the knowledge of the Company, there have been no labor union organizing activities with respect to any employees of the Company or its Subsidiaries.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three (3) years, there has been no actual or, to the knowledge of the Company, threatened unfair labor practice charge, material grievance, material arbitration, strike, dispute, slowdown, work stoppage, lockout, picketing, hand billing or other labor union-related dispute against or affecting the Company or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in all material respects with all applicable Laws respecting labor, employment, and employment practices, and for the last three (3) years there have been no material Proceedings pending or, to the knowledge of the Company, threatened against the Company or any of its Subsidiaries, by or on behalf of any applicant for employment, any current or former employee or any class of the foregoing, relating to any applicable Laws respecting employment and employment practices, or alleging breach of any express or implied contract of employment, wrongful termination of employment, or alleging any other discriminatory, wrongful or tortious conduct in connection with the employment relationship. Within the last three (3) years, neither the Company nor any of its Subsidiaries has received any material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entered into a settlement agreement with a current or former director, officer, employee or independent contractor of the Company or its Subsidiaries that involves allegations relating to sexual harassment, sexual misconduct or discrimination by either (i) an officer of the Company or its Subsidiaries or (ii) an employee of the Company or its Subsidiaries at the level of Vice President or above. To the knowledge of the Company, in the last five (5) years, no allegations of sexual harassment, sexual misconduct or discrimination have been made against</w:t>
      </w:r>
    </w:p>
    <w:p>
      <w:pPr>
        <w:spacing w:after="0" w:line="2"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officer of the Company or its Subsidiaries or (ii) an employee of the Company or its Subsidiaries at a level of Vice President or above.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or any of its Subsidiaries is in any respect in violation of any term of any employment agreement, nondisclosure agreement, common law nondisclosure obligation, fiduciary duty, non-competition agreement, restrictive covenant or other obligation: (i) to the Company or any of its Subsidiaries or (ii) to a former employer of any such employee relating (A) to the right of any such employee to be employed by the Company or any of its Subsidiaries or (B) to the knowledge or use of trade secrets or proprietary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caused to be prepared and timely filed (taking into account valid extensions of time to file) all material Tax Returns required to be filed by it, and all such filed Tax Returns are true, complete and accurate in all material respects.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Company or any of its Subsidiaries have been timely paid or adequate reserves in respect thereof have been established in the Company’s financial statements in accordance with GAAP.</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properly and timely withheld or collected and timely paid, or is properly holding for timely payment, all material Taxes required to be withheld, collected and paid over by it under applicable Tax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from any Taxing Authority written notice of any pending audit, examination, or other proceeding in respect of Taxes of the Company or any of its Subsidiaries, and no audit, examination or other proceeding in respect of Taxes of the Company or any of its Subsidiaries is ongoing.</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proposed or asserted in writing or assessed by any Governmental Entity against the Company or any of its Subsidiaries that remains unpaid or unresolved.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(or is subject to) any waiver or extension of the statute of limitations for the assessment or collection of any material amount of Tax, which waiver or extension is not yet expired.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four (4) years, no written claim has been received by the Company or any of its Subsidiaries from a Governmental Entity in a jurisdiction in which neither the Company nor any of its Subsidiaries files income or franchise Tax Returns that the Company or any of its Subsidiaries is or may be subject to income or franchise taxation by, or required to file any income or franchise Tax Return in, that jurisdiction.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of corporations filing a consolidated U.S. federal income Tax Return (other than a group the common parent of which is the Company) or has any liability for Taxes of any Person (other than the Company and its current and former Subsidiaries) under U.S. Treasury Regulations Section 1.1502-6 (or any similar provision of U.S. state or local or non-U.S. Tax Law) or by operation of Law as a transferee or successor.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neither the Company nor any of its Subsidiaries was a distributing corporation or a controlled corporation in a transaction intended to be governed by Section 355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66" w:lineRule="auto"/>
        <w:tabs>
          <w:tab w:leader="none" w:pos="15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or has any obligation under, any Tax sharing or allocation contract or arrangement, other than (i) contracts solely among the Company and any of its Subsidiaries, (ii) customary Tax sharing or indemnification provisions in contracts the primary purpose of which does not relate to Taxes and (iii) the Tax Receivable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closing agreements, gain recognition agreements, private letter rulings, or similar agreements or rulings that have been entered into between any Taxing Authority and any of the Company or its Subsidiaries, or issued by any Taxing Authority to the Company or any of its Subsidiaries, that are binding on the Company or any of its Subsidiaries.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 Section 1.6011-4(b)(2).</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1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will be required to include any material amount in, or exclude any material amount of deduction from, taxable income for any Tax period ending after the Closing Date as a result of any (1) change in method of accounting pursuant to Section 481 of the Code (or any analogous provision under state or foreign Tax Laws) made prior to the Closing Date, (2) installment sale or open transaction entered into prior to the Closing Date, or (3) prepaid amount received on or prior to the Closing Date.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treated as a corporation for U.S. federal income tax purposes, and the Company Holdco is treated as a partnership for U.S. federal income tax purposes.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on any of the assets of the Company or any of its Subsidiaries, other than Permitted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is not and has not been a “United States real property holding corporation” within the meaning of Section 897(c)(2) of the Code and the applicable Treasury Regulations during the five (5)-year period ending on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Within the last three (3) years, there has been no material (a) Proceeding pending, or, to the knowledge of the Company, threatened against the Company or any of its Subsidiaries or (b) judgment, decree, injunction, ruling or order of any Governmental Entity or arbitrator outstanding against the Company or any of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of the Company Disclosure Letter sets forth, as of the date of this Agreement, a correct and complete list of: (i) all real property owned by the Company or any of its Subsidiaries (together with all buildings, structures, improvements and fixtures located thereon,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including a description of each vesting deed therefor and the applicable Company Owned Real Property corresponding thereto; (ii) all leases, subleases, licenses or similar occupancy agreements to which the Company or any of its Subsidiaries is a party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and all real property subject thereto, including all improvements located thereon,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including a description of each Company Real Property Lease (including any material amendments thereto); and (iii) to the knowledge of the Company, all easements, rights-of-way or similar instruments under which the Company or any of its Subsidiaries is the named beneficiary that are material to the operation of the businesses of the Company or any of its Subsidiaries (collectively,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and the real property subject thereto, including any improvements, structures or fixtures located thereon or thereunder, collectively, the “</w:t>
      </w:r>
      <w:r>
        <w:rPr>
          <w:rFonts w:ascii="Times New Roman" w:cs="Times New Roman" w:eastAsia="Times New Roman" w:hAnsi="Times New Roman"/>
          <w:sz w:val="18"/>
          <w:szCs w:val="18"/>
          <w:u w:val="single" w:color="auto"/>
          <w:color w:val="auto"/>
        </w:rPr>
        <w:t>Company Easement Real Property</w:t>
      </w:r>
      <w:r>
        <w:rPr>
          <w:rFonts w:ascii="Times New Roman" w:cs="Times New Roman" w:eastAsia="Times New Roman" w:hAnsi="Times New Roman"/>
          <w:sz w:val="18"/>
          <w:szCs w:val="18"/>
          <w:color w:val="auto"/>
        </w:rPr>
        <w:t xml:space="preserve">”), including a description of each Company Real Property Easement (including any material amendments thereto). The Company has made available to Parent, in all material respects, a complete copy of each (A) Company Real Property Lease and Company Real Property Easement (including, without limitation, any and all amendments, assignments, guarantees, master leases, ground leases or similar documentation related thereto) and (B) with respect to the Company Owned Real Property, the vesting deeds, the most-recent owner’s title insurance policies and most-recent surveys, in each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possession, or within the reasonable control, of the Company or its Subsidiaries.</w:t>
      </w:r>
    </w:p>
    <w:p>
      <w:pPr>
        <w:spacing w:after="0" w:line="19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its applicable Subsidiary (i) has good and valid title to all Company Owned Real Property and (ii) except as would not reasonably be expected to have, individually or in the aggregate, a Company Material Adverse Effect, (A) a valid leasehold or subleasehold interest in, or other valid right to use or otherwise occupy, each Company Leased Real Property and (B) a valid easement interest in, or other valid right to use or otherwise occupy, each Company Easement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free and clear of all Encumbrances, except Permitted Encumbrances.</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Real Property Lease and each Company Real Property Easement: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9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Real Property Lease or Company Real Property Easement is in full force and effect and is a valid and enforceable obligation of the Company (or its applicable Subsidiary) and, to the knowledge of the Company, each other party thereto, in accordance with its terms (subject, as to enforceability, to Creditors’ Rights); and</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to the knowledge of the Company, any other party thereto, is in default under any Company Real Property Lease or Company Real Property Easement, and no event has occurred which, with the delivery of notice, the passage of time or both, would constitute a default thereunder and (B) all amounts due and payable by the Company or any Subsidiary thereof under each Company Real Property Lease and Company Real Property Easement have been paid in full.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560" w:hanging="256"/>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Owned Real Property:</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71"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4.14(d)(i)</w:t>
      </w:r>
      <w:r>
        <w:rPr>
          <w:rFonts w:ascii="Times New Roman" w:cs="Times New Roman" w:eastAsia="Times New Roman" w:hAnsi="Times New Roman"/>
          <w:sz w:val="18"/>
          <w:szCs w:val="18"/>
          <w:color w:val="auto"/>
        </w:rPr>
        <w:t xml:space="preserve"> of the Company Disclosure Letter, to the knowledge of the Company, policies of title insurance have been issued, insuring, as of the effective date of each such insurance policy, the title interest held by the Company or its applicable Subsidiary;</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is in default under any easement, covenant, condition, restriction or other agreement to which such Company Owned Real Property is subject and (B) all buildings, structures, fixtures, building systems, improvements and equipment located in or on, or otherwise included in the Company Owned Real Property, (1) are in reasonably sufficient condition and repair, subject to reasonable wear and tear, (2) are adequate and suitable for the purposes currently being used by the Company or its applicable Subsidiary, and (3) are supplied with all utilities and other services necessary to continue to be used in the manner currently being used by the Company or its applicable Subsidiary; and</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9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Permitted Encumbrances or as set forth on </w:t>
      </w:r>
      <w:r>
        <w:rPr>
          <w:rFonts w:ascii="Times New Roman" w:cs="Times New Roman" w:eastAsia="Times New Roman" w:hAnsi="Times New Roman"/>
          <w:sz w:val="18"/>
          <w:szCs w:val="18"/>
          <w:u w:val="single" w:color="auto"/>
          <w:color w:val="auto"/>
        </w:rPr>
        <w:t>Schedule 4.14(d)(iii)</w:t>
      </w:r>
      <w:r>
        <w:rPr>
          <w:rFonts w:ascii="Times New Roman" w:cs="Times New Roman" w:eastAsia="Times New Roman" w:hAnsi="Times New Roman"/>
          <w:sz w:val="18"/>
          <w:szCs w:val="18"/>
          <w:color w:val="auto"/>
        </w:rPr>
        <w:t xml:space="preserve"> of the Company Disclosure Letter, to the knowledge of the Company, there are no Persons (other than the Company or any Subsidiary thereof) that legally owns, or holds a present or future right in, any coal, oil, gas, minerals, or other resources beneath the surface of any Company Owned Real Property, including the right to mine therefor or otherwise access or use the same.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8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Company Owned Real Property, Company Leased Real Property and Company Easement Real Property (collectively,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18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w:t>
      </w:r>
      <w:r>
        <w:rPr>
          <w:rFonts w:ascii="Times New Roman" w:cs="Times New Roman" w:eastAsia="Times New Roman" w:hAnsi="Times New Roman"/>
          <w:sz w:val="18"/>
          <w:szCs w:val="18"/>
          <w:color w:val="auto"/>
        </w:rPr>
        <w:t xml:space="preserve"> of the Company Disclosure Letter, (A) neither the Company nor any Subsidiary thereof is obligated under contractual agreements to acquire any interest in real property for which the consideration, individually or in the aggregate, exceeds $500,000, and to the knowledge of the Company, no such contractual agreements exist with respect to any other real property,</w:t>
      </w:r>
    </w:p>
    <w:p>
      <w:pPr>
        <w:spacing w:after="0" w:line="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7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hereunder in connection with the Transactions, neither the Company nor any Subsidiary thereof has granted any outstanding options or purchase agreements, rights of first offer or first refusal or any other rights (whether present or future) in favor of any Person to purchase or otherwise acquire an interest in any Company Real Property, or portion thereof, and to the knowledge of the Company no such agreements exist, and (C) neither the Company nor any Subsidiary thereof has granted to any Person the right (whether present or future) to use or occupy all or any portion of the Company Real Property, whether pursuant to a lease, assignment, sublease, license or other agreement, other than temporary licenses that are necessary for the present conduct of the respective businesses of the Company and its Subsidiaries in the ordinary course.</w:t>
      </w:r>
    </w:p>
    <w:p>
      <w:pPr>
        <w:spacing w:after="0" w:line="188"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Real Property (including any buildings, structures, improvements and fixtures located thereon) and the current use and operation thereof by the Company or its Subsidiaries in the ordinary course do not violate any applicable zoning, building or other Laws to which such Company Real Property is subject, and, as of the date of this Agreement, there does not exist any pending or, to the knowledge of the Company, threatened, zoning, condemnation, eminent domain, or similar Proceedings that relate to or affect any Company Real Property (including any material portion thereof), and (B) as of the date of this Agreement, no real property other than the Company Real Property is necessary for the conduct of the respective businesses of the Company and its Subsidiaries in the ordinary course;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60" w:firstLine="1292"/>
        <w:spacing w:after="0" w:line="261" w:lineRule="auto"/>
        <w:tabs>
          <w:tab w:leader="none" w:pos="227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4.14(e)(iii)</w:t>
      </w:r>
      <w:r>
        <w:rPr>
          <w:rFonts w:ascii="Times New Roman" w:cs="Times New Roman" w:eastAsia="Times New Roman" w:hAnsi="Times New Roman"/>
          <w:sz w:val="18"/>
          <w:szCs w:val="18"/>
          <w:color w:val="auto"/>
        </w:rPr>
        <w:t xml:space="preserve"> of the Company Disclosure Letter, to the knowledge of the Company, no consent by or notice to any Person (including, without limitation, landlords or sublandlords) or any other action is required under any agreement or instrument relating to or affecting any Company Real Property in connection with the execution, delivery or performance of this Agreement or the consummation of the Transactions; and</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6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4.14(e)(iv)</w:t>
      </w:r>
      <w:r>
        <w:rPr>
          <w:rFonts w:ascii="Times New Roman" w:cs="Times New Roman" w:eastAsia="Times New Roman" w:hAnsi="Times New Roman"/>
          <w:sz w:val="18"/>
          <w:szCs w:val="18"/>
          <w:color w:val="auto"/>
        </w:rPr>
        <w:t xml:space="preserve"> of the Company Disclosure Letter, no capital improvement work, renovations or similar work with respect to all or any portion of the Company Real Property is currently being conducted by (or on behalf of) the Company or any Subsidiary thereof, other than such work that is in the ordinary course of business and does not exceed $500,000 in the aggregate.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4.15 Intellectual Property.</w:t>
      </w:r>
    </w:p>
    <w:p>
      <w:pPr>
        <w:spacing w:after="0" w:line="225" w:lineRule="exact"/>
        <w:rPr>
          <w:sz w:val="20"/>
          <w:szCs w:val="20"/>
          <w:color w:val="auto"/>
        </w:rPr>
      </w:pPr>
    </w:p>
    <w:p>
      <w:pPr>
        <w:jc w:val="both"/>
        <w:ind w:firstLine="1304"/>
        <w:spacing w:after="0" w:line="266" w:lineRule="auto"/>
        <w:tabs>
          <w:tab w:leader="none" w:pos="15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a valid right to use, free and clear of all Encumbrances other than Permitted Encumbrances, all material Intellectual Property used or held for use in or for the operation of the businesses of each of the Company and its Subsidiaries as currently conducted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use of the Company Intellectual Property in the operation of the businesses of each of the Company and its Subsidiaries as currently conducted does not infringe, misappropriate or otherwise violate any Intellectual Property of any other Person and (ii) as of the date of this Agreement, to the knowledge of the Company, no third party is infringing, misappropriating or otherwise violating any Company Intellectual Property that is owned or purported to be owned by the Company or its Subsidiaries.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IT Systems (i) are adequate and suitable for the purposes for which they are currently being used and (ii) do not contain any undisclosed or hidden device or feature or any “back door,” “time bomb,” “Trojan horse,” “worm,” “drop dead device,” or similar disabling code or routines (A) designed to disrupt, disable, or otherwise impair the functioning of such IT Systems or (B) that permits unauthorized access to, or the unauthorized disablement or erasure of, such IT Systems or other software or information or data (or any parts thereof) of the Company or its Subsidiaries. The IT Systems are designed, implemented and maintained in accordance with customary industry standards and constitute all the information technology systems infrastructure reasonably necessary for the operation of the businesses of each of the Company and its Subsidiaries as currently conducted, in each case, except as would not reasonably be expected to have, individually or in the aggregate,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Environmental Matters.</w:t>
      </w:r>
    </w:p>
    <w:p>
      <w:pPr>
        <w:spacing w:after="0" w:line="225" w:lineRule="exact"/>
        <w:rPr>
          <w:sz w:val="20"/>
          <w:szCs w:val="20"/>
          <w:color w:val="auto"/>
        </w:rPr>
      </w:pPr>
    </w:p>
    <w:p>
      <w:pPr>
        <w:ind w:right="20" w:firstLine="1304"/>
        <w:spacing w:after="0" w:line="282" w:lineRule="auto"/>
        <w:tabs>
          <w:tab w:leader="none" w:pos="15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operations and assets are and, except for such matters that have been fully resolved or for which the applicable statute of limitations has expired, have been, in compliance with Environmental Laws in all material respects;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facts, conditions, circumstances that will require material, unbudgeted capital expenditures, increased operating expenses, or operational changes in order for the Company to maintain material compliance with all applicable Environmental Laws or any reasonably anticipated changes to such Environmental Laws;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subject to any pending or, to the Company’s knowledge, threatened material Proceedings under Environmental 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(i) currently or, to the knowledge of the Company, formerly owned, operated or otherwise used by the Company or any of its Subsidiaries; (ii) to the knowledge of the Company, owned, operated or used by any predecessors of the Company or any Subsidiary of the Company; or (iii) to the knowledge of the Company, where Hazardous Materials from the Company’s or its Subsidiaries’ operations have been sent for treatment, disposal, storage or handling, which Releases are reasonably likely to result in material liability to the Company or any of its Subsidiaries under Environmental Law. As of the date of this Agreement, neither the Company nor any of its Subsidiaries has received any written notice asserting a material liability or obligation under any Environmental Laws with respect to the investigation, remediation, removal, or monitoring of the Release of any Hazardous Materials at or from any property; and</w:t>
      </w:r>
    </w:p>
    <w:p>
      <w:pPr>
        <w:spacing w:after="0" w:line="188" w:lineRule="exact"/>
        <w:rPr>
          <w:rFonts w:ascii="Times New Roman" w:cs="Times New Roman" w:eastAsia="Times New Roman" w:hAnsi="Times New Roman"/>
          <w:sz w:val="18"/>
          <w:szCs w:val="18"/>
          <w:color w:val="auto"/>
        </w:rPr>
      </w:pPr>
    </w:p>
    <w:p>
      <w:pPr>
        <w:jc w:val="both"/>
        <w:ind w:left="180" w:firstLine="1286"/>
        <w:spacing w:after="0" w:line="261" w:lineRule="auto"/>
        <w:tabs>
          <w:tab w:leader="none" w:pos="17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all material environmental investigations, studies, audits, or other analyses conducted by or on behalf of, or that are in the reasonable possession of, the Company or its Subsidiaries with respect to the Company’s or its Subsidiaries’ compliance with Environmental Laws (including with respect to any reasonably anticipated changes in applicable Environmental Laws) or environmental conditions at any property currently or formerly owned, operated or otherwise used by the Company or any of its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Material Contracts.</w:t>
      </w:r>
    </w:p>
    <w:p>
      <w:pPr>
        <w:spacing w:after="0" w:line="225" w:lineRule="exact"/>
        <w:rPr>
          <w:sz w:val="20"/>
          <w:szCs w:val="20"/>
          <w:color w:val="auto"/>
        </w:rPr>
      </w:pPr>
    </w:p>
    <w:p>
      <w:pPr>
        <w:ind w:left="180" w:firstLine="1286"/>
        <w:spacing w:after="0" w:line="282" w:lineRule="auto"/>
        <w:tabs>
          <w:tab w:leader="none" w:pos="1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of the Company Disclosure Letter, together with the lists of exhibits contained in the Company SEC Documents, sets forth a true and complete list, as of the date of this Agreement, of:</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(as such term is defined in Item 601(b)(10) of Regulation S-K under the Exchange Act);</w:t>
      </w:r>
    </w:p>
    <w:p>
      <w:pPr>
        <w:spacing w:after="0" w:line="225"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24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the acquisition, disposition, license, use, distribution or outsourcing of assets (including Intellectual Property rights), services, rights or properties involving, or with respect to which the Company reasonably expects that the Company or any of its Subsidiaries will make, payments in excess of $500,000 in any calendar year;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2"/>
        <w:spacing w:after="0" w:line="266" w:lineRule="auto"/>
        <w:tabs>
          <w:tab w:leader="none" w:pos="161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constitutes a commitment relating to Indebtedness for borrowed money or the deferred purchase price of property by the Company or any of its Subsidiaries (whether incurred, assumed, guaranteed or secured by any asset) in excess of $500,000, other than agreements solely between or among the Company and its Subsidiaries;</w:t>
      </w:r>
    </w:p>
    <w:p>
      <w:pPr>
        <w:spacing w:after="0" w:line="175" w:lineRule="exact"/>
        <w:rPr>
          <w:rFonts w:ascii="Times New Roman" w:cs="Times New Roman" w:eastAsia="Times New Roman" w:hAnsi="Times New Roman"/>
          <w:sz w:val="18"/>
          <w:szCs w:val="18"/>
          <w:color w:val="auto"/>
        </w:rPr>
      </w:pPr>
    </w:p>
    <w:p>
      <w:pPr>
        <w:ind w:right="20" w:firstLine="1292"/>
        <w:spacing w:after="0" w:line="282" w:lineRule="auto"/>
        <w:tabs>
          <w:tab w:leader="none" w:pos="16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 in any calendar year that are not terminable without penalty within sixty (60) days;</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15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power or electricity supply to the Company or its Subsidiaries for the purpose of Bitcoin mining, including but not limited to all agreements between PJM and the Company or any of the Company’s Subsidiaries;</w:t>
      </w:r>
    </w:p>
    <w:p>
      <w:pPr>
        <w:spacing w:after="0" w:line="161" w:lineRule="exact"/>
        <w:rPr>
          <w:rFonts w:ascii="Times New Roman" w:cs="Times New Roman" w:eastAsia="Times New Roman" w:hAnsi="Times New Roman"/>
          <w:sz w:val="18"/>
          <w:szCs w:val="18"/>
          <w:color w:val="auto"/>
        </w:rPr>
      </w:pPr>
    </w:p>
    <w:p>
      <w:pPr>
        <w:jc w:val="both"/>
        <w:ind w:firstLine="1292"/>
        <w:spacing w:after="0" w:line="266" w:lineRule="auto"/>
        <w:tabs>
          <w:tab w:leader="none" w:pos="16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primarily to Bitcoin mining, including miner purchase agreements, miner hosting agreements, infrastructure agreements, immersion cooling agreements and agreements related to research and development (including any statements of work thereto);</w:t>
      </w:r>
    </w:p>
    <w:p>
      <w:pPr>
        <w:spacing w:after="0" w:line="175" w:lineRule="exact"/>
        <w:rPr>
          <w:rFonts w:ascii="Times New Roman" w:cs="Times New Roman" w:eastAsia="Times New Roman" w:hAnsi="Times New Roman"/>
          <w:sz w:val="18"/>
          <w:szCs w:val="18"/>
          <w:color w:val="auto"/>
        </w:rPr>
      </w:pPr>
    </w:p>
    <w:p>
      <w:pPr>
        <w:ind w:left="1660" w:hanging="368"/>
        <w:spacing w:after="0"/>
        <w:tabs>
          <w:tab w:leader="none" w:pos="1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carbon sequestration in connection with the Bitcoin mining activities of the Company and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700" w:hanging="408"/>
        <w:spacing w:after="0"/>
        <w:tabs>
          <w:tab w:leader="none" w:pos="1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research and development of Bitcoin miners;</w:t>
      </w:r>
    </w:p>
    <w:p>
      <w:pPr>
        <w:spacing w:after="0" w:line="225" w:lineRule="exact"/>
        <w:rPr>
          <w:rFonts w:ascii="Times New Roman" w:cs="Times New Roman" w:eastAsia="Times New Roman" w:hAnsi="Times New Roman"/>
          <w:sz w:val="18"/>
          <w:szCs w:val="18"/>
          <w:color w:val="auto"/>
        </w:rPr>
      </w:pPr>
    </w:p>
    <w:p>
      <w:pPr>
        <w:ind w:right="20" w:firstLine="1292"/>
        <w:spacing w:after="0" w:line="282" w:lineRule="auto"/>
        <w:tabs>
          <w:tab w:leader="none" w:pos="16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the Company or a Subsidiary of the Company, on the one hand, and another Subsidiary of the Company, on the other hand;</w:t>
      </w:r>
    </w:p>
    <w:p>
      <w:pPr>
        <w:spacing w:after="0" w:line="161" w:lineRule="exact"/>
        <w:rPr>
          <w:rFonts w:ascii="Times New Roman" w:cs="Times New Roman" w:eastAsia="Times New Roman" w:hAnsi="Times New Roman"/>
          <w:sz w:val="18"/>
          <w:szCs w:val="18"/>
          <w:color w:val="auto"/>
        </w:rPr>
      </w:pPr>
    </w:p>
    <w:p>
      <w:pPr>
        <w:jc w:val="both"/>
        <w:ind w:firstLine="1292"/>
        <w:spacing w:after="0" w:line="256" w:lineRule="auto"/>
        <w:tabs>
          <w:tab w:leader="none" w:pos="15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that limits in any material respect the freedom of the Company or any of its Subsidiaries to compete or operate in any line of business or geographical area, or beneficially own any assets, properties or rights, anywhere at any time; (B) that requires the Company or any of its Subsidiaries to deal exclusively with any Person or grants any exclusive rights to any Person; (C) that contains any “most favored nation” or similar provision in favor of the counterparty; (D) that contains requirements to purchase any minimum portion of any product or service from any Person or to sell any minimum portion of any product or service to any Person; or (E) that contains a right of refusal, right of first offer or right of first negotiation or similar right with respect to a material asset owned by the Company or any of its Subsidiaries;</w:t>
      </w:r>
    </w:p>
    <w:p>
      <w:pPr>
        <w:spacing w:after="0" w:line="187"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Entity;</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16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settlement of any Proceeding during the past three (3) years which requires payment by the Company or any of its Subsidiaries in excess of $100,000 in any calendar year and under which any such payment is still owing; and</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170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or sale of (or option to purchase or sell) any material amount of the assets or properties of the Company, taken as a whole.</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Collectively, the contracts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are herein referred to as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Neither the Company nor any of its Subsidiaries, and, to the knowledge of the Company, no other Person, is in material breach or default under any Company Contract.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the Company and its Subsidiaries (“</w:t>
      </w:r>
      <w:r>
        <w:rPr>
          <w:rFonts w:ascii="Times New Roman" w:cs="Times New Roman" w:eastAsia="Times New Roman" w:hAnsi="Times New Roman"/>
          <w:sz w:val="18"/>
          <w:szCs w:val="18"/>
          <w:u w:val="single" w:color="auto"/>
          <w:color w:val="auto"/>
        </w:rPr>
        <w:t>Company Miners</w:t>
      </w:r>
      <w:r>
        <w:rPr>
          <w:rFonts w:ascii="Times New Roman" w:cs="Times New Roman" w:eastAsia="Times New Roman" w:hAnsi="Times New Roman"/>
          <w:sz w:val="18"/>
          <w:szCs w:val="18"/>
          <w:color w:val="auto"/>
        </w:rPr>
        <w:t>”) are owned or rightfully possessed by, operated by and under the control of the Company and its Subsidiaries. In the last three (3) years, there has been no failure, breakdown or continued substandard performance of any Company Miners that has caused a material disruption or interruption in or to the use of the Company Miners or the related operation of the business of Company or any of its Subsidiaries. Except as would not reasonably be expected to have, individually or in the aggregate, a Company Material Adverse Effect, the Company Miners are generally maintained and in good working condition to perform all computing, information technology and data processing operations necessary for the operations of the Company and its Subsidiaries. The Company and its Subsidiaries take and have taken commercially reasonable steps to: (a) protect the Company Miners from contaminants, hacks and other malicious external or internal threats; (b) ensure continuity of operations with adequate energy supply and minimal uptime required; and (c) provide for the remote-site back-up of data and information critical to the Company and its Subsidiaries. The Company and its Subsidiaries have in place commercially reasonable disaster recovery and business continuity plans and procedures and information and data security policies, in each case, that are consistent with generally accepted industry standards.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Regulatory Status</w:t>
      </w:r>
      <w:r>
        <w:rPr>
          <w:rFonts w:ascii="Times New Roman" w:cs="Times New Roman" w:eastAsia="Times New Roman" w:hAnsi="Times New Roman"/>
          <w:sz w:val="18"/>
          <w:szCs w:val="18"/>
          <w:color w:val="auto"/>
        </w:rPr>
        <w:t>. Each of the Scrubgrass Plant and the Panther Creek Plant is a “qualifying small power production facility” under the Public Utility Regulatory Policies Act of 1978, as amended, and the FERC’s regulations thereunder, at 18 C.F.R. Part 292, and interpretations thereof by the FERC and courts of competent jurisdiction (collectively, “</w:t>
      </w:r>
      <w:r>
        <w:rPr>
          <w:rFonts w:ascii="Times New Roman" w:cs="Times New Roman" w:eastAsia="Times New Roman" w:hAnsi="Times New Roman"/>
          <w:sz w:val="18"/>
          <w:szCs w:val="18"/>
          <w:u w:val="single" w:color="auto"/>
          <w:color w:val="auto"/>
        </w:rPr>
        <w:t>PURPA Requirements</w:t>
      </w:r>
      <w:r>
        <w:rPr>
          <w:rFonts w:ascii="Times New Roman" w:cs="Times New Roman" w:eastAsia="Times New Roman" w:hAnsi="Times New Roman"/>
          <w:sz w:val="18"/>
          <w:szCs w:val="18"/>
          <w:color w:val="auto"/>
        </w:rPr>
        <w:t>”). Each of the Scrubgrass Plant and the Panther Creek Plant is exempt from the size limitations applicable to qualifying small power production facilities in 18 C.F.R. § 292.204(a) pursuant to the Solar, Wind, Waste, and Geothermal Power Production Incentives Act of 1990. Each of the Scrubgrass Project Company and the Panther Creek Project Company (i) is not subject to the jurisdiction of FERC as a “public utility” under the FPA other than as contemplated by 18 C.F.R. § 292.601(c), (ii) has been authorized by FERC to make wholesale sales of electric energy, capacity and certain ancillary services at market-based rates pursuant to Section 205 of the FPA (“</w:t>
      </w:r>
      <w:r>
        <w:rPr>
          <w:rFonts w:ascii="Times New Roman" w:cs="Times New Roman" w:eastAsia="Times New Roman" w:hAnsi="Times New Roman"/>
          <w:sz w:val="18"/>
          <w:szCs w:val="18"/>
          <w:u w:val="single" w:color="auto"/>
          <w:color w:val="auto"/>
        </w:rPr>
        <w:t>MBR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and has received those blanket authorizations and waivers customarily granted by FERC to parties authorized to sell electric power at market-based rates, and (iii) has on file with FERC an effective Tariff for Reactive Supply and Voltage Control (“</w:t>
      </w:r>
      <w:r>
        <w:rPr>
          <w:rFonts w:ascii="Times New Roman" w:cs="Times New Roman" w:eastAsia="Times New Roman" w:hAnsi="Times New Roman"/>
          <w:sz w:val="18"/>
          <w:szCs w:val="18"/>
          <w:u w:val="single" w:color="auto"/>
          <w:color w:val="auto"/>
        </w:rPr>
        <w:t>Reactive Power Tariff</w:t>
      </w:r>
      <w:r>
        <w:rPr>
          <w:rFonts w:ascii="Times New Roman" w:cs="Times New Roman" w:eastAsia="Times New Roman" w:hAnsi="Times New Roman"/>
          <w:sz w:val="18"/>
          <w:szCs w:val="18"/>
          <w:color w:val="auto"/>
        </w:rPr>
        <w:t xml:space="preserve">”). Neither (x) the MBR Authority nor the Reactive Power Tariff of the Panther Creek Project Company or Scrubgrass Project Company nor (y) the Panther Creek Plant’s or Scrubgrass Plant’s status as a qualifying small power production facility under the PURPA Requirements, in each case, is the subject of any pending or, to the knowledge of the Company, threatened, judicial or administrative proceeding to revoke or modify such status or to impose any material penalty thereunder other than as set forth on </w:t>
      </w:r>
      <w:r>
        <w:rPr>
          <w:rFonts w:ascii="Times New Roman" w:cs="Times New Roman" w:eastAsia="Times New Roman" w:hAnsi="Times New Roman"/>
          <w:sz w:val="18"/>
          <w:szCs w:val="18"/>
          <w:u w:val="single" w:color="auto"/>
          <w:color w:val="auto"/>
        </w:rPr>
        <w:t>Schedule 4.19</w:t>
      </w:r>
      <w:r>
        <w:rPr>
          <w:rFonts w:ascii="Times New Roman" w:cs="Times New Roman" w:eastAsia="Times New Roman" w:hAnsi="Times New Roman"/>
          <w:sz w:val="18"/>
          <w:szCs w:val="18"/>
          <w:color w:val="auto"/>
        </w:rPr>
        <w:t xml:space="preserve"> of the Company Disclosure Letter. None of the Company nor any of its Subsidiaries (i) is a “public-utility company” as defined in PUHCA other than the Scrubgrass Project Company and the Panther Creek Project Company or (ii) is a “holding company” as defined in PUHCA other than with respect to the ownership of qualifying small power production facilities.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xml:space="preserve"> of the Company Disclosure Letter is a true, correct and complete list of all material insurance policies held by the Company or any of its Subsidiaries as of the date of this Agreement (collectively, the “</w:t>
      </w:r>
      <w:r>
        <w:rPr>
          <w:rFonts w:ascii="Times New Roman" w:cs="Times New Roman" w:eastAsia="Times New Roman" w:hAnsi="Times New Roman"/>
          <w:sz w:val="18"/>
          <w:szCs w:val="18"/>
          <w:u w:val="single" w:color="auto"/>
          <w:color w:val="auto"/>
        </w:rPr>
        <w:t>Material Company Insurance Policies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of the Material Company Insurance Policies is in full force and effect on the date of this Agreement. Except as would not reasonably be expected to have, individually or in the aggregate, a Company Material Adverse Effect, all premiums payable under the Material Company Insurance Policies prior to the date of this Agreement have been duly paid to date. Except as would not reasonably be expected to have, individually or in the aggregate, a Company Material Adverse Effect, as of the date of this Agreement, no written notice of cancellation or termination has been received with respect to any Material Company Insurance Policy. In the last three (3) years, neither the Company nor any of its Subsidiaries has received any written notice or, to the knowledge of the Company, other communication regarding any actual or possible: (a) refusal of any coverage or rejection of any material claim under any Material Company Insurance Policy; or (b) material adjustment in the amount of the premiums payable with respect to any Material Company Insurance Policy.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J.V.B. Financial Group, LLC acting through Cohen &amp; Company Capital Markets division addressed to the Company Board to the effect that, based upon and subject to the limitations, qualifications and assumptions set forth therein, as of the date of the opinion, the Exchange Ratio to be received by the holders of shares of Company Class A Common Stock, in their capacity as such, is fair, from a financial point of view, to such holders (other than Parent, Merger Sub, and their respective affiliates).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Cohen &amp; Company Capital Markets, no broker, investment banker, or other Person is entitled to any broker’s, finder’s or other similar fee or commission in connection with the Transactions based upon arrangements made by or on behalf of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Company Board has taken all actions necessary to ensure that the restrictions applicable to business combinations contained in Section 203 of the DGCL are, and will be, inapplicable to the execution, delivery and performance of this Agreement and to the consummation of the Transactions. None of such actions by the Company Board has been amended, rescinded or modified. There are no other Takeover Laws applicable to, or purporting to be applicable to, this Agreement, the Company or any of its Subsidiaries, the Merger or any of the other Transactions, including any Takeover Laws that would limit or restrict Parent or any of its Affiliates from exercising its ownership of shares of Company Common Stock acquired in the Merger. The Company has no stockholder rights plan, “poison pill” or similar agreement or arrangement designed to have the effect of delaying, deferring or discouraging any Person from acquiring control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the Company, nor any of its Subsidiaries, nor any of its or their respective affiliates, directors, managers, officers or employees, nor, to the knowledge of the Company, any of its or their respective agents, representatives, or anyone else acting on behalf of the foregoing have, within the past five (5) years, taken any action that has resulted in a violation by the Company or any such Subsidiary of any applicable laws relating to domestic or foreign bribery, money laundering, unlawful political contributions or gifts or corrupt practices, including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any other applicable anti-bribery or anti-corruption laws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 proceeding by or before any Governmental Entity involving the Company, nor any of its Subsidiaries, nor any of its or their respective affiliates, directors, managers, officers or employees relating to the applicable Anti-Corruption Laws is pending or, to the knowledge of the Company, threatened.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the Company, nor any of its Subsidiaries, nor any of its or their respective owners, directors, officers, or employees, nor to the knowledge of the Company or its Subsidiaries, any other Person working on behalf of any of the foregoing (i) has directly or indirectly since April 24, 2019 violated any applicable Laws relating to export, reexport, import, antiboycott, or economic sanctions (“</w:t>
      </w:r>
      <w:r>
        <w:rPr>
          <w:rFonts w:ascii="Times New Roman" w:cs="Times New Roman" w:eastAsia="Times New Roman" w:hAnsi="Times New Roman"/>
          <w:sz w:val="18"/>
          <w:szCs w:val="18"/>
          <w:u w:val="single" w:color="auto"/>
          <w:color w:val="auto"/>
        </w:rPr>
        <w:t>Export Control and Economic Sanctions Laws</w:t>
      </w:r>
      <w:r>
        <w:rPr>
          <w:rFonts w:ascii="Times New Roman" w:cs="Times New Roman" w:eastAsia="Times New Roman" w:hAnsi="Times New Roman"/>
          <w:sz w:val="18"/>
          <w:szCs w:val="18"/>
          <w:color w:val="auto"/>
        </w:rPr>
        <w:t>”);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country or territory subject to comprehensive embargo under applicable Export Control and Economic Sanctions Laws (currently, Cuba, Iran, North Korea, Syria, and the Crimea, Donetsk, Luhansk, Kherson, or Zaporizhzhia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or (iv) has since April 24, 2019 been the subject or target of any investigation, enforcement, administrative, civil, or criminal action, or disclosure relating to applicable Export Control and Economic Sanctions Laws.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Person makes or has made any representation or warranty to Parent, BMS and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any oral or written information presented to Parent, BMS and Merger Sub or any of their respective Affiliates or Representatives in the course of their due diligence investigation of the Company, the negotiation of this Agreement or in the course of the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180" w:firstLine="1286"/>
        <w:spacing w:after="0" w:line="254" w:lineRule="auto"/>
        <w:tabs>
          <w:tab w:leader="none" w:pos="17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Company acknowledges and agrees that none of Parent, BMS, Merger Sub or any other Person has made or is making any representations or warranties relating to Parent or its Subsidiaries (including BMS and Merger Sub) whatsoever, express or implied, beyond those expressly given by Parent, BMS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including any implied representation or warranty as to the accuracy or completeness of any information regarding Parent furnished or made available to the Company, or any of its Representatives and that the Company has not relied on, and expressly disclaims any reliance on, any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BMS AND MERGER SUB</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Parent, BMS and Merger Sub to the Company on or prior to the date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xml:space="preserve">”) and except as disclosed in the Parent Disclosure Documents (including all exhibits and schedules thereto and documents incorporated by reference therein) filed with or furnished to the applicable Canadian Securities Regulators and the SEC and publicly available on SEDAR+ and Edgar, respectively,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Parent, BMS and Merger Sub jointly and severally represent and warrant to the Company as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of Parent and its Subsidiaries is a corporation, partnership or limited liability company duly organized, validly existing and in good standing under the Laws of its jurisdiction of incorporation or organization. Each of Parent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Parent Material Adverse Effect. Each of Parent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Parent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Parent consists of (i) an unlimited number of Parent Common Shares without par value and (ii) an unlimited number of shares of preferred stock without par value (“</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and, together with the Parent Common Shares, the “</w:t>
      </w:r>
      <w:r>
        <w:rPr>
          <w:rFonts w:ascii="Times New Roman" w:cs="Times New Roman" w:eastAsia="Times New Roman" w:hAnsi="Times New Roman"/>
          <w:sz w:val="18"/>
          <w:szCs w:val="18"/>
          <w:u w:val="single" w:color="auto"/>
          <w:color w:val="auto"/>
        </w:rPr>
        <w:t>Parent Share Capital</w:t>
      </w:r>
      <w:r>
        <w:rPr>
          <w:rFonts w:ascii="Times New Roman" w:cs="Times New Roman" w:eastAsia="Times New Roman" w:hAnsi="Times New Roman"/>
          <w:sz w:val="18"/>
          <w:szCs w:val="18"/>
          <w:color w:val="auto"/>
        </w:rPr>
        <w:t>”). At the close of business on the Measurement Date: (A) 451,285,910 Parent Common Shares were issued and outstanding; (B) 989,332 Parent Common Shares underlying the Parent RSUs; (C) 17,082,489 Parent Common Shares underlying the Parent Options; (D) no Parent Preferred Shares were issued and outstanding; (E) 23,930,999 Parent Common Shares remained available for issuance pursuant to the Parent Equity Plan and (F) warrants to purchase 10,841,482 Parent Common Shares were issued and outstanding.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Parent Common Shares are validly issued, fully paid and non-assessable and are not subject to preemptive rights. All outstanding Parent Common Shares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there are no outstanding restricted stock, restricted stock units, phantom units or other equity-related awards, options, warrants or other rights to subscribe for, purchase or acquire from Parent or any of its Subsidiaries any capital stock of Parent or securities convertible into or exchangeable or exercisable for capital stock of Parent. All outstanding shares of capital stock or other equity interests of the Subsidiaries of Parent are validly issued, fully paid and non-assessable, are owned by Parent or by a wholly owned Subsidiary of Parent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except for changes since the Measurement Date resulting from the vesting of the Parent RSUs or the Parent Options, in each case outstanding at such date (and the issuance of shares thereunder), or stock grants or other awards granted in accordance with </w:t>
      </w:r>
      <w:r>
        <w:rPr>
          <w:rFonts w:ascii="Times New Roman" w:cs="Times New Roman" w:eastAsia="Times New Roman" w:hAnsi="Times New Roman"/>
          <w:sz w:val="18"/>
          <w:szCs w:val="18"/>
          <w:u w:val="single" w:color="auto"/>
          <w:color w:val="auto"/>
        </w:rPr>
        <w:t>Section 6.2(b)(ii)</w:t>
      </w:r>
      <w:r>
        <w:rPr>
          <w:rFonts w:ascii="Times New Roman" w:cs="Times New Roman" w:eastAsia="Times New Roman" w:hAnsi="Times New Roman"/>
          <w:sz w:val="18"/>
          <w:szCs w:val="18"/>
          <w:color w:val="auto"/>
        </w:rPr>
        <w:t>, there are outstanding: (A) no shares of Parent Share Capital, (B) no Voting Debt, (C) no securities of Parent or any Subsidiary of Parent convertible into or exchangeable or exercisable for shares of Parent Share Capital or Voting Debt and (D)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Parent Share Capital or any Voting Debt or other voting securities of Parent, or obligating Parent or any Subsidiary of Parent to grant, extend or enter into any such option, warrant, subscription, call, right, commitment or agreement. Other than the Voting Agreements, there are not any stockholder agreements, voting trusts or other agreements to which Parent is a party or by which it is bound relating to the voting of any shares of Parent Share Capital.</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Authority; No Violations;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BMS and Merger Sub has all requisite corporate power and authority to execute and deliver this Agreement and to perform its obligations hereunder. The execution and delivery of this Agreement by Parent, BMS and Merger Sub and the consummation by Parent, BMS and Merger Sub of the Transactions have been duly authorized by all necessary corporate action on the part of each of Parent, BMS and Merger Sub (other than the adoption of this Agreement by BMS, the sole stockholder of Merger Sub, which shall occur immediately after the execution and delivery of this Agreement). This Agreement has been duly executed and delivered by each of Parent, BMS and Merger Sub, and, assuming this Agreement constitutes the valid and binding obligation of the Company, constitutes a valid and binding obligation of each of Parent, BMS and Merger Sub enforceable against Parent, BMS and Merger Sub in accordance with its terms, subject as to enforceability to Creditors’ Rights. The board of directors of Merger Sub has by unanimous vote (i) determined that this Agreement and the transactions contemplated hereby, including the Merger, are in the best interests of, Merger Sub and the sole stockholder of Merger Sub and (ii) approved and declared advisable this Agreement and the transactions contemplated hereby, including the Merger. BMS, as the sole stockholder of all of the outstanding shares of capital stock of Merger Sub, has executed and delivered a consent to adopt this Agreement, which consent shall become effective immediately following the approval of this Agreement by the board of directors of Merger Sub and the execution of this Agreement pursuant to Section 228(c) of the DGCL.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304"/>
        <w:spacing w:after="0" w:line="253"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Parent, BMS or Merger Sub, (ii) result in a violation of, or default under, or acceleration of any material obligation or the loss of a material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BMS or Merger Sub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duly and timely obtained or made, contravene, conflict with or result in a violation of any Law applicable to Parent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Parent Material Adverse Effect.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Parent or any of its Subsidiaries in connection with the execution, delivery and performance of this Agreement by Parent, BMS and Merger Sub or the consummation by Parent, BMS and Merger Sub of the Transactions, except for: (a) the filing of a premerger notification report by Parent under the HSR Act, and the expiration or termination of the applicable waiting period with respect thereto; (b) the filing with the SEC of (i) the Proxy Statement/Prospectus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TSX and NASDAQ and related approvals; (e) such filings and approvals as may be required by any applicable state securities or “blue sky” laws;</w:t>
      </w:r>
    </w:p>
    <w:p>
      <w:pPr>
        <w:spacing w:after="0" w:line="3" w:lineRule="exact"/>
        <w:rPr>
          <w:sz w:val="20"/>
          <w:szCs w:val="20"/>
          <w:color w:val="auto"/>
        </w:rPr>
      </w:pPr>
    </w:p>
    <w:p>
      <w:pPr>
        <w:ind w:firstLine="8"/>
        <w:spacing w:after="0" w:line="260" w:lineRule="auto"/>
        <w:tabs>
          <w:tab w:leader="none" w:pos="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consents and approvals as set forth on </w:t>
      </w:r>
      <w:r>
        <w:rPr>
          <w:rFonts w:ascii="Times New Roman" w:cs="Times New Roman" w:eastAsia="Times New Roman" w:hAnsi="Times New Roman"/>
          <w:sz w:val="18"/>
          <w:szCs w:val="18"/>
          <w:u w:val="single" w:color="auto"/>
          <w:color w:val="auto"/>
        </w:rPr>
        <w:t>Schedule 5.4(f)</w:t>
      </w:r>
      <w:r>
        <w:rPr>
          <w:rFonts w:ascii="Times New Roman" w:cs="Times New Roman" w:eastAsia="Times New Roman" w:hAnsi="Times New Roman"/>
          <w:sz w:val="18"/>
          <w:szCs w:val="18"/>
          <w:color w:val="auto"/>
        </w:rPr>
        <w:t xml:space="preserve"> of the Parent Disclosure Letter; and (g) any such Consent that the failure to obtain or make would not reasonably be expected to have, individually or in the aggregate, a Parent Material Adverse Effect.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Disclosure Documents;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Parent has filed or furnished with the applicable Canadian Securities Regulators and the SEC all forms, reports and statements required to be filed or furnished under Canadian Securities Laws, the Securities Act and the Exchange Act, as the case may be (such forms, reports and statements, collectively, the “</w:t>
      </w:r>
      <w:r>
        <w:rPr>
          <w:rFonts w:ascii="Times New Roman" w:cs="Times New Roman" w:eastAsia="Times New Roman" w:hAnsi="Times New Roman"/>
          <w:sz w:val="18"/>
          <w:szCs w:val="18"/>
          <w:u w:val="single" w:color="auto"/>
          <w:color w:val="auto"/>
        </w:rPr>
        <w:t>Parent Disclosure Documents</w:t>
      </w:r>
      <w:r>
        <w:rPr>
          <w:rFonts w:ascii="Times New Roman" w:cs="Times New Roman" w:eastAsia="Times New Roman" w:hAnsi="Times New Roman"/>
          <w:sz w:val="18"/>
          <w:szCs w:val="18"/>
          <w:color w:val="auto"/>
        </w:rPr>
        <w:t>”). As of their respective dates, each of the Parent Disclosure Documents, as amended, complied as to form in all material respects with the applicable requirements of Canadian Securities Laws, the Securities Act and the Exchange Act, as the case may be, and the rules and regulations of the SEC thereunder applicable to such Parent Disclosure Documents, and none of the Parent Disclosure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Parent Disclosure Documents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including all notes and schedules thereto, complied in all material respects, when filed or if amended prior to the date of this Agreement, as of the date of such amendment, with Canadian Securities Laws and the applicable rules and regulations of the SEC with respect thereto, were prepared in accordance with the International Financial Reporting Standards as issued by the International Accounting Standards Board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Canadian Securities Laws and Rule 10-01 of Regulation S-X of the SEC) and fairly present in all material respects in accordance with applicable requirements of IFRS (subject, in the case of the unaudited statements, to normal year-end audit adjustments) the financial position of Parent and its consolidated Subsidiaries, as of their respective dates and the results of operations and the cash flows of the Company and its consolidated Subsidiaries for the periods presented therein.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Parent is a “foreign private issuer” (as such term is defined in Rule 3b-4(c) under the Exchange Act) and is exempt from Sections 14(a), 14(b), 14(c) and 14(f) under the Exchange Act pursuant to Rule 3a12-3(b) of the Exchange Act, and (ii) Parent has no reason to believe it will not qualify as a “foreign private issuer” at any time prior to the Effective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right="20" w:firstLine="1286"/>
        <w:spacing w:after="0" w:line="266" w:lineRule="auto"/>
        <w:tabs>
          <w:tab w:leader="none" w:pos="1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through the date of this Agreement, there has not been any Parent Material Adverse Effect or any event, change, effect or development that, individually or in the aggregate, would reasonably be expected to have a Parent Material Adverse Effect.</w:t>
      </w:r>
    </w:p>
    <w:p>
      <w:pPr>
        <w:spacing w:after="0" w:line="175" w:lineRule="exact"/>
        <w:rPr>
          <w:rFonts w:ascii="Times New Roman" w:cs="Times New Roman" w:eastAsia="Times New Roman" w:hAnsi="Times New Roman"/>
          <w:sz w:val="18"/>
          <w:szCs w:val="18"/>
          <w:color w:val="auto"/>
        </w:rPr>
      </w:pPr>
    </w:p>
    <w:p>
      <w:pPr>
        <w:ind w:left="180" w:firstLine="1286"/>
        <w:spacing w:after="0" w:line="282" w:lineRule="auto"/>
        <w:tabs>
          <w:tab w:leader="none" w:pos="17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Parent Balance Sheet Date through the date of this Agreement, the Company and its Subsidiaries have conducted their business in the ordinary course of business in all material respects.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Parent or any of its Subsidiaries of any kind whatsoever, whether accrued, contingent, absolute, determined, determinable or otherwise, other than: (a) liabilities provided for on the most recent balance sheet included in the Parent Financial Statements or the notes thereto; (b) liabilities not required to be presented on the face of an unaudited interim balance sheet in accordance with IFRS;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(f) liabilities that would not reasonably be expected to have, individually or in the aggregate, a Parent Material Adverse Effect.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xml:space="preserve">. None of the information supplied or to be supplied by Parent for inclusion or incorporation by reference in (a) the Registration Statement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by Parent with respect to statements made therein based on information supplied by the Company specifically for inclusion or incorporation by reference therein.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Parent Permits; Compliance with 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all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so hold would not reasonably be expected to have, individually or in the aggregate, a Parent Material Adverse Effect. Parent and its Subsidiaries are in compliance with the terms of the Parent Permits, except where the failure to so comply would not reasonably be expected to have, individually or in the aggregate, a Parent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Parent and its Subsidiaries are not currently being conducted, and at no time since the Parent Balance Sheet Date have been conducted, in violation of any applicable Law, except for violations that would not reasonably be expected to have, individually or in the aggregate, a Parent Material Adverse Effect. As of the date of this Agreement, no investigation or review by any Governmental Entity with respect to Parent or any of its Subsidiaries is pending or, to the knowledge of Parent, threatened, other than those the outcome of which would not reasonably be expected to have, individually or in the aggregate, a Parent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Parent Material Adverse Effect, there is no (a) Proceeding pending, or to the knowledge of Parent, threatened against Parent or any of its Subsidiaries, or (b) judgment, decree, injunction, ruling or order of any Governmental Entity or arbitrator outstanding against Parent or any of its Subsidiaries.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to have, individually or in the aggregate, a Parent Material Adverse Effect, (a) Parent and its Subsidiaries have defensible title to all material real property owned by Parent or any of its Subsidiaries (collectively, the “</w:t>
      </w:r>
      <w:r>
        <w:rPr>
          <w:rFonts w:ascii="Times New Roman" w:cs="Times New Roman" w:eastAsia="Times New Roman" w:hAnsi="Times New Roman"/>
          <w:sz w:val="18"/>
          <w:szCs w:val="18"/>
          <w:u w:val="single" w:color="auto"/>
          <w:color w:val="auto"/>
        </w:rPr>
        <w:t>Parent 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and valid leasehold estates in all material real property leased, subleased, licensed or otherwise occupied (whether as tenant, subtenant or pursuant to other occupancy arrangements) by Parent or any Subsidiary of Parent (collectively, including the improvements thereon, the “</w:t>
      </w:r>
      <w:r>
        <w:rPr>
          <w:rFonts w:ascii="Times New Roman" w:cs="Times New Roman" w:eastAsia="Times New Roman" w:hAnsi="Times New Roman"/>
          <w:sz w:val="18"/>
          <w:szCs w:val="18"/>
          <w:u w:val="single" w:color="auto"/>
          <w:color w:val="auto"/>
        </w:rPr>
        <w:t>Parent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free and clear of all Encumbrances, except Permitted Encumbrances, (b) each agreement under which Parent or any Subsidiary of the Company is the landlord, sublandlord, tenant, subtenant, or occupant with respect to the Parent Material Leased Real Property (each, a “</w:t>
      </w:r>
      <w:r>
        <w:rPr>
          <w:rFonts w:ascii="Times New Roman" w:cs="Times New Roman" w:eastAsia="Times New Roman" w:hAnsi="Times New Roman"/>
          <w:sz w:val="18"/>
          <w:szCs w:val="18"/>
          <w:u w:val="single" w:color="auto"/>
          <w:color w:val="auto"/>
        </w:rPr>
        <w:t>Parent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 Lease</w:t>
      </w:r>
      <w:r>
        <w:rPr>
          <w:rFonts w:ascii="Times New Roman" w:cs="Times New Roman" w:eastAsia="Times New Roman" w:hAnsi="Times New Roman"/>
          <w:sz w:val="18"/>
          <w:szCs w:val="18"/>
          <w:color w:val="auto"/>
        </w:rPr>
        <w:t>”) to the knowledge of Parent is in full force and effect and is valid and enforceable against the parties thereto in accordance with its terms, subject, as to enforceability, to Creditors’ Rights, and neither Parent nor any of its Subsidiaries, or to the knowledge of Parent, any other party thereto, has received written notice of any default under any Parent Material Real Property Lease, and (c) as of the date of this Agreement, there does not exist any pending or, to the knowledge of Parent, threatened, condemnation or eminent domain Proceedings that affect any of the Parent Owned Real Property or Parent Material Leased Real Property.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those matters that would not reasonably be expected to have, individually or in the aggregate, a Parent Material Adverse Effect:</w:t>
      </w:r>
    </w:p>
    <w:p>
      <w:pPr>
        <w:spacing w:after="0" w:line="162" w:lineRule="exact"/>
        <w:rPr>
          <w:sz w:val="20"/>
          <w:szCs w:val="20"/>
          <w:color w:val="auto"/>
        </w:rPr>
      </w:pPr>
    </w:p>
    <w:p>
      <w:pPr>
        <w:ind w:left="1600" w:hanging="296"/>
        <w:spacing w:after="0"/>
        <w:tabs>
          <w:tab w:leader="none" w:pos="1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and their respective operations and assets are in compliance with Environmental Laws;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and its Subsidiaries are not subject to any pending or, to the Company’s knowledge, threatened Proceedings under Environmental 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currently or, to the knowledge of Parent, formerly owned, operated or otherwise used by Parent or any of its Subsidiaries, or, to the knowledge of Parent, by any predecessors of Parent or any Subsidiary of Parent, which Releases are reasonably likely to result in material liability to Parent under Environmental Law, and, as of the date of this Agreement, neither Parent nor any of its Subsidiaries has received any written notice asserting a liability or obligation under any Environmental Laws with respect to the investigation, remediation, removal, or monitoring of the Release of any Hazardous Materials at or from any property currently or formerly owned, operated, or otherwise used by Parent, or at or from any offsite location where Hazardous Materials from Parent’s or its Subsidiaries’ operations have been sent for treatment, disposal, storage or handling;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have been no environmental investigations, studies, audits, or other analyses conducted by or on behalf of, or that are in the reasonable possession of, Parent or its Subsidiaries with respect to any property owned, operated or otherwise used by any of them that have not been delivered or otherwise made available to the Company prior to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Collectively, the contracts filed as exhibits or incorporated by reference to the Parent Disclosure Documents are herein referred to as the “</w:t>
      </w:r>
      <w:r>
        <w:rPr>
          <w:rFonts w:ascii="Times New Roman" w:cs="Times New Roman" w:eastAsia="Times New Roman" w:hAnsi="Times New Roman"/>
          <w:sz w:val="18"/>
          <w:szCs w:val="18"/>
          <w:u w:val="single" w:color="auto"/>
          <w:color w:val="auto"/>
        </w:rPr>
        <w:t>Parent Contracts</w:t>
      </w:r>
      <w:r>
        <w:rPr>
          <w:rFonts w:ascii="Times New Roman" w:cs="Times New Roman" w:eastAsia="Times New Roman" w:hAnsi="Times New Roman"/>
          <w:sz w:val="18"/>
          <w:szCs w:val="18"/>
          <w:color w:val="auto"/>
        </w:rPr>
        <w:t>.” Except as would not reasonably be expected to have, individually or in the aggregate, a Parent Material Adverse Effect, each Parent Contract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neither Parent nor any of its Subsidiaries is in breach or default under any Parent Contract.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Shares to be issued as Per Share Merger Consideration and the New Parent Warrants to be issued pursuant to the terms hereof, when issued as provided in and pursuant to the terms of this Agreement, will be duly authorized and validly issued (and with respect to the Parent Common Shares, fully paid and nonassessable), and (other than restrictions under applicable securities laws) will be free from any liens, encumbrances or restrictions on transfer, including pre-emptive rights, rights of first refusal or other similar rights.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No Vote/Approval Required</w:t>
      </w:r>
      <w:r>
        <w:rPr>
          <w:rFonts w:ascii="Times New Roman" w:cs="Times New Roman" w:eastAsia="Times New Roman" w:hAnsi="Times New Roman"/>
          <w:sz w:val="18"/>
          <w:szCs w:val="18"/>
          <w:color w:val="auto"/>
        </w:rPr>
        <w:t>. No vote or consent of the holders of any class or series of shares in the capital of Parent is necessary to approve this Agreement or the Merger or the other Transactions. The vote or consent of BMS as the sole stockholder of Merger Sub (which will be obtained immediately after the execution and delivery of this Agreement) is the only vote or consent of the holders of any class or series of capital stock of Merger Sub necessary to approve and adopt this Agreement, the Merger or the other Transactions.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Ownership of Company Common Stock</w:t>
      </w:r>
      <w:r>
        <w:rPr>
          <w:rFonts w:ascii="Times New Roman" w:cs="Times New Roman" w:eastAsia="Times New Roman" w:hAnsi="Times New Roman"/>
          <w:sz w:val="18"/>
          <w:szCs w:val="18"/>
          <w:color w:val="auto"/>
        </w:rPr>
        <w:t>. Neither Parent nor any of its Subsidiaries own any shares of Company Common Stock (or other securities convertible into, exchangeable for or exercisable for shares of Company Common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Business Conduct</w:t>
      </w:r>
      <w:r>
        <w:rPr>
          <w:rFonts w:ascii="Times New Roman" w:cs="Times New Roman" w:eastAsia="Times New Roman" w:hAnsi="Times New Roman"/>
          <w:sz w:val="18"/>
          <w:szCs w:val="18"/>
          <w:color w:val="auto"/>
        </w:rPr>
        <w:t>. Merger Sub was incorporated on August 19, 2024. Since its inception, Merger Sub has not engaged in any activity, other than such actions in connection with (a) its organization and (b) the preparation, negotiation and execution of this Agreement and the Transactions. Merger Sub has no operations, has not generated any revenues and has no assets or liabilities other than those incurred in connection with the foregoing and in association with the Merger as provided in this Agreement. There are no contracts between Parent, BMS, Merger Sub or related guarantors, on the one hand, and any member of the Company’s management or directors, on the other hand, as of the date hereof that relate in any way to the Company or the Transactions.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Parent and its Subsidiaries (“</w:t>
      </w:r>
      <w:r>
        <w:rPr>
          <w:rFonts w:ascii="Times New Roman" w:cs="Times New Roman" w:eastAsia="Times New Roman" w:hAnsi="Times New Roman"/>
          <w:sz w:val="18"/>
          <w:szCs w:val="18"/>
          <w:u w:val="single" w:color="auto"/>
          <w:color w:val="auto"/>
        </w:rPr>
        <w:t>Parent Miners</w:t>
      </w:r>
      <w:r>
        <w:rPr>
          <w:rFonts w:ascii="Times New Roman" w:cs="Times New Roman" w:eastAsia="Times New Roman" w:hAnsi="Times New Roman"/>
          <w:sz w:val="18"/>
          <w:szCs w:val="18"/>
          <w:color w:val="auto"/>
        </w:rPr>
        <w:t>”) are owned or rightfully possessed by, operated by and under the control of Parent and its Subsidiaries. In the last two years, there has been no failure, breakdown or continued substandard performance of any Parent Miners that has caused a material disruption or interruption in or to the use of the Parent Miners or the related operation of the business of Parent or any of its Subsidiaries. Except as would not reasonably be expected to have, individually or in the aggregate, a Parent Material Adverse Effect, the Parent Miners are generally maintained and in good working condition to perform all computing, information technology and data processing operations necessary for the operations of Parent and its Subsidiaries. Parent and its Subsidiaries have taken commercially reasonable steps to:</w:t>
      </w:r>
    </w:p>
    <w:p>
      <w:pPr>
        <w:spacing w:after="0" w:line="5" w:lineRule="exact"/>
        <w:rPr>
          <w:sz w:val="20"/>
          <w:szCs w:val="20"/>
          <w:color w:val="auto"/>
        </w:rPr>
      </w:pPr>
    </w:p>
    <w:p>
      <w:pPr>
        <w:ind w:firstLine="8"/>
        <w:spacing w:after="0" w:line="260" w:lineRule="auto"/>
        <w:tabs>
          <w:tab w:leader="none" w:pos="2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Parent Miners from contaminants, hacks and other malicious external or internal threats; (b) ensure continuity of operations with adequate energy supply and minimal uptime required; and (c) provide for the remote-site back-up of data and information critical to Parent and its Subsidiaries.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Special Committee of the Board of Directors of Parent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received the opinion of Houlihan Lokey Capital, Inc., financial advisor to the Special Committee, dated August 20, 2024, to the effect that, based upon and subject to the limitations, qualifications, assumptions, procedures and matters set forth therein, as of the date of the opinion, the Exchange Ratio provided for in the Transaction pursuant to the Agreement is fair to Parent from a financial point of view.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Moelis &amp; Company LLC and Houlihan Lokey Capital, Inc., no broker, investment banker, or other Person is entitled to any broker’s, finder’s or other similar fee or commission in connection with the Transactions based upon arrangements made by or on behalf of Parent.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Parent, nor any of its Subsidiaries, nor any of its or their respective affiliates, directors, managers, officers or employees, nor, to the knowledge of Parent, any of its or their respective agents, representatives, or anyone else acting on behalf of the foregoing have, within the past five (5) years, taken any action that has resulted in a violation by Parent or any such Subsidiary of any applicable Anti-Corruption Laws, including the FCPA, the Canadian Corruption of Foreign Public Officials Act or the Canadian Criminal Code, R.S.C. 1985, c C-46, Sections 119-125, 380 and 426. No proceeding by or before any Governmental Entity involving Parent, nor any of its Subsidiaries, nor any of its or their respective affiliates, directors, managers, officers or employees relating to the applicable Anti-Corruption Laws is pending or, to the knowledge of Parent, threatened.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Parent, nor any of its Subsidiaries, nor any of its or their respective owners, directors, officers, or employees, nor to the knowledge of Parent or its Subsidiaries, any other Person working on behalf of any of the foregoing (i) has directly or indirectly since April 24, 2019 violated any applicable Export Control and Economic Sanctions Laws;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Sanctioned Country; or (iv) has since April 24, 2019 been the subject or target of any investigation, enforcement, administrative, civil, or criminal action, or disclosure relating to applicable Export Control and Economic Sanctions Laws.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0"/>
        <w:spacing w:after="0" w:line="254" w:lineRule="auto"/>
        <w:tabs>
          <w:tab w:leader="none" w:pos="128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BMS or Merger Sub, or any of their Subsidiaries or their respective businesses; or (ii) except for the representations and warranties made by Parent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oral or written information presented to the Company or any of its Affiliates or Representatives in the course of their due diligence investigation of Parent, the negotiation of this Agreement or in the course of the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980"/>
        <w:spacing w:after="0" w:line="254" w:lineRule="auto"/>
        <w:tabs>
          <w:tab w:leader="none" w:pos="12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Parent acknowledges and agrees that none of the Company 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any implied representation or warranty as to the accuracy or completeness of any information regarding the Company furnished or made available to Parent, or any of its Representatives and that neither Parent nor BMS or Merger Sub has relied on, and expressly disclaim any reliance on, any representation or 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AND AGREEMENTS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Company Business Pending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6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period from the execution of this Agreement until the earlier to occur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the Company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Interim Period, the Company shall not, and shall not permit its Subsidiaries to:</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the Company or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the Company or (z) tax distributions in accordance with the Company Holdco LLC Agreement;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or any Subsidiary of the Company, except as required by the terms of any capital stock or equity interest of a Subsidiary or as contemplated by any Company Plan in each case existing as of the date of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left="-460" w:firstLine="1292"/>
        <w:spacing w:after="0" w:line="253" w:lineRule="auto"/>
        <w:tabs>
          <w:tab w:leader="none" w:pos="116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(C) the issuance of Company Common Stock pursuant to the Company ATM Agreement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(D) the issuance of Company Common Stock upon the exercise of any Company Options; (E) the issuance of Company Common Stock upon the conversion of any Company Preferred Stock; (F) the issuance of Company Common Stock upon the exercise of any Company Warrants in accordance with the terms of the applicable warrant agreement; (G) issuances by a wholly-owned Subsidiary of the Company or Company Holdco of such Subsidiary’s capital stock or other equity interests to the Company or Company Holdco or any other wholly-owned Subsidiary of the Company or Company Holdco; and (H) issuances of any Company Common Stock in connection with a redemption of Company Holdco Units in accordance with the Company Holdco LLC Agreement;</w:t>
      </w:r>
    </w:p>
    <w:p>
      <w:pPr>
        <w:spacing w:after="0" w:line="189" w:lineRule="exact"/>
        <w:rPr>
          <w:rFonts w:ascii="Times New Roman" w:cs="Times New Roman" w:eastAsia="Times New Roman" w:hAnsi="Times New Roman"/>
          <w:sz w:val="18"/>
          <w:szCs w:val="18"/>
          <w:color w:val="auto"/>
        </w:rPr>
      </w:pPr>
    </w:p>
    <w:p>
      <w:pPr>
        <w:ind w:left="-460" w:firstLine="1292"/>
        <w:spacing w:after="0" w:line="282" w:lineRule="auto"/>
        <w:tabs>
          <w:tab w:leader="none" w:pos="12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Organizational Documents or amend the Organizational Documents of any of the Company’s Subsidiaries or form any new Subsidiary of the Company;</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with any Person other than between wholly-owned Subsidiaries of the Company or Company Holdco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6.1(b)(iv)</w:t>
      </w:r>
      <w:r>
        <w:rPr>
          <w:rFonts w:ascii="Times New Roman" w:cs="Times New Roman" w:eastAsia="Times New Roman" w:hAnsi="Times New Roman"/>
          <w:sz w:val="18"/>
          <w:szCs w:val="18"/>
          <w:color w:val="auto"/>
        </w:rPr>
        <w:t xml:space="preserve"> of the Company Disclosure Letter,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jc w:val="both"/>
        <w:ind w:left="-460" w:firstLine="1292"/>
        <w:spacing w:after="0" w:line="255" w:lineRule="auto"/>
        <w:tabs>
          <w:tab w:leader="none" w:pos="10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otherwise dispose of (including by virtue of failure to exercise any lease renewal options), or agree to sell, lease or otherwise dispose of, any assets or properties (x) that are neither Bitcoin miners nor electrical equipment of any substation, transformer, data center or other infrastructure between any substation and data center and (y) for which the consideration is less than $1,000,000 individually or $4,000,000 in the aggregate; other than (A)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6.1(b)(v)</w:t>
      </w:r>
      <w:r>
        <w:rPr>
          <w:rFonts w:ascii="Times New Roman" w:cs="Times New Roman" w:eastAsia="Times New Roman" w:hAnsi="Times New Roman"/>
          <w:sz w:val="18"/>
          <w:szCs w:val="18"/>
          <w:color w:val="auto"/>
        </w:rPr>
        <w:t xml:space="preserve"> of the Company Disclosure Letter, (B) sales, leases or other dispositions among the Company and its wholly owned Subsidiaries (or Company Holdco and its wholly owned Subsidiaries) or among wholly owned Subsidiaries of the Company (or Company Holdco), or (C) sales or dispositions of obsolete or worthless equipment in the ordinary course of business consistent with past practice;</w:t>
      </w:r>
    </w:p>
    <w:p>
      <w:pPr>
        <w:spacing w:after="0" w:line="188"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225" w:lineRule="exact"/>
        <w:rPr>
          <w:rFonts w:ascii="Times New Roman" w:cs="Times New Roman" w:eastAsia="Times New Roman" w:hAnsi="Times New Roman"/>
          <w:sz w:val="18"/>
          <w:szCs w:val="18"/>
          <w:color w:val="auto"/>
        </w:rPr>
      </w:pPr>
    </w:p>
    <w:p>
      <w:pPr>
        <w:ind w:left="-460" w:firstLine="1292"/>
        <w:spacing w:after="0" w:line="282" w:lineRule="auto"/>
        <w:tabs>
          <w:tab w:leader="none" w:pos="12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the Company or any of its Subsidiaries, other than such transactions among wholly-owned Subsidiaries of the Company or Company Holdco;</w:t>
      </w:r>
    </w:p>
    <w:p>
      <w:pPr>
        <w:spacing w:after="0" w:line="161" w:lineRule="exact"/>
        <w:rPr>
          <w:rFonts w:ascii="Times New Roman" w:cs="Times New Roman" w:eastAsia="Times New Roman" w:hAnsi="Times New Roman"/>
          <w:sz w:val="18"/>
          <w:szCs w:val="18"/>
          <w:color w:val="auto"/>
        </w:rPr>
      </w:pPr>
    </w:p>
    <w:p>
      <w:pPr>
        <w:ind w:left="-460" w:firstLine="1292"/>
        <w:spacing w:after="0" w:line="282" w:lineRule="auto"/>
        <w:tabs>
          <w:tab w:leader="none" w:pos="12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the Company and its Subsidiaries, except as required by GAAP or applicable Law;</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1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(A) make, change or revoke any material Tax election, (B) change an annual Tax accounting period, (C) adopt or change any material Tax accounting method, (D) file any material amended Tax Return, (E) enter into any material closing agreement with a Taxing Authority, (F) settle or compromise any material Tax liability of the Company or any of its Subsidiaries; or (G) consent to any extension or waiver of the statute of limitation period applicable to any claim or assessment with respect to Taxes of the Company or any of its Subsidiaries;</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09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restrictions under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grant any equity or equity-based awards or increase the compensation or benefits provided to any current or former directors, officers, employees or other individual service providers with annual compensation in excess of $150,000, except as required by applicable Law, pursuant to a Company Plan existing as of the date hereof, or as permitted by this Agreement; (B) pay or agree to pay any current or former director, officer, employee or other individual service provider, any pension, retirement allowance or other employee benefit not required by the terms of any Company Plan or applicable Law existing as of the date hereof; (C) grant or provide any change in control, severance, termination, retention or similar payments or benefits to any current or former director, officer, employee or other individual service provider, in each case except as required by applicable Law, pursuant to a Company Plan existing as of the date hereof, or as permitted by this Agreement; (D) establish, adopt, enter into, terminate or amend any new or any existing Company Plan or any plan, agreement, program, policy or other arrangement that would be a Company Plan if it were in existence as of the date hereof, other than (x) in connection with routine, immaterial or ministerial amendments to health and welfare plans that do not materially increase benefits or result in a material increase in administrative costs and (y) offer letter agreements for employees hired following the date of this Agreement where such agreements do not provide for severance or termination benefits except as required by applicable Law; or (E) amend or modify any performance criteria, metrics or targets under any Company Plan such that, as compared to those criteria, metrics or targets under any Company Plan in effect as of the date of this Agreement, the performance criteria, metrics or targets would reasonably be expected to be more likely to be achieved than in the absence of such amendment or modification;</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8" w:name="page49"/>
    <w:bookmarkEnd w:id="48"/>
    <w:p>
      <w:pPr>
        <w:jc w:val="both"/>
        <w:ind w:left="-460" w:firstLine="1292"/>
        <w:spacing w:after="0" w:line="261" w:lineRule="auto"/>
        <w:tabs>
          <w:tab w:leader="none" w:pos="11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renew, extend, or enter into any labor union agreement, collective bargaining agreement or any other labor-related agreements or arrangements with any labor union, labor organization or works council, or (B) voluntarily recognize or certify any labor union, labor organization, works council, or other representative of a group of employees of the Company or its Subsidiaries as the collective bargaining representative for any employees of the Company or its Subsidiaries;</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19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or engage, or make an offer to hire or engage, any individual as, or terminate the employment or services of, an officer, employee, or other individual service provider of the Company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the Company and its Subsidiaries or the person being replaced, including base compensation or fee arrangement and bonus opportunity, if applicable); or (B) other than for cause (consistent with past practice), terminate the employment or engagement of any current officer, employee or individual service provider of the Company or any of its Subsidiaries with an annual base salary or fees in excess of $150,000;</w:t>
      </w:r>
    </w:p>
    <w:p>
      <w:pPr>
        <w:spacing w:after="0" w:line="188" w:lineRule="exact"/>
        <w:rPr>
          <w:rFonts w:ascii="Times New Roman" w:cs="Times New Roman" w:eastAsia="Times New Roman" w:hAnsi="Times New Roman"/>
          <w:sz w:val="18"/>
          <w:szCs w:val="18"/>
          <w:color w:val="auto"/>
        </w:rPr>
      </w:pPr>
    </w:p>
    <w:p>
      <w:pPr>
        <w:ind w:left="-460" w:firstLine="1292"/>
        <w:spacing w:after="0" w:line="282" w:lineRule="auto"/>
        <w:tabs>
          <w:tab w:leader="none" w:pos="12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the Company or its Subsidiaries;</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2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the Company or any of its Subsidiaries in connection with any Indebtedness thereof, other than Permitted Encumbrances;</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jc w:val="both"/>
        <w:ind w:left="660" w:firstLine="1292"/>
        <w:spacing w:after="0" w:line="261" w:lineRule="auto"/>
        <w:tabs>
          <w:tab w:leader="none" w:pos="23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be a Company Contract if it were in effect on the date of this Agreement, except in the ordinary course of business consistent with past practice and as would not prevent or materially delay the consummation of the Transactions, or (B) modify, amend, terminate or assign, or waive or assign any rights under, any Company Contract, in a manner that is materially adverse to the Company and its Subsidiaries, taken as a whole, or which could prevent or materially delay the consummation of the Transactions;</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the Company or any of its Subsidiaries of any amount exceeding $500,000 individually or $1,000,000 in the aggregate and involving no admission of wrongdoing or injunctive or other equitable relief;</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4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expenditures or incur any obligations or liabilities in respect thereof during any fiscal quarter in excess of the amount set forth on </w:t>
      </w:r>
      <w:r>
        <w:rPr>
          <w:rFonts w:ascii="Times New Roman" w:cs="Times New Roman" w:eastAsia="Times New Roman" w:hAnsi="Times New Roman"/>
          <w:sz w:val="18"/>
          <w:szCs w:val="18"/>
          <w:u w:val="single" w:color="auto"/>
          <w:color w:val="auto"/>
        </w:rPr>
        <w:t>Schedule 6.1(b)(xvii)</w:t>
      </w:r>
      <w:r>
        <w:rPr>
          <w:rFonts w:ascii="Times New Roman" w:cs="Times New Roman" w:eastAsia="Times New Roman" w:hAnsi="Times New Roman"/>
          <w:sz w:val="18"/>
          <w:szCs w:val="18"/>
          <w:color w:val="auto"/>
        </w:rPr>
        <w:t xml:space="preserve"> of the Company Disclosure Letter with respect to such fiscal quarter;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3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Tax Receivable Agreement (for the avoidance of doubt, other than as contemplated by the TRA Waiver) or the TRA Waiver (for the avoidance of doubt, other than as contemplated thereby); or</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Parent Business Pending the Merger.</w:t>
      </w:r>
    </w:p>
    <w:p>
      <w:pPr>
        <w:spacing w:after="0" w:line="225" w:lineRule="exact"/>
        <w:rPr>
          <w:sz w:val="20"/>
          <w:szCs w:val="20"/>
          <w:color w:val="auto"/>
        </w:rPr>
      </w:pPr>
    </w:p>
    <w:p>
      <w:pPr>
        <w:jc w:val="both"/>
        <w:ind w:firstLine="1304"/>
        <w:spacing w:after="0" w:line="256" w:lineRule="auto"/>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6.2(a)</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Parent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66" w:lineRule="auto"/>
        <w:tabs>
          <w:tab w:leader="none" w:pos="155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6.2(b)</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shall not, and shall not permit its Subsidiaries to:</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1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Parent or its Subsidiaries, except for dividends and distributions by a direct or indirect wholly-owned Subsidiary of Parent to Parent or another direct or indirect wholly-owned Subsidiary of Parent;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or any Subsidiary of Parent, except as required by the terms of any capital stock or equity interest of a Subsidiary or as contemplated by any Parent Plan in each case existing as of the date of this Agreement;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2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equity interests in Parent or any of its Subsidiaries or any securities convertible into, or any rights, warrants or options to acquire, any such equity interests, other than: (A) the issuance of Parent Common Shares upon the vesting or lapse of any restrictions on any shares of Parent RSUs or Parent Options or other awards granted under the Parent Equity Plan and outstanding on the date hereof or issued in compliance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(B) issuances of awards granted under the Parent Equity Plan in the ordinary course of business consistent with past practice; (C) issuances by a wholly-owned Subsidiary of Parent of such Subsidiary’s capital stock or other equity interests to Parent or any other wholly-owned Subsidiary of Parent; (D) the issuance of Parent Common Shares pursuant to the Parent ATM Agreement; or (E) issuances of securities of Parent in accordance with </w:t>
      </w:r>
      <w:r>
        <w:rPr>
          <w:rFonts w:ascii="Times New Roman" w:cs="Times New Roman" w:eastAsia="Times New Roman" w:hAnsi="Times New Roman"/>
          <w:sz w:val="18"/>
          <w:szCs w:val="18"/>
          <w:u w:val="single" w:color="auto"/>
          <w:color w:val="auto"/>
        </w:rPr>
        <w:t>Schedule 6.2(b)(ii)</w:t>
      </w:r>
      <w:r>
        <w:rPr>
          <w:rFonts w:ascii="Times New Roman" w:cs="Times New Roman" w:eastAsia="Times New Roman" w:hAnsi="Times New Roman"/>
          <w:sz w:val="18"/>
          <w:szCs w:val="18"/>
          <w:color w:val="auto"/>
        </w:rPr>
        <w:t xml:space="preserve"> of the Parent Disclosure Letter;</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9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Parent’s Organizational Documents in a manner that would adversely affect the Company or its stockholders disproportionately as compared to Parent and its stockholders or in a manner that would adversely affect the ability of Parent, BMS or Merger Sub to consummate the Merger;</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6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other than between wholly-owned Subsidiaries of Parent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 (A) or (B) would reasonably be expected (at the time such action is taken) to prevent, materially delay or impede the consummation of the Merger, in each case other than (x) pursuant to an agreement of Parent or any of its Subsidiaries in effect on the date of this Agreement, (y) acquisitions for which the consideration is less than $250,000,000 in the aggregate (provided that Parent shall consult with the Company with respect to any such acquisition pursuant this clause (y) to the extent reasonably practicable and permitted by applicable Law) or (z) acquisitions and licenses in the ordinary course of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firstLine="1292"/>
        <w:spacing w:after="0" w:line="282" w:lineRule="auto"/>
        <w:tabs>
          <w:tab w:leader="none" w:pos="221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Parent or any of its Subsidiaries, other than such transactions among wholly-owned Subsidiaries of Parent; or</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 Solicitation.</w:t>
      </w:r>
    </w:p>
    <w:p>
      <w:pPr>
        <w:spacing w:after="0" w:line="225" w:lineRule="exact"/>
        <w:rPr>
          <w:sz w:val="20"/>
          <w:szCs w:val="20"/>
          <w:color w:val="auto"/>
        </w:rPr>
      </w:pPr>
    </w:p>
    <w:p>
      <w:pPr>
        <w:jc w:val="both"/>
        <w:ind w:firstLine="1304"/>
        <w:spacing w:after="0" w:line="266" w:lineRule="auto"/>
        <w:tabs>
          <w:tab w:leader="none" w:pos="158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will, and will cause the Company’s Subsidiaries and instruct its Representatives to, immediately cease, and cause to be terminated, any discussion or negotiations with any Person conducted heretofore by the Company or any of its Subsidiaries or Representatives with respect to a Competing Proposal.</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not, and will cause the Company’s Subsidiaries and will instruct its Representatives not to, directly or indirectly (i) initiate, solicit or knowingly encourage the making of a Competing Proposal; (ii) engage in any discussions with any Person with respect to a Competing Proposal; (iii) furnish any non-public information regarding the Company or its Subsidiaries, or access to the properties, assets or employees of the Company or its Subsidiaries, to any Person in connection with or in response to a Competing Proposal; (iv) enter into any letter of intent or agreement in principal, or other agreement providing for a Competing Proposal (other than a confidentiality agreement entered as provided in </w:t>
      </w:r>
      <w:r>
        <w:rPr>
          <w:rFonts w:ascii="Times New Roman" w:cs="Times New Roman" w:eastAsia="Times New Roman" w:hAnsi="Times New Roman"/>
          <w:sz w:val="18"/>
          <w:szCs w:val="18"/>
          <w:u w:val="single" w:color="auto"/>
          <w:color w:val="auto"/>
        </w:rPr>
        <w:t>Section 6.3(e)(ii)</w:t>
      </w:r>
      <w:r>
        <w:rPr>
          <w:rFonts w:ascii="Times New Roman" w:cs="Times New Roman" w:eastAsia="Times New Roman" w:hAnsi="Times New Roman"/>
          <w:sz w:val="18"/>
          <w:szCs w:val="18"/>
          <w:color w:val="auto"/>
        </w:rPr>
        <w:t xml:space="preserve">); or (v) release or permit the release of any Person from, or amend, waive or permit the amendment or waiver of any provision of, any “standstill” or similar agreement or provision to allow such Person to make or amend a Competing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in this Agreement, the Company or any of its Representatives may, (A) in response to an unsolicited inquiry or proposal, seek to clarify the terms and conditions of such inquiry or proposal to determine whether such inquiry or proposal constitutes, or could reasonably be expected to lead to, a Superior Proposal and (B) in response to an inquiry or proposal from a third party, inform a third party or its Representative of the restrictions imposed by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(without conveying, requesting or attempting to gather any other information except as otherwise specifically permitted hereunder).</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advise Parent of the receipt by the Company of any Competing Proposal made on or after the date of this Agreement, any request for non-public information or data relating to the Company or any of its Subsidiaries made by any Person in connection with a Competing Proposal or any request for discussions or negotiations with the Company or a Representative of the Company relating to a Competing Proposal in each case within twenty-four (24) hours thereof, and the Company shall provide to Parent (within such twenty-four (24) hour timeframe) (i) a copy of any such Competing Proposal if made in writing provided to the Company or any of its Subsidiaries or (ii) if any such Competing Proposal is made orally, a written summary of the material financial and other terms of such Competing Proposal. Thereafter the Company shall keep Parent reasonably informed with respect to the status and material terms of any such Competing Proposal and any material changes to the status of any such discussions or negotiations.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304"/>
        <w:spacing w:after="0" w:line="258" w:lineRule="auto"/>
        <w:tabs>
          <w:tab w:leader="none" w:pos="15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the Company Board, including any committee thereof, agrees it shall not (i) withdraw, qualify or modify, or publicly propose to withdraw, qualify or modify, in a manner adverse to Parent, or fail to affirm without qualification at the request of Parent, the Company Board Recommendation; or (ii) approve, endorse or recommend, or publicly propose or announce any intention to approve, endorse or recommend, any Competing Proposal (the taking of any action described in clauses (i) and (ii) being referred to as a “</w:t>
      </w:r>
      <w:r>
        <w:rPr>
          <w:rFonts w:ascii="Times New Roman" w:cs="Times New Roman" w:eastAsia="Times New Roman" w:hAnsi="Times New Roman"/>
          <w:sz w:val="18"/>
          <w:szCs w:val="18"/>
          <w:u w:val="single" w:color="auto"/>
          <w:color w:val="auto"/>
        </w:rPr>
        <w:t>Company 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8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Company, directly or indirectly through one or more of its Representatives, may:</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184"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its outside legal counsel, make such disclosures as the Company Board or any committee thereof determines in good faith are necessary to comply with Rule 14d-9 or Rule 14e-2(a) promulgated under the Exchange Act or other disclosure required to be made in the Proxy Statement/Prospectus by applicable U.S.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shall, except as expressly permitted by </w:t>
      </w:r>
      <w:r>
        <w:rPr>
          <w:rFonts w:ascii="Times New Roman" w:cs="Times New Roman" w:eastAsia="Times New Roman" w:hAnsi="Times New Roman"/>
          <w:sz w:val="18"/>
          <w:szCs w:val="18"/>
          <w:u w:val="single" w:color="auto"/>
          <w:color w:val="auto"/>
        </w:rPr>
        <w:t>Section 6.3(e)(iii)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effect a Company Change of Recommendation including in any disclosure document or communication filed or publicly issued or made in conjunction with the compliance with such requirements;</w:t>
      </w:r>
    </w:p>
    <w:p>
      <w:pPr>
        <w:spacing w:after="0" w:line="187"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engage in the activities prohibited by </w:t>
      </w:r>
      <w:r>
        <w:rPr>
          <w:rFonts w:ascii="Times New Roman" w:cs="Times New Roman" w:eastAsia="Times New Roman" w:hAnsi="Times New Roman"/>
          <w:sz w:val="18"/>
          <w:szCs w:val="18"/>
          <w:u w:val="single" w:color="auto"/>
          <w:color w:val="auto"/>
        </w:rPr>
        <w:t>Sections 6.3(b)(i)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38"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6.3(b)(iii)</w:t>
      </w:r>
      <w:r>
        <w:rPr>
          <w:rFonts w:ascii="Times New Roman" w:cs="Times New Roman" w:eastAsia="Times New Roman" w:hAnsi="Times New Roman"/>
          <w:sz w:val="18"/>
          <w:szCs w:val="18"/>
          <w:color w:val="auto"/>
        </w:rPr>
        <w:t xml:space="preserve"> with any Person who has made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prior to taking any such actions, the Company Board or any committee thereof determines in good faith, after consultation with its financial advisors and outside legal counsel, that such Competing Proposal is, or could reasonably be expected to lead to, a Superior Proposal, (B) no non-public information that is prohibited from being furnished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may be furnished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as determined by the Company Board in good faith after consultation with its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confidentiality agreement does not contain provisions that prohibits the Company from complying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(C) any such non-public information has previously been made available to, or is made available to, Parent prior to or concurrently with (or in the case of oral non-public information only, promptly (and in any event within twenty-four (24) hours) after) the time such information is made available to such Person;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left="660" w:firstLine="1292"/>
        <w:spacing w:after="0" w:line="253" w:lineRule="auto"/>
        <w:tabs>
          <w:tab w:leader="none" w:pos="2271"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 response to a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Board (or any committee thereof) so chooses, cause the Company to effect a Company Change of Recommendation or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if prior to taking such action (A) the Company Board (or a committee thereof) determines in good faith after consultation with its financial advisors and outside legal counsel that such Competing Proposal is a Superior Proposal (taking into account any adjustment to the terms and conditions of the Merger proposed by Parent in response to such Competing Proposal), (B) the Company Board (or a committee thereof) determines in good faith after consultation with its outside legal counsel that the failure to take such action would be inconsistent with its fiduciary obligations to the Company’s stockholders under applicable Law, and</w:t>
      </w:r>
    </w:p>
    <w:p>
      <w:pPr>
        <w:spacing w:after="0" w:line="2"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given notice to Parent that the Company has received such proposal, specifying the material terms and conditions of such proposal, and, that the Company intends to take such action, and either (1) Parent shall not have proposed revisions to the terms and conditions of this Agreement prior to the earlier to occur of the scheduled time for the Company Stockholders Meeting and the fifth (5th) Business Day after the date on which such notice is given to Parent, or (2) if Parent within the period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financial advisors and outside legal counsel, shall have determined in good faith that the Competing Proposal remains a Superior Proposal with respect to Parent’s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time material modifications to the financial terms of a Competing Proposal determined to be a Superior Proposal are made the time period set forth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prior to which the Company may effect a Company Change of Recommendation or terminate this Agreement shall be extended for forty-eight (48) hours after notification of such change to Parent; and</w:t>
      </w:r>
    </w:p>
    <w:p>
      <w:pPr>
        <w:spacing w:after="0" w:line="19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prior to receipt of the Company Stockholder Approval, in response to an Intervening Event, the Company may, if the Company Board (or any committee thereof) so chooses, effect a Company Change of Recommendation if prior to taking such action (i) the Company Board (or a committee thereof) determines in good faith after consultation with its outside legal counsel that the failure to take such action would be inconsistent with its fiduciary obligations to the Company’s stockholders under applicable Law, (ii) the Company shall have given notice to Parent that the Company has determined that an Intervening Event has occurred or arisen (which notice will reasonably describe such Intervening Event) and that the Company intends to effect a Company Change of Recommendation, and either (A) Parent shall not have proposed revisions to the terms and conditions of this Agreement prior to the earlier to occur of the scheduled time for the Company Stockholders Meeting and the fifth (5th) Business Day after the date on which such notice is given to Parent, or (B) if Parent within the period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outside legal counsel, shall have determined in good faith that such proposed changes do not obviate the need for the Company Board to effect a Company Change of Recommendation and that the failure to make a Company Change of Recommendation would be inconsistent with its fiduciary obligations to the Company’s stockholders under applicable Law.</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Preparation of Registration Statement and Proxy Statement/Prospectus.</w:t>
      </w:r>
    </w:p>
    <w:p>
      <w:pPr>
        <w:spacing w:after="0" w:line="225" w:lineRule="exact"/>
        <w:rPr>
          <w:sz w:val="20"/>
          <w:szCs w:val="20"/>
          <w:color w:val="auto"/>
        </w:rPr>
      </w:pPr>
    </w:p>
    <w:p>
      <w:pPr>
        <w:jc w:val="both"/>
        <w:ind w:firstLine="1304"/>
        <w:spacing w:after="0" w:line="252" w:lineRule="auto"/>
        <w:tabs>
          <w:tab w:leader="none" w:pos="15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prepare (with Parent’s reasonable cooperation) a Proxy Statement/Prospectus (as part of the Registration Statement), and Parent shall promptly prepare and file with the SEC (with the Company’s reasonable cooperation) the Registration Statement, in which the Proxy Statement/Prospectus will be included as a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the Company and Parent shall furnish such Registration Statement or Proxy Statement/Prospectus, as applicable, to the other and give the other and its legal counsel and other advisors a reasonable opportunity to review such Registration Statement or Proxy Statement/Prospectus, as applicable, prior to filing with the SEC and shall accept all reasonable additions, deletions or changes suggested by the other in connection therewith. Each of the Company and Parent shall notify the other of the receipt of any comments of the SEC staff with respect to the Registration Statement or Proxy Statement/Prospectus, as applicable, and of any requests by the SEC for any amendment or supplement thereto or for additional information and shall provide to the other, as promptly as reasonably practicable, copies of all written correspondence between the Company or Parent or any representative thereof and the SEC with respect to the Registration Statement or Proxy Statement/Prospectus, as applicable. If comments are received from the SEC staff with respect to the Registration Statement or Proxy Statement/Prospectus, the Company or Parent shall respond as promptly as reasonably practicable to the comments of the SEC. Each of the Company or Parent shall provide the other and its legal counsel with a reasonable opportunity to review any amendment or supplement to the Registration Statement or Proxy Statement/Prospectus prior to filing with the SEC and shall accept all reasonable additions, deletions or changes suggested by the other in connection therewith. Each of the Company and Parent shall promptly provide the other with such information as may be required to be included in the Registration Statement or Proxy Statement/Prospectus, as applicable, or as may be reasonably required to respond to any comment of the SEC staff. After all the comments received from the SEC have been cleared by the SEC staff and all information required to be contained in the (i) Registration Statement has been included therein by Parent, Parent shall file the Registration Statement and use its reasonable best efforts to have the Registration Statement declared effective under the Securities Act as promptly as practicable after such filing (including by responding to comments from the SEC) and (ii) Proxy Statement/Prospectus has been included therein by the Company, as promptly as practicable after the Registration Statement shall have become effective the Company shall file the definitive Proxy Statement/Prospectus with the SEC and cause the Proxy Statement/Prospectus to be mailed (including by electronic delivery if permitted) to its stockholders of record, as of the record date established by the Company Board.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Stockholders Meeting.</w:t>
      </w:r>
    </w:p>
    <w:p>
      <w:pPr>
        <w:spacing w:after="0" w:line="225" w:lineRule="exact"/>
        <w:rPr>
          <w:sz w:val="20"/>
          <w:szCs w:val="20"/>
          <w:color w:val="auto"/>
        </w:rPr>
      </w:pPr>
    </w:p>
    <w:p>
      <w:pPr>
        <w:jc w:val="both"/>
        <w:ind w:firstLine="1304"/>
        <w:spacing w:after="0" w:line="253" w:lineRule="auto"/>
        <w:tabs>
          <w:tab w:leader="none" w:pos="15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call, hold and convene a meeting of its stockholders to consider the adoption of this Agreement, to be held as promptly as reasonably practicable after the mailing of the Proxy Statement/Prospectus to the Company’s stockholders. Except as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Board shall recommend that the stockholders of the Company approve and adopt this Agreement at the Company Stockholders Meeting and the Company Board shall solicit from stockholders of the Company proxies in favor of the adoption of this Agreement, and the Proxy Statement/Prospectus shall include a statement to the effect that the Company Board has made the Company Board Recommendation. Notwithstanding anything to the contrary contained in this Agreement, the Company (i) shall be required to adjourn or postpone the Company Stockholders Meeting (A) to the extent necessary to ensure that any required supplement or amendment to the Proxy Statement/Prospectus is provided to the Company’s stockholders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Stockholders Meeting shall not be adjourned or postponed (x) to a date that is more than thirty (30) days after the date for which the meeting was previously scheduled without Parent’s prior written consent or (y) to a date on or after two (2) Business Days prior to the End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304"/>
        <w:spacing w:after="0" w:line="261" w:lineRule="auto"/>
        <w:tabs>
          <w:tab w:leader="none" w:pos="157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unless this Agreement shall have been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agrees that its obligations to hold the Company Stockholders Meeting,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making of a Company Change of Recommendation and its obligations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commencement, announcement, disclosure, or communication to the Company of any Competing Proposal or the occurrence or disclosure of any Intervening Event.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Access to Information.</w:t>
      </w:r>
    </w:p>
    <w:p>
      <w:pPr>
        <w:spacing w:after="0" w:line="225" w:lineRule="exact"/>
        <w:rPr>
          <w:sz w:val="20"/>
          <w:szCs w:val="20"/>
          <w:color w:val="auto"/>
        </w:rPr>
      </w:pPr>
    </w:p>
    <w:p>
      <w:pPr>
        <w:jc w:val="both"/>
        <w:ind w:firstLine="1304"/>
        <w:spacing w:after="0" w:line="253" w:lineRule="auto"/>
        <w:tabs>
          <w:tab w:leader="none" w:pos="155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and shall cause each of its Subsidiaries to, afford to Parent and its Representatives, reasonable access, at reasonable times upon reasonable prior notice, to the officers, key employees, agents, properties, offices and other facilities of the Company and its Subsidiaries, and to their books, records (other than records covered by the Heath Insurance Portability and Accountability Act), contracts and documents, and the Company shall, and shall cause each of the Company’s Subsidiaries to, furnish reasonably promptly to Parent and its Representatives such information concerning the Company and its Subsidiaries’ business, governance, properties, contracts, records and personnel as may be reasonably requested, from time to time, by or on behalf of Parent. Parent and its Representatives shall conduct any such activities in such a manner as not to interfere unreasonably with the business or operations of the Company or its Subsidiaries or otherwise cause any unreasonable interference with the prompt and timely discharge by the employees of the Company and its Subsidiaries of their normal duties. Notwithstanding anything to the contrary herein,</w:t>
      </w:r>
    </w:p>
    <w:p>
      <w:pPr>
        <w:jc w:val="both"/>
        <w:ind w:firstLine="8"/>
        <w:spacing w:after="0" w:line="251" w:lineRule="auto"/>
        <w:tabs>
          <w:tab w:leader="none" w:pos="21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required to, or to cause any of its Subsidiaries to, grant access or furnish information to Parent or any of its Representatives to the extent that such information is subject to an attorney/client privilege or the attorney work product doctrine or that such access or the furnishing of such information is prohibited by applicable Law or an existing contract or agreement; provided that the Company shall use its commercially reasonable efforts to provide the applicable information in a way that would not jeopardize such privilege or violate such Law or contract or agreement; (ii) Parent and its Representatives shall not be permitted to conduct any sampling or analysis of any environmental media or building materials at any facility of the Company or its Subsidiaries without the prior written consent of the Company, which may be granted or withheld in the Company’s sole discretion; and (iii) to the extent the Company is obligated to provide Parent or its Representatives with physical access to the officers, key employees, agents, properties, offices and other facilities of the Company and its Subsidiaries, and to their books, records, contracts and documents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Company may instead provide such access by electronic means if physical access is not reasonably feasible or would not be permitted under applicable Law. Each of Parent and the Company agrees that it will not, and will cause their respective Representatives not to, use any information obtained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for any purpose unrelated to the consummation of the Transactions.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304"/>
        <w:spacing w:after="0" w:line="261" w:lineRule="auto"/>
        <w:tabs>
          <w:tab w:leader="none" w:pos="15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Non-Disclosure Agreement dated as of January 8, 2024,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survive the execution and delivery of this Agreement until the later of (i) the termination of the Confidentiality Agreement according to its terms and</w:t>
      </w:r>
    </w:p>
    <w:p>
      <w:pPr>
        <w:jc w:val="both"/>
        <w:ind w:firstLine="8"/>
        <w:spacing w:after="0" w:line="255" w:lineRule="auto"/>
        <w:tabs>
          <w:tab w:leader="none" w:pos="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and shall apply to all information furnished thereunder or hereunder. All information provided to either Parent or the Company or their respective Representative pursuant to or in connection with this Agreement is deemed to be “Confidential Information” as defined under the Confidentiality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HSR and Other Approvals.</w:t>
      </w:r>
    </w:p>
    <w:p>
      <w:pPr>
        <w:spacing w:after="0" w:line="225" w:lineRule="exact"/>
        <w:rPr>
          <w:sz w:val="20"/>
          <w:szCs w:val="20"/>
          <w:color w:val="auto"/>
        </w:rPr>
      </w:pPr>
    </w:p>
    <w:p>
      <w:pPr>
        <w:jc w:val="both"/>
        <w:ind w:firstLine="1304"/>
        <w:spacing w:after="0" w:line="253" w:lineRule="auto"/>
        <w:tabs>
          <w:tab w:leader="none" w:pos="155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filings and notifications made pursuant to Antitrust Laws to which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shall apply, promptly following the execution of this Agreement, the Parties shall proceed to prepare and file with the appropriate Governmental Entities, and submit to or obtain from other third parties, as applicable,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Notwithstanding the foregoing, in no event shall either the Company or Parent or any of their respective Affiliates be required to pay any consideration to any third parties or give anything of value to obtain any such Person’s authorization, approval, consent or waiver to effectuate the Transactions, other than filing, recordation or similar fees.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Subsidiaries, that appears in any filing made with, or written materials submitted to, any third party or any Governmental Entity in connection with the Transactions (including the Proxy Statement/Prospectus).</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and jointly determine no later than forty-five (45) days following the execution of this Agreement whether pre-merger filings are required under the HSR Act. If the Parties determine that such filings are required, the Parties shall make these filings no later than ten (10) Business Days following the date of such determination. As promptly as reasonably practicable, the Parties shall make the filings and notifications as may be required by foreign competition laws and merger regulations (the “</w:t>
      </w:r>
      <w:r>
        <w:rPr>
          <w:rFonts w:ascii="Times New Roman" w:cs="Times New Roman" w:eastAsia="Times New Roman" w:hAnsi="Times New Roman"/>
          <w:sz w:val="18"/>
          <w:szCs w:val="18"/>
          <w:u w:val="single" w:color="auto"/>
          <w:color w:val="auto"/>
        </w:rPr>
        <w:t>Competition Law Notifications</w:t>
      </w:r>
      <w:r>
        <w:rPr>
          <w:rFonts w:ascii="Times New Roman" w:cs="Times New Roman" w:eastAsia="Times New Roman" w:hAnsi="Times New Roman"/>
          <w:sz w:val="18"/>
          <w:szCs w:val="18"/>
          <w:color w:val="auto"/>
        </w:rPr>
        <w:t>”). Each of Parent and the Company shall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of any applicable waiting period under the HSR Act or any Competition Law Notifications. Parent and the Company shall each use its reasonable best efforts to respond to and comply with any request for information from any Governmental Entity charged with enforcing, applying, administering, or investigating the HSR Act, any Competition Law Notifications or any other Law designed to prohibit, restrict or regulate actions for the purpose or effect of mergers, monopolization, restraining trade or abusing a dominant position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including the Federal Trade Commission, the Department of Justice, any attorney general of any state of the United States or any other competition authority of any jurisdiction (“</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Parent and the Company shall keep each other apprised of the status of any communications with, and any inquiries or requests for additional information from any Antitrust Authority.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304"/>
        <w:spacing w:after="0" w:line="251"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may, at the discretion of the Company, be conditioned upon consummation of the Merger) (each a “</w:t>
      </w:r>
      <w:r>
        <w:rPr>
          <w:rFonts w:ascii="Times New Roman" w:cs="Times New Roman" w:eastAsia="Times New Roman" w:hAnsi="Times New Roman"/>
          <w:sz w:val="18"/>
          <w:szCs w:val="18"/>
          <w:u w:val="single" w:color="auto"/>
          <w:color w:val="auto"/>
        </w:rPr>
        <w:t>Divestiture Action</w:t>
      </w:r>
      <w:r>
        <w:rPr>
          <w:rFonts w:ascii="Times New Roman" w:cs="Times New Roman" w:eastAsia="Times New Roman" w:hAnsi="Times New Roman"/>
          <w:sz w:val="18"/>
          <w:szCs w:val="18"/>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In the event that any action is threatened or instituted challenging the Merger as violative of any Antitrust Law, Parent shall (A) take such action, including any Divestiture Action, as may be necessary to avoid, resist or resolve such action; and (B) defend, at its cost and expense, any action or actions, whether judicial or administrative, in connection with the transactions contemplated by this Agreement. Parent shall be entitled to direct any Proceedings with any Antitrust Authority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afford the Company a reasonable opportunity to participate therein. In addition,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Notwithstanding anything to the contrary in this Agreement, Parent shall not be required to agree to any action required in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(including any Divestiture Actions) that would, individually or taken together, reasonably be expected to have a material adverse effect on Parent (including its Affiliates) or the Company (including its Affiliates). The Parties shall take reasonable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so as to preserve any applicable privilege.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1304"/>
        <w:spacing w:after="0" w:line="255" w:lineRule="auto"/>
        <w:tabs>
          <w:tab w:leader="none" w:pos="15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the Company shall (1) as promptly as reasonably practicable after the Effective Time prepare and in no event later within 10 Business Days after the date of this Agreement cause the Scrubgrass Project Company and the Panther Creek Project Company to file with FERC the “informational filing” required under Section 2 of the PJM Tariff and a request for a waiver of the 90-day period set forth on Schedule 2 of the PJM Tariff (collectively the “</w:t>
      </w:r>
      <w:r>
        <w:rPr>
          <w:rFonts w:ascii="Times New Roman" w:cs="Times New Roman" w:eastAsia="Times New Roman" w:hAnsi="Times New Roman"/>
          <w:sz w:val="18"/>
          <w:szCs w:val="18"/>
          <w:u w:val="single" w:color="auto"/>
          <w:color w:val="auto"/>
        </w:rPr>
        <w:t>Reactive Power Filing</w:t>
      </w:r>
      <w:r>
        <w:rPr>
          <w:rFonts w:ascii="Times New Roman" w:cs="Times New Roman" w:eastAsia="Times New Roman" w:hAnsi="Times New Roman"/>
          <w:sz w:val="18"/>
          <w:szCs w:val="18"/>
          <w:color w:val="auto"/>
        </w:rPr>
        <w:t>”) and (2) as promptly as reasonably practicable after the Effective Time prepare and in no event later than 10 calendar days after the Effective Time, cause the Scrubgrass Project Company and the Panther Creek Project Company to provide to PJM all information required by Section 2 of PJM Manual 14D by the deadlines set forth therein. Parent shall assist the Company as is reasonably necessary in the preparation of such information to be provided pursuant to clause (ii) above.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 Matters.</w:t>
      </w:r>
    </w:p>
    <w:p>
      <w:pPr>
        <w:spacing w:after="0" w:line="225" w:lineRule="exact"/>
        <w:rPr>
          <w:sz w:val="20"/>
          <w:szCs w:val="20"/>
          <w:color w:val="auto"/>
        </w:rPr>
      </w:pPr>
    </w:p>
    <w:p>
      <w:pPr>
        <w:jc w:val="both"/>
        <w:ind w:firstLine="1304"/>
        <w:spacing w:after="0" w:line="255" w:lineRule="auto"/>
        <w:tabs>
          <w:tab w:leader="none" w:pos="15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Closing Date, Parent shall cause each individual who is employed as of the time immediately prior to the Closing Date by the Company or a Subsidiary thereof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and who remains employed by Parent or any of its Subsidiaries (including the Surviving Corporation or any of its Subsidiaries) to be provided with (i) base compensation (salary or wages, as applicable), that is no less favorable than that in effect for such Company Employee immediately prior to the Closing Date, (ii) annual cash bonus opportunities at targets that are no less favorable than those in effect for such Company Employee immediately prior to the Closing Date and (iii) retirement and health and welfare benefits that are substantially comparable in the aggregate to those provided by the Parent or its Subsidiaries to similarly situated employees of the Parent and Subsidiaries immediately prior to the Closing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credit the Company Employees for purposes of vesting, eligibility and benefit accrual under the Parent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Company Employees participate, for such Company Employees’ service with the Company and its Subsidiaries, to the same extent and for the same purposes that such service was taken into account under a corresponding Company Plan immediately prior to the Closing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use commercially reasonable efforts to(i) waive any limitation on health and welfare coverage of any Company Employee and his or her eligible dependents due to pre-existing conditions and/or waiting periods, active employment requirements and requirements to show evidence of good health under the applicable health and welfare Parent Plan to the extent such Company Employee and his or her eligible dependents are covered under a Company Plan immediately prior to the Closing Date, and such conditions, periods or requirements are satisfied or waived under such Company Plan and (ii) give each Company Employee credit for the plan year in which the Closing Date occurs towards applicable deductibles and annual out-of-pocket limits for medical expenses incurred and contributions to flexible spending accounts prior to the Closing Date for which payments or contributions have been made, in each case, to the extent permitted by the applicable insurance plan provider.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1304"/>
        <w:spacing w:after="0" w:line="266" w:lineRule="auto"/>
        <w:tabs>
          <w:tab w:leader="none" w:pos="15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Corporation and its Subsidiaries, to honor their respective obligations under all employment, severance, retention, bonus, change in control, and other agreements, if any, between the Company (or a Subsidiary thereof) and any individual employed on or prior to the Closing Date by the Company or a Subsidiary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vacation days and other paid time off to which each Company Employee is entitled during the calendar year in which the Closing occurs, Parent will cause the Surviving Corporation or one of its Subsidiaries to honor all unused vacation and other paid time off days accrued or earned by such Company Employee as of the Closing Date for the calendar year in which the Closing Date occurs. Company Employees shall continue to accrue vacation and other paid time off consistent with applicable policies of the Company and its Subsidiaries following the Closing.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at least ten (10) Business Days prior to the Closing Date, the Company shall take all actions necessary to cause the Company to terminate the Company’s tax-qualified defined contribution 401(k) retirement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or cause such plan to be terminated, effective as of no later than the day immediately preceding the Closing Date, and contingent upon the occurrence of the Closing, and provide that participants in the Company 401(k) Plan shall become fully vested in any unvested portion of their Company 401(k) Plan accounts as of the date such plan is terminated. If such request to terminate the Company 401(k) Plan is made, the Company shall provide Parent with evidence that the Company 401(k) Plan has been terminated (effective no later than immediately prior to the Closing Date and contingent on the Closing) pursuant to resolutions of Company. The form and substance of such resolutions shall be subject to prior review by Parent.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constitute an amendment to, or be construed as amending, any Employee Benefit Plan sponsored, maintained or contributed to by the Company, Parent or any of their respective Subsidiaries.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for the sole benefit of the Parties and nothing herein, expressed or 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third-party beneficiary,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under or by reason of any provision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Indemnification; Directors’ and Officers’ Insurance.</w:t>
      </w:r>
    </w:p>
    <w:p>
      <w:pPr>
        <w:spacing w:after="0" w:line="225" w:lineRule="exact"/>
        <w:rPr>
          <w:sz w:val="20"/>
          <w:szCs w:val="20"/>
          <w:color w:val="auto"/>
        </w:rPr>
      </w:pPr>
    </w:p>
    <w:p>
      <w:pPr>
        <w:jc w:val="both"/>
        <w:ind w:firstLine="1304"/>
        <w:spacing w:after="0" w:line="252" w:lineRule="auto"/>
        <w:tabs>
          <w:tab w:leader="none" w:pos="15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rights that any Indemnified Person may have pursuant to any employment agreement or indemnification agreement in effect on the date hereof or otherwise (which shall be assumed by the Surviving Corporation), from the Effective Time until the sixth anniversary of the Effective Time, Parent and the Surviving Corporation shall, jointly and severally, indemnify, defend and hold harmless each Person who is now, or has been at any time prior to the date of this Agreement or who becomes prior to the Effective Time, a director or officer of the Company or any of its Subsidiaries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the Company or any of its Subsidiaries or is or was serving at the request of the Company or any of its Subsidiaries as a director or officer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including all Indemnified Liabilities based in whole or in part on, or arising in whole or in part out of, or pertaining to, this Agreement or the Transactions, in each case to the fullest extent permitted under applicable Law. For a period of six (6) years following the Effective Time, Parent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For a period of six (6) years following the Effective Time, Parent shall, and shall cause the Surviving Corporation and its Subsidiaries to, fulfill and honor any indemnification, expense advancement or exculpation agreements between the Company or any of its Subsidiaries and any of the Indemnified Persons existing immediately prior to the Effective Time.</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Surviving Corporation will cause to be put in place, and Parent shall fully prepay immediately prior to the Effective Time, “tail” insurance policies with a claims reporting or discovery period of at least six (6) years from the Effective Time (the “</w:t>
      </w:r>
      <w:r>
        <w:rPr>
          <w:rFonts w:ascii="Times New Roman" w:cs="Times New Roman" w:eastAsia="Times New Roman" w:hAnsi="Times New Roman"/>
          <w:sz w:val="18"/>
          <w:szCs w:val="18"/>
          <w:u w:val="single" w:color="auto"/>
          <w:color w:val="auto"/>
        </w:rPr>
        <w:t>Tail Period</w:t>
      </w:r>
      <w:r>
        <w:rPr>
          <w:rFonts w:ascii="Times New Roman" w:cs="Times New Roman" w:eastAsia="Times New Roman" w:hAnsi="Times New Roman"/>
          <w:sz w:val="18"/>
          <w:szCs w:val="18"/>
          <w:color w:val="auto"/>
        </w:rPr>
        <w:t>”) from an insurance carrier with the same or better credit rating as the Company’s current insurance carrier with respect to directors’ and officers’ liability insurance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in an amount and scope at least as favorable as the Company’s existing policies with respect to matters, acts or omissions existing or occurring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be required to spend more than 300% (the “</w:t>
      </w:r>
      <w:r>
        <w:rPr>
          <w:rFonts w:ascii="Times New Roman" w:cs="Times New Roman" w:eastAsia="Times New Roman" w:hAnsi="Times New Roman"/>
          <w:sz w:val="18"/>
          <w:szCs w:val="18"/>
          <w:u w:val="single" w:color="auto"/>
          <w:color w:val="auto"/>
        </w:rPr>
        <w:t>Cap Amount</w:t>
      </w:r>
      <w:r>
        <w:rPr>
          <w:rFonts w:ascii="Times New Roman" w:cs="Times New Roman" w:eastAsia="Times New Roman" w:hAnsi="Times New Roman"/>
          <w:sz w:val="18"/>
          <w:szCs w:val="18"/>
          <w:color w:val="auto"/>
        </w:rPr>
        <w:t xml:space="preserve">”) of the last annual premium paid by the Company prior to the date hereof (the amount of such premium being set forth on </w:t>
      </w:r>
      <w:r>
        <w:rPr>
          <w:rFonts w:ascii="Times New Roman" w:cs="Times New Roman" w:eastAsia="Times New Roman" w:hAnsi="Times New Roman"/>
          <w:sz w:val="18"/>
          <w:szCs w:val="18"/>
          <w:u w:val="single" w:color="auto"/>
          <w:color w:val="auto"/>
        </w:rPr>
        <w:t>Schedule 6.9(b)</w:t>
      </w:r>
      <w:r>
        <w:rPr>
          <w:rFonts w:ascii="Times New Roman" w:cs="Times New Roman" w:eastAsia="Times New Roman" w:hAnsi="Times New Roman"/>
          <w:sz w:val="18"/>
          <w:szCs w:val="18"/>
          <w:color w:val="auto"/>
        </w:rPr>
        <w:t xml:space="preserve"> of the Company Disclosure Letter) per policy year of coverage under such tail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cost per policy year of such insurance exceeds the Cap Amount, Parent shall purchase as much coverage per policy year as reasonably obtainable for the Cap Amount.</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Parent, the Surviving Corporation or any of their Subsidiaries or any of their respective successors or assignees</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shall not be the continuing or surviving corporation or entity of such consolidation or merger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all or substantially all of its properties and assets to any Person, then, in each such case, proper provisions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intended to be for the benefit of, and shall be enforceable by, each of the Indemnified Persons. The rights of the Indemnified Persons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 addition to any rights such Indemnified Persons may have under the Organizational Documents of the Company or any of its Subsidiaries, or under any applicable contracts or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Agreement to Defend; Stockholder Litigation</w:t>
      </w:r>
      <w:r>
        <w:rPr>
          <w:rFonts w:ascii="Times New Roman" w:cs="Times New Roman" w:eastAsia="Times New Roman" w:hAnsi="Times New Roman"/>
          <w:sz w:val="18"/>
          <w:szCs w:val="18"/>
          <w:color w:val="auto"/>
        </w:rPr>
        <w:t xml:space="preserve">. In the event any Proceeding by any Governmental Entity or other Person is commenced that questions the validity or legality of the Transactions or seeks damages in connection therewith, the Parties agree to cooperate and use their reasonable best efforts to defend against and respond thereto. The Company shall give Parent reasonable opportunity to participate in the defense or settlement of any stockholder litigation against the Company and its directors relating to any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settlement shall be agreed to without Parent’s consent, which shall not be unreasonably withheld, conditioned or delayed.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with respect to the execution of this Agreement shall be a joint press release to be reasonably agreed upon by the Parties. No Party shall, and each will cause its Representatives not to, issue any public announcements or make other public disclosures regarding this Agreement or the Transactions, without the prior written approval of the other Party. Notwithstanding the foregoing, (i) a Party, its Subsidiaries or their Representatives may issue a public announcement or other public disclosures with respect to the Merger or any of the other Transactions (a) if required by applicable Law or (b) if required by the rules of any stock exchange upon which such Party’s or its Subsidiary’s capital stock is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such Party uses reasonable best efforts to afford the other Party an opportunity to first review the content of the proposed disclosure and provide reasonable comments thereon; (ii) each of Parent and the Company may, without consultation with or consent of the other Party,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(iii) the Company shall not be required by any provision of this Agreement to consult with or obtain any approval from Parent with respect to a public announcement or press release issued in connection with the receipt and existence of a Competing Proposal and matters related thereto or a Company Change of Recommendation,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(iv) neither Parent nor the Company need to consult with (or obtain the consent of) the other Party in connection with any press release, public statement or filing in connection with any Proceeding between Parent and the Company related to this Agreement or any of the Transactions.</w:t>
      </w:r>
    </w:p>
    <w:p>
      <w:pPr>
        <w:spacing w:after="0" w:line="1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At or prior to the Closing, the Company shall use commercially reasonable efforts to obtain a valid IRS Form W-9 from each holder of Company Holdco Units (other than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Reasonable Best Efforts; 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that the Parties’ obligations are specifically set forth elsewhere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reasonably practicable, the Merger and the other Transactions, including taking all reasonable actions necessary to satisfy the respective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1304"/>
        <w:spacing w:after="0" w:line="254" w:lineRule="auto"/>
        <w:tabs>
          <w:tab w:leader="none" w:pos="155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as otherwise required by any Governmental Entity, the Company and Parent each shall keep the other apprised of the status of matters relating to the consummation of the Transactions, including promptly (i) furnishing the other with copies of notices or other communications received by Parent or the Company, as applicable, or any of its Subsidiaries, from any third party or any Governmental Entity with respect to the Transactions (including those alleging that the approval or consent of such Person is or may be required in connection with the Transactions), and (ii) giving written notice to the other Party upon becoming aware (x) that any representation or warranty made by it in this Agreement, or in the case of Parent, by it, BMS or Merger Sub, has become untrue or inaccurate or (y) of any failure by it, or in the case of Parent, by it, BMS or Merger Sub, to comply with or satisfy any covenant, obligation or agreement to be complied with or satisfied by it pursuant to this Agreement, in each case if and only to the extent that such untruth, inaccuracy or failure would reasonably be expected to cause any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(with respect to Parent)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(with respect to the Company) to fail to be satisfied.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BMS, Merger Sub and the Company shall take all such steps as may be required to cause any dispositions of equity securities of the Company (including derivative securities) by each individual who is subject to the reporting requirements of Section 16(a) of the Exchange Act with respect to the Company, to be exempt under Rule 16b-3 under the Exchange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The Company will not take any action that would cause the Transactions to be subject to requirements imposed by any Takeover Laws, and will take all reasonable steps within its control to exempt (or ensure the continued exemption of) the Transactions from the Takeover Laws of any state that purport to apply to this Agreement or the Transactions.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xml:space="preserve"> Parent shall use its reasonable best efforts to cause the Parent Common Shares to be issued in the Merger to be approved for listing on the TSX and NASDAQ, subject to customary conditions and official notice of issuance.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and the Surviving Corporation to perform their respective obligations under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Treatment of Company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Closing Date, to the extent requested by Parent, the Company shall, at the sole expense of Parent, use reasonable best efforts to promptly obtain any consents or amendments as necessary to permit the consummation of the Transactions (in the manner as set forth in this Agreement) under the Company Credit Agreement, which shall be in form and substance reasonably satisfactory to Parent (the “</w:t>
      </w:r>
      <w:r>
        <w:rPr>
          <w:rFonts w:ascii="Times New Roman" w:cs="Times New Roman" w:eastAsia="Times New Roman" w:hAnsi="Times New Roman"/>
          <w:sz w:val="18"/>
          <w:szCs w:val="18"/>
          <w:u w:val="single" w:color="auto"/>
          <w:color w:val="auto"/>
        </w:rPr>
        <w:t>COC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the operative provisions of the COC Amendment to permit the consummation of the Transactions and the payment of any fees by Parent or its Subsidiaries in connection therewith shall, in each case, be conditioned upon the occurrence of the Closing and (B) the obtaining of the COC Amendment shall not be a condition to the consummation of the Transactions. In addition, prior to the Closing Date, the Company shall, and shall cause its Subsidiaries to, and shall use its reasonable best efforts to cause its and their respective Representatives to, at the sole expense of Parent, provide all customary cooperation and all customary historical financial information, in each case that is reasonably requested by Parent or its Affiliates in connection with the COC Amendment and the Transactions or any other transaction undertaken in connection therewith to the extent such financial information is reasonably available to the Company and its Subsidiaries.</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COC Amendment is not obtained prior to the date that is five (5) Business Days prior to the Closing Date, then at least two (2) Business Days prior to the Closing Date, the Company shall deliver to Parent fully executed copies of payoff letters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in a form and substance reasonably acceptable to Parent, from the lenders, or the administrative agent (or similar Person) on behalf of the lenders, under the Company Credit Agreement and the B&amp;M Note, as applicable. Such Payoff Letters shall (a) confirm the aggregate outstanding amount required to be paid to fully satisfy all principal, interest, prepayment premiums, penalties, breakage costs or any other outstanding and unpaid Indebtedness and other obligations under the Company Credit Agreement and B&amp;M Note, as applicable, as of the anticipated Closing Date (and the daily accrual of interest thereafter)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(b) contain payment instructions, (c) state that, upon receipt of the Payoff Amount in accordance with such Payoff Letters, such Indebtedness and all related loan documents shall be discharged and terminated, (d) provide that all Encumbrances (including mortgages) and guarantees in connection with such Indebtedness relating to the assets or properties of the Company or any of its Subsidiaries under such Indebtedness shall be released and terminated upon payment of the Payoff Amount on the Closing Date and (e) provide for the return of all possessory collateral (if any) in connection with such Indebtedness (to the extent reasonably practicable, on the Closing Date). Notwithstanding the foregoing, it is agreed and understood that (i) no such Indebtedness and/or other obligations under the Company Credit Agreement or B&amp;M Note shall be required to be paid or otherwise satisfied pursuant to the Payoff Letters prior to the Closing, and (ii) prior to or substantially concurrent with the Closing, Parent shall pay and satisfy the outstanding Indebtedness under the Company Credit Agreement and B&amp;M Note as set forth in the applicable Payoff Letter at Parent’s sole cost and expense.</w:t>
      </w:r>
    </w:p>
    <w:p>
      <w:pPr>
        <w:spacing w:after="0" w:line="19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Parent at least two (2) Business Days prior to the Closing Date copies of release letters with respect to the Specified Debt Agreements in customary form reasonably satisfactory to Parent, which release letters shall evidence the satisfaction, release and discharge of all Indebtedness and other obligations of the Company and each of its Subsidiaries under the Specified Debt Agreements and any related loan documents and, to the extent any obligations of any Person thereunder are secured by an Encumbrance on any assets or property of the Company or any of its Subsidiaries, a statement by the holders of the Indebtedness under the Specified Debt Agreements (or an agent or other representative on their behalf) that such Encumbrances have been released. Prior to the Closing, the Company shall have obtained documents (including an authorization for the Company and its designees to file Uniform Commercial Code termination statements, executed terminations and releases of outstanding Encumbrances on the assets or property of the Company or any of its Subsidiaries created in connection with the Specified Debt Agreements) as are reasonably necessary to evidence the release of such Encumbrances in accordance with such release letters.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Consummate the Merger</w:t>
      </w:r>
      <w:r>
        <w:rPr>
          <w:rFonts w:ascii="Times New Roman" w:cs="Times New Roman" w:eastAsia="Times New Roman" w:hAnsi="Times New Roman"/>
          <w:sz w:val="18"/>
          <w:szCs w:val="18"/>
          <w:color w:val="auto"/>
        </w:rPr>
        <w:t>.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176" w:lineRule="exact"/>
        <w:rPr>
          <w:sz w:val="20"/>
          <w:szCs w:val="20"/>
          <w:color w:val="auto"/>
        </w:rPr>
      </w:pPr>
    </w:p>
    <w:p>
      <w:pPr>
        <w:ind w:right="20" w:firstLine="1304"/>
        <w:spacing w:after="0" w:line="282" w:lineRule="auto"/>
        <w:tabs>
          <w:tab w:leader="none" w:pos="155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in accordance with applicable Law and the Organizational Documents of the Company.</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xml:space="preserve">. The Parent Common Shares to be issued in the Merger shall have been approved for listing on the TSX and NASDAQ (or any successor inter-dealer quotation system or stock exchange thereto) subject to customary conditions and official notice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invoke this condition if it has not complied in all material respects with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shall not be the subject of any stop order or proceeding seeking a stop order.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xml:space="preserve">. (i) Any waiting period applicable to the Transactions under the HSR Act shall have been terminated or shall have expired and (ii) the Consents from Governmental Entities shall have been obtained, and the filings and petitions with Governmental Entities shall have been made, in each case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Parent, BMS and Merger Sub</w:t>
      </w:r>
      <w:r>
        <w:rPr>
          <w:rFonts w:ascii="Times New Roman" w:cs="Times New Roman" w:eastAsia="Times New Roman" w:hAnsi="Times New Roman"/>
          <w:sz w:val="18"/>
          <w:szCs w:val="18"/>
          <w:color w:val="auto"/>
        </w:rPr>
        <w:t>. The obligations of Parent, BMS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176" w:lineRule="exact"/>
        <w:rPr>
          <w:sz w:val="20"/>
          <w:szCs w:val="20"/>
          <w:color w:val="auto"/>
        </w:rPr>
      </w:pPr>
    </w:p>
    <w:p>
      <w:pPr>
        <w:jc w:val="both"/>
        <w:ind w:firstLine="1304"/>
        <w:spacing w:after="0" w:line="253" w:lineRule="auto"/>
        <w:tabs>
          <w:tab w:leader="none" w:pos="15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(i) The Company Fundamental Representations shall be true and correct in all material respects as of the Closing Date, as though made on and as of the Closing Date (except that the Company Fundamental Representations that speak as of a specified date shall have been true and correct in all material respects only as of such date);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firstLine="1304"/>
        <w:spacing w:after="0" w:line="282" w:lineRule="auto"/>
        <w:tabs>
          <w:tab w:leader="none" w:pos="157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on or prior to the Effective Time.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Parent shall have received a certificate of the Company signed by an executive officer of the Company, dated the Closing Date, confirming that the conditions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Conditions</w:t>
      </w:r>
      <w:r>
        <w:rPr>
          <w:rFonts w:ascii="Times New Roman" w:cs="Times New Roman" w:eastAsia="Times New Roman" w:hAnsi="Times New Roman"/>
          <w:sz w:val="18"/>
          <w:szCs w:val="18"/>
          <w:color w:val="auto"/>
        </w:rPr>
        <w:t xml:space="preserve">. The conditions set forth on </w:t>
      </w:r>
      <w:r>
        <w:rPr>
          <w:rFonts w:ascii="Times New Roman" w:cs="Times New Roman" w:eastAsia="Times New Roman" w:hAnsi="Times New Roman"/>
          <w:sz w:val="18"/>
          <w:szCs w:val="18"/>
          <w:u w:val="single" w:color="auto"/>
          <w:color w:val="auto"/>
        </w:rPr>
        <w:t>Schedule 7.2(e)</w:t>
      </w:r>
      <w:r>
        <w:rPr>
          <w:rFonts w:ascii="Times New Roman" w:cs="Times New Roman" w:eastAsia="Times New Roman" w:hAnsi="Times New Roman"/>
          <w:sz w:val="18"/>
          <w:szCs w:val="18"/>
          <w:color w:val="auto"/>
        </w:rPr>
        <w:t xml:space="preserve"> of the Company Disclosure Letter shall have been satisfied.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w:t>
      </w:r>
      <w:r>
        <w:rPr>
          <w:rFonts w:ascii="Times New Roman" w:cs="Times New Roman" w:eastAsia="Times New Roman" w:hAnsi="Times New Roman"/>
          <w:sz w:val="18"/>
          <w:szCs w:val="18"/>
          <w:color w:val="auto"/>
        </w:rPr>
        <w:t>. The obligation of the Company to consummate the Merger is subject to the satisfaction at or prior to the Effective Time of the following conditions, any or all of which may be waived exclusively by the Company, in whole or in part, to the extent permitted by applicable Law:</w:t>
      </w:r>
    </w:p>
    <w:p>
      <w:pPr>
        <w:spacing w:after="0" w:line="176" w:lineRule="exact"/>
        <w:rPr>
          <w:sz w:val="20"/>
          <w:szCs w:val="20"/>
          <w:color w:val="auto"/>
        </w:rPr>
      </w:pPr>
    </w:p>
    <w:p>
      <w:pPr>
        <w:jc w:val="both"/>
        <w:ind w:firstLine="1304"/>
        <w:spacing w:after="0" w:line="253" w:lineRule="auto"/>
        <w:tabs>
          <w:tab w:leader="none" w:pos="1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Parent, BMS and Merger Sub</w:t>
      </w:r>
      <w:r>
        <w:rPr>
          <w:rFonts w:ascii="Times New Roman" w:cs="Times New Roman" w:eastAsia="Times New Roman" w:hAnsi="Times New Roman"/>
          <w:sz w:val="18"/>
          <w:szCs w:val="18"/>
          <w:color w:val="auto"/>
        </w:rPr>
        <w:t xml:space="preserve">. (i) The Parent Fundamental Representations shall be true and correct in all material respects as of the Closing Date, as though made on and as of the Closing Date (except that the Parent Fundamental Representations that speak as of a specified date shall have been true and correct in all material respects only as of such date); (ii) the representations and warranties of Parent, BMS and Merger Sub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Parent, BMS and Merger Sub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“Parent Material Adverse Effect”) would not reasonably be expected to have, individually or in the aggregate, a Parent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304"/>
        <w:spacing w:after="0" w:line="266" w:lineRule="auto"/>
        <w:tabs>
          <w:tab w:leader="none" w:pos="15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BMS and Merger Sub</w:t>
      </w:r>
      <w:r>
        <w:rPr>
          <w:rFonts w:ascii="Times New Roman" w:cs="Times New Roman" w:eastAsia="Times New Roman" w:hAnsi="Times New Roman"/>
          <w:sz w:val="18"/>
          <w:szCs w:val="18"/>
          <w:color w:val="auto"/>
        </w:rPr>
        <w:t>. Parent, BMS and Merger Sub each shall have performed, or complied with, in all material respects all agreements and covenants required to be performed or complied with by them under this Agreement on or prior to the Effective Time.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Company shall have received a certificate of Parent signed by an executive officer of Parent, dated the Closing Date, confirming that the conditions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the Parties may rely, either as a basis for not consummating the Merger or for terminating this Agreement, on the failure of any condition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as the case may be, to be satisfied if such failure was caused by such Party’s breach in any material respect of any provision of this Agreement.</w:t>
      </w:r>
    </w:p>
    <w:p>
      <w:pPr>
        <w:spacing w:after="0" w:line="17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Time, whether (except as expressly set forth below) before or after the Company Stockholder Approval has been obtained:</w:t>
      </w:r>
    </w:p>
    <w:p>
      <w:pPr>
        <w:spacing w:after="0" w:line="207" w:lineRule="exact"/>
        <w:rPr>
          <w:sz w:val="20"/>
          <w:szCs w:val="20"/>
          <w:color w:val="auto"/>
        </w:rPr>
      </w:pPr>
    </w:p>
    <w:p>
      <w:pPr>
        <w:ind w:left="1540" w:hanging="236"/>
        <w:spacing w:after="0"/>
        <w:tabs>
          <w:tab w:leader="none" w:pos="1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18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any Law that permanently makes consummation of the Merger illegal or otherwise permanently prohibited;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action or event described in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occurring;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left="660" w:firstLine="1292"/>
        <w:spacing w:after="0" w:line="255" w:lineRule="auto"/>
        <w:tabs>
          <w:tab w:leader="none" w:pos="2221"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5:00 p.m. New York, New York time, on May 21, 2025 (such date being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at 5:00 p.m. New York, New York time, on May 21, 2025, either (x)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(y) if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been satisfied or waived after February 21, 2025, the condition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has not been satisfied or waived, then the End Date shall be automatically extended, without any further action on the part of any Party, to August 21, 2025 and (B)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failure of the Merger to occur on or before such date;</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284"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by the other Party of any representation, warranty, covenant or other agreement contained in this Agreement which would give rise to the failure of a condition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or (b)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such breach is not curable prior to the End Date, or if curable prior to the End Date, has not been cured by the earlier of (i) thirty (30) days after the giving of written notice to the breaching Party of such breach and (ii) three (3) Business Days prior to the End Date) (a “</w:t>
      </w:r>
      <w:r>
        <w:rPr>
          <w:rFonts w:ascii="Times New Roman" w:cs="Times New Roman" w:eastAsia="Times New Roman" w:hAnsi="Times New Roman"/>
          <w:sz w:val="18"/>
          <w:szCs w:val="18"/>
          <w:u w:val="single" w:color="auto"/>
          <w:color w:val="auto"/>
        </w:rPr>
        <w:t>Terminable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terminating Party is not then in Terminable Breach of any representation, warranty, covenant or other agreement contained in this Agreement; or</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261"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 Approval shall not have been obtained upon a vote held at a duly held Company Stockholders Meeting, or at any adjournment or postponement thereof; or</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prior to, but not after, the time the Company Stockholder Approval is obtained, if the Company Board or any committee thereof shall have effected a Company Change of Recommendation (whether or not such Company Change of Recommendation is permitted by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but not after, the time the Company Stockholder Approval is obtained, in order to enter into a definitive agreement with respect to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contemporaneously with such termination tendered payment to Parent of the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the Company has complied in all material respects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or validly waived (other than those conditions that by their terms are to be satisfied at the Closing, so long as such conditions are at the time of termination capable of being satisfied at the Closing), (ii) Parent fails to consummate the Merger by the date on which Parent is required to consummate the Closing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(iii) the Company irrevocably confirms to Parent in writing, following the date on which the Closing is required to occur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that it stands ready, willing and able to consummate the Closing and that all of the closing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validly waived and</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consummate the Closing on or prior to the third Business Day following receipt of such irrevocable written confirmation of the Company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Termination;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any Party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any Party except with respect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6.6(b), Section 6.18(a)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but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no such termination shall relieve any Party from liability for any damages for a Willful and Material Breach of any covenant, agreement or obligation hereunder or fraud.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Expenses and Other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55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(Company Change of Recommendation) or (ii) the Company terminates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(Superior Proposal), then the Company shall pay Parent the Company Termination Fee (in the form of either, at the election of the Company: (x) cash by wire transfer of immediately available funds to an account designated by Parent and/or (y) Bitcoin to a Bitcoin wallet designated by Parent). If the fee is payable pursuant to clause (i) of the immediately preceding sentence, the fee shall be paid no later than three (3) Business Days after the termination of this Agreement, and if the fee is payable pursuant to clause (ii) of the immediately preceding sentence, the fee shall be paid contemporaneously with such termination of this Agreement.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or the Company terminates this Agreement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and on or before the date of any such termination a Competing Proposal shall have been publicly announced or publicly disclosed and not been withdrawn prior to the Company Stockholders Meeting, and (ii) within twelve (12) months after the date of such termination, the Company enters into a definitive agreement with respect to a Competing Proposal or consummates a Competing Proposal (in each case, whether or not such Competing Proposal is the same Competing Proposal referred to in clause (i) above), then the Company shall pay Parent the Company Termination Fee (in the form of either, at the election of the Company: (x) cash by wire transfer of immediately available funds to an account designated by Parent and/or (y) Bitcoin to a Bitcoin wallet designated by Parent) no later than three (3) Business Days after the earlier to occur of the entry into such definitive agreement or consummation of such Competing Proposal. For purposes of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any reference in the definition of Competing Proposal to “15%” shall be deemed to be a reference to “50%.” If the Company fails to timely pay the Company Termination Fee under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Parent obtains a final, non-appealable judgment against the Company for the Company Termination Fee or any portion thereof, then the Company shall pay Parent (in addition to the Company Termination Fee or portion thereof deemed owing) its costs and expenses (including reasonable and documented out-of-pocket attorney’s fees and disbursements) in connection with such suit.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5" w:lineRule="auto"/>
        <w:tabs>
          <w:tab w:leader="none" w:pos="15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(Closing Failure), then Parent shall pay the Company the Parent Termination Fee (in the form of either, at the election of Parent: (x) cash by wire transfer of immediately available funds to an account designated by the Company and/or (y) Bitcoin to a Bitcoin wallet designated by the Company). The fee shall be paid no later than three (3) Business Days after the termination of this Agreement. If Parent fails to timely pay the Parent Termination Fee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and the Company obtains a final, non-appealable judgment against Parent for the Parent Termination Fee or any portion thereof, then Parent shall pay the Company (in addition to the Parent Termination Fee or portion thereof deemed owing) the Company’s costs and expenses (including reasonable and documented out-of-pocket attorney’s fees and disbursements) in connection with such suit.</w:t>
      </w:r>
    </w:p>
    <w:p>
      <w:pPr>
        <w:spacing w:after="0" w:line="188"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in no event shall the Company be required to pay the Company Termination Fee on more than one occasion, whether or not the Company Termination Fee may be payable pursuant to more than one provision of this Agreement at the same time or at different times and upon the occurrence of different events, and (ii) in no event shall Parent be required to pay the Parent Termination Fee on more than one occasion, whether or not the Parent Termination Fee may be payable pursuant to more than one provision of this Agreement at the same time or at different times and upon the occurrence of different events. The Parties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The Parties agree that (i)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Parent Termination Fee is payable pursuant to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Company’s right to receive such Parent Termination Fee from Parent (plus, if such Parent Termination Fee is not timely paid, the costs and expenses described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shall be the sole and exclusive remedies of the Company and its Subsidiaries against Parent, BMS and Merger Sub and any of their respective former, current or future directors, officers, shareholders, Representatives or Affiliates for any loss suffered as a result of the failure of the Merger to be consummated or any matter forming the basis for such termination (including Willful and Material Breach), and upon payment of such amount, none of Parent, BMS and Merger Sub or any of their respective former, current or future directors, officers, shareholders, Representatives or Affiliates shall have any further liability or obligation relating to or arising out of this Agreement or the Transactions, and (ii)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Company Termination Fee is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Parent’s right to receive the Company Termination Fee from the Company (plus, if the Company Termination Fee is not timely paid, the costs and expenses described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shall be the sole and exclusive remedies of Parent, BMS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and Material Breach of any covenant, agreement or obligation (in which case only the Company shall be liable for damages for such fraud or Willful and Material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and Material Breach of any covenant, agreement or obligation. Nothing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shall limit the rights of Parent, BMS, Merger Sub or the Company under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the termination of this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Schedule Definitions</w:t>
      </w:r>
      <w:r>
        <w:rPr>
          <w:rFonts w:ascii="Times New Roman" w:cs="Times New Roman" w:eastAsia="Times New Roman" w:hAnsi="Times New Roman"/>
          <w:sz w:val="18"/>
          <w:szCs w:val="18"/>
          <w:color w:val="auto"/>
        </w:rPr>
        <w:t xml:space="preserve">. All capitalized terms in the Company Disclosure Letter and the Parent Disclosure Letter shall have the meanings ascribed to them herein (including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otherwise defined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none of the representations, warranties, agreements and covenants contained in this Agreement will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agreements of the Parties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(No Additional Representations),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(No Additional Representations), the last sentence of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(Access to Information),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(Employee Matters),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(Indemnification; Directors’ and Officers’ Insurance) and those other covenants and agreements contained herein that by their terms apply, or that are to be performed in whole or in part, after the Closing, shall survive the Closing. The Confidentiality Agreement shall (i) survive termination of this Agreement in accordance with its terms and (ii) terminate as of the Effective Time.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facsimile (but only upon confirmation of transmission by the transmitting equipment); (c)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notice Party shall use reasonable best efforts to confirm receipt of any such email correspondence promptly upon receipt of such request); or (d) if transmitted by national overnight courier, in each case as addressed as follows:</w:t>
      </w:r>
    </w:p>
    <w:p>
      <w:pPr>
        <w:spacing w:after="0" w:line="18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 if to Parent, BMS or Merger Sub, to:</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2300"/>
        <w:spacing w:after="0"/>
        <w:tabs>
          <w:tab w:leader="none" w:pos="3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xxxxxx@xxxxxx.com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2300"/>
        <w:spacing w:after="0"/>
        <w:tabs>
          <w:tab w:leader="none" w:pos="3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xxxxxx@xxxxxx.com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(ii) if to the Company, to:</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Stronghold Digital Mining, Inc.</w:t>
      </w:r>
    </w:p>
    <w:p>
      <w:pPr>
        <w:ind w:left="2300"/>
        <w:spacing w:after="0" w:line="205" w:lineRule="auto"/>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Attention: Greg Beard; Matt Usdin</w:t>
      </w:r>
    </w:p>
    <w:p>
      <w:pPr>
        <w:spacing w:after="0" w:line="9" w:lineRule="exact"/>
        <w:rPr>
          <w:sz w:val="20"/>
          <w:szCs w:val="20"/>
          <w:color w:val="auto"/>
        </w:rPr>
      </w:pPr>
    </w:p>
    <w:p>
      <w:pPr>
        <w:ind w:left="2300"/>
        <w:spacing w:after="0"/>
        <w:tabs>
          <w:tab w:leader="none" w:pos="3060" w:val="left"/>
        </w:tabs>
        <w:rPr>
          <w:sz w:val="20"/>
          <w:szCs w:val="20"/>
          <w:color w:val="auto"/>
        </w:rPr>
      </w:pPr>
      <w:r>
        <w:rPr>
          <w:rFonts w:ascii="Times New Roman" w:cs="Times New Roman" w:eastAsia="Times New Roman" w:hAnsi="Times New Roman"/>
          <w:sz w:val="18"/>
          <w:szCs w:val="18"/>
          <w:color w:val="auto"/>
        </w:rPr>
        <w:t>E-mail:</w:t>
        <w:tab/>
        <w:t>xxxxxx@xxxxxx.com;</w:t>
      </w:r>
    </w:p>
    <w:p>
      <w:pPr>
        <w:spacing w:after="0" w:line="9"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color w:val="auto"/>
        </w:rPr>
        <w:t>xxxxxx@xxxxxx.com</w:t>
      </w:r>
    </w:p>
    <w:p>
      <w:pPr>
        <w:spacing w:after="0" w:line="2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2300"/>
        <w:spacing w:after="0"/>
        <w:tabs>
          <w:tab w:leader="none" w:pos="3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xxxxxx@xxxxxx.com</w:t>
      </w:r>
    </w:p>
    <w:p>
      <w:pPr>
        <w:spacing w:after="0" w:line="2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9" w:lineRule="exact"/>
        <w:rPr>
          <w:sz w:val="20"/>
          <w:szCs w:val="20"/>
          <w:color w:val="auto"/>
        </w:rPr>
      </w:pPr>
    </w:p>
    <w:p>
      <w:pPr>
        <w:ind w:left="2300"/>
        <w:spacing w:after="0"/>
        <w:tabs>
          <w:tab w:leader="none" w:pos="3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xxxxxx@xxxxxx.com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Rules of Construction.</w:t>
      </w:r>
    </w:p>
    <w:p>
      <w:pPr>
        <w:spacing w:after="0" w:line="225" w:lineRule="exact"/>
        <w:rPr>
          <w:sz w:val="20"/>
          <w:szCs w:val="20"/>
          <w:color w:val="auto"/>
        </w:rPr>
      </w:pPr>
    </w:p>
    <w:p>
      <w:pPr>
        <w:jc w:val="both"/>
        <w:ind w:firstLine="1304"/>
        <w:spacing w:after="0" w:line="256" w:lineRule="auto"/>
        <w:tabs>
          <w:tab w:leader="none" w:pos="1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or as an exception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shall be deemed adequately disclosed as an exception with respect to all other representations or warranties, or all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to the extent that the relevance of such item to such other representations or warranties, or to such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as applicable, is reasonably apparent on its face, notwithstanding the presence or absence of an appropriate section of the Company Disclosure Letter or Parent Disclosure Letter with respect to such other representations or warranties or an appropriate cross reference thereto.</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New York, New York time. The word “or” is not exclusive. The word “extent” in the phrase “to the extent” shall mean the degree to which a subject or other thing extends and such phrase shall not mean simply “if.” The term “dollars” and the symbol “$” mean United States Dollars. “Made available” means that such information, document or material was: (a) filed with the SEC and publicly available on Edgar at least 48 hours prior to the execution of this Agreement; or (b) made available for review by the other Party or the other Party’s Representatives in-person or in a virtual data room at least 48 hours prior to the execution of this Agreement. The table of contents and headings herein are for convenience of reference only, do not constitute part of this Agreement and shall not be deemed to limit or otherwise affect any of the provisions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left="180" w:firstLine="1286"/>
        <w:spacing w:after="0" w:line="253" w:lineRule="auto"/>
        <w:tabs>
          <w:tab w:leader="none" w:pos="174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(together with the Confidentiality Agreement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if the Closing occurs, from and after the Effective Time, the holders of Company Common Stock, Company RSUs, Company Options and Company Warrants shall be third-party beneficiaries of, and shall be entitled to rely on,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solely with respect to the right to receive the consideration to which such holders are entitled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 the Indemnified Persons shall be third-party beneficiaries of, and shall be entitled to rely 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304"/>
        <w:spacing w:after="0" w:line="253" w:lineRule="auto"/>
        <w:tabs>
          <w:tab w:leader="none" w:pos="159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be void.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Affiliate Liability</w:t>
      </w:r>
      <w:r>
        <w:rPr>
          <w:rFonts w:ascii="Times New Roman" w:cs="Times New Roman" w:eastAsia="Times New Roman" w:hAnsi="Times New Roman"/>
          <w:sz w:val="18"/>
          <w:szCs w:val="18"/>
          <w:color w:val="auto"/>
        </w:rPr>
        <w:t>. Each of the following is herein referred to as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(a) any direct or indirect holder of equity interests or securities in the Company (whether limited or general partners, members, stockholders or otherwise), and any Affiliate thereof, and (b) any director, officer, employee, Representative or agent of (i) the Company, or (ii) any Person who controls the Company. Except as provided in a binding agreement between any Company Affiliate and Parent, BMS and/or Merger Sub, no Company Affiliate shall have any liability or obligation to Parent, BMS and Merger Sub of any nature whatsoever in connection with or under this Agreement or the Transactions contemplated hereby or thereby, and Parent, BMS and Merger Sub hereby waive and release all claims of any such liability and obligation. Each of the following is herein referred to as a “</w:t>
      </w:r>
      <w:r>
        <w:rPr>
          <w:rFonts w:ascii="Times New Roman" w:cs="Times New Roman" w:eastAsia="Times New Roman" w:hAnsi="Times New Roman"/>
          <w:sz w:val="18"/>
          <w:szCs w:val="18"/>
          <w:u w:val="single" w:color="auto"/>
          <w:color w:val="auto"/>
        </w:rPr>
        <w:t>Parent Affiliate</w:t>
      </w:r>
      <w:r>
        <w:rPr>
          <w:rFonts w:ascii="Times New Roman" w:cs="Times New Roman" w:eastAsia="Times New Roman" w:hAnsi="Times New Roman"/>
          <w:sz w:val="18"/>
          <w:szCs w:val="18"/>
          <w:color w:val="auto"/>
        </w:rPr>
        <w:t>”: (x) any direct or indirect holder of equity interests or securities in Parent (whether stockholders or otherwise) and any Affiliate thereof, and (y) any director, officer, employee, Representative or agent of (i) Parent or (ii) any Person who controls Parent. No Parent Affiliate shall have any liability or obligation to the Company of any nature whatsoever in connection with or under this Agreement or the transactions contemplated hereby or thereby, and the Company hereby waive and release all claims of any such liability and obligation.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Any Party may simultaneously pursue both the payment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the Parent Termination Fee, as applicable, and a grant of specific performance to consummate the Closing, but under no circumstances shall a Party be permitted or entitled to receive both the indefeasible payment in full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or the Parent Termination Fee, as applicable, and a grant of specific performance to consummate the Closing.</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by action taken or authorized by their respective boards of directors at any time before or after adoption of this Agreement by the stockholders of the Company,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Effective Time, the Company and Parent may, by action taken or authorized by their respective boards of directors, to the extent legally allowed:</w:t>
      </w:r>
    </w:p>
    <w:p>
      <w:pPr>
        <w:spacing w:after="0" w:line="162" w:lineRule="exact"/>
        <w:rPr>
          <w:sz w:val="20"/>
          <w:szCs w:val="20"/>
          <w:color w:val="auto"/>
        </w:rPr>
      </w:pPr>
    </w:p>
    <w:p>
      <w:pPr>
        <w:ind w:left="1540" w:hanging="236"/>
        <w:spacing w:after="0"/>
        <w:tabs>
          <w:tab w:leader="none" w:pos="1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hereunder;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hereto; or</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of the agreements or conditions of the other Party contained herein.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one or more of Parent, Company, BMS or Merger Sub under this Agreement (whether for indemnification or otherwise) or of or for any claim based on, arising out of, or related to this Agreement or the transactions contemplated by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to be signed by its respective officer thereunto duly authorized, all as of the date first written above.</w:t>
      </w:r>
    </w:p>
    <w:p>
      <w:pPr>
        <w:spacing w:after="0" w:line="15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Gagnon</w:t>
            </w:r>
          </w:p>
        </w:tc>
      </w:tr>
      <w:tr>
        <w:trPr>
          <w:trHeight w:val="198"/>
        </w:trPr>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Gagnon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tc>
      </w:tr>
      <w:tr>
        <w:trPr>
          <w:trHeight w:val="43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Lucas</w:t>
            </w:r>
          </w:p>
        </w:tc>
      </w:tr>
      <w:tr>
        <w:trPr>
          <w:trHeight w:val="198"/>
        </w:trPr>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Jeffrey Lucas</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HPC &amp; AI MEGACORP, INC.</w:t>
            </w:r>
          </w:p>
        </w:tc>
      </w:tr>
      <w:tr>
        <w:trPr>
          <w:trHeight w:val="43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Patricia Osorio</w:t>
            </w:r>
          </w:p>
        </w:tc>
      </w:tr>
      <w:tr>
        <w:trPr>
          <w:trHeight w:val="198"/>
        </w:trPr>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Patricia Osorio</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 &amp; Corporate Secretary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4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A. Beard</w:t>
            </w:r>
          </w:p>
        </w:tc>
      </w:tr>
      <w:tr>
        <w:trPr>
          <w:trHeight w:val="198"/>
        </w:trPr>
        <w:tc>
          <w:tcPr>
            <w:tcW w:w="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Gregory A. Beard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Chairman</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through one or more intermediaries or otherwise.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Group</w:t>
      </w:r>
      <w:r>
        <w:rPr>
          <w:rFonts w:ascii="Times New Roman" w:cs="Times New Roman" w:eastAsia="Times New Roman" w:hAnsi="Times New Roman"/>
          <w:sz w:val="18"/>
          <w:szCs w:val="18"/>
          <w:color w:val="auto"/>
        </w:rPr>
        <w:t>” means all entities under common control with any Person within the meaning of Section 414 of the Code or Section 4001 of ERISA.</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including the correlative term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has the meaning ascribed to such term in Section 13(d) of the Exchange Act.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day on which banks in Toronto, Ontario, Canada, the State of New York or the State of Delaware are authorized or obligated to be closed.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B&amp;M Note</w:t>
      </w:r>
      <w:r>
        <w:rPr>
          <w:rFonts w:ascii="Times New Roman" w:cs="Times New Roman" w:eastAsia="Times New Roman" w:hAnsi="Times New Roman"/>
          <w:sz w:val="18"/>
          <w:szCs w:val="18"/>
          <w:color w:val="auto"/>
        </w:rPr>
        <w:t>” means that certain Promissory Note, dated as of March 28, 2023, between Stronghold Digital Mining Holdings, LLC, a Delaware limited liability company, and Bruce-Merrilees Electric Co.</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means the securities Laws of each province and territory of Canada and the respective rules, regulations, instruments, blanket orders and blanket rulings and published policies, policy statements and notices of the Canadian Securities Regulators made thereunder.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Regulators</w:t>
      </w:r>
      <w:r>
        <w:rPr>
          <w:rFonts w:ascii="Times New Roman" w:cs="Times New Roman" w:eastAsia="Times New Roman" w:hAnsi="Times New Roman"/>
          <w:sz w:val="18"/>
          <w:szCs w:val="18"/>
          <w:color w:val="auto"/>
        </w:rPr>
        <w:t>” means the securities commission or other similar regulatory authority of each province and territory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ATM Agreement</w:t>
      </w:r>
      <w:r>
        <w:rPr>
          <w:rFonts w:ascii="Times New Roman" w:cs="Times New Roman" w:eastAsia="Times New Roman" w:hAnsi="Times New Roman"/>
          <w:sz w:val="18"/>
          <w:szCs w:val="18"/>
          <w:color w:val="auto"/>
        </w:rPr>
        <w:t>” means that certain at-the-market offering agreement, dated May 23, 2023, by and between the Company and H.C. Wainwright &amp; Co., LLC.</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V Common Stock</w:t>
      </w:r>
      <w:r>
        <w:rPr>
          <w:rFonts w:ascii="Times New Roman" w:cs="Times New Roman" w:eastAsia="Times New Roman" w:hAnsi="Times New Roman"/>
          <w:sz w:val="18"/>
          <w:szCs w:val="18"/>
          <w:color w:val="auto"/>
        </w:rPr>
        <w:t>” means the Class V common stock, par value $0.0001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V Common Stock.</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Credit Agreement, dated as of October 27, 2022 (as amended by the First Amendment to Credit Agreement, dated as of February 6, 2023, the Second Amendment to Credit Agreement, dated as of March 28, 2023, and the Third Amendment to Credit Agreement, dated as of February 15, 2024), by and among Company Holdco, as borrower, the Company, Whitehawk Capital Partners LP, as administrative agent and collateral agent, and the other parties and lenders party thereto from time to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(i) the Company Omnibus Incentive Plan and (ii) the Company Amended and Restated 2021 Long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Plan.</w:t>
      </w:r>
    </w:p>
    <w:p>
      <w:pPr>
        <w:spacing w:after="0" w:line="20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No Violations; Consents and Approvals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w:t>
      </w:r>
      <w:r>
        <w:rPr>
          <w:rFonts w:ascii="Times New Roman" w:cs="Times New Roman" w:eastAsia="Times New Roman" w:hAnsi="Times New Roman"/>
          <w:sz w:val="18"/>
          <w:szCs w:val="18"/>
          <w:color w:val="auto"/>
        </w:rPr>
        <w:t>” means Stronghold Digital Mining Holdings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LLC Agreement</w:t>
      </w:r>
      <w:r>
        <w:rPr>
          <w:rFonts w:ascii="Times New Roman" w:cs="Times New Roman" w:eastAsia="Times New Roman" w:hAnsi="Times New Roman"/>
          <w:sz w:val="18"/>
          <w:szCs w:val="18"/>
          <w:color w:val="auto"/>
        </w:rPr>
        <w:t>” means that certain Fifth Amended and Restated Limited Liability Company Agreement of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Holdco.</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Units</w:t>
      </w:r>
      <w:r>
        <w:rPr>
          <w:rFonts w:ascii="Times New Roman" w:cs="Times New Roman" w:eastAsia="Times New Roman" w:hAnsi="Times New Roman"/>
          <w:sz w:val="18"/>
          <w:szCs w:val="18"/>
          <w:color w:val="auto"/>
        </w:rPr>
        <w:t>” means those certain Common Units, as defined in the Company Holdco LLC Agreement.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the Company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“Company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“Company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 market prices and regulatory changes affecting the industry);</w:t>
      </w:r>
    </w:p>
    <w:p>
      <w:pPr>
        <w:spacing w:after="0" w:line="2" w:lineRule="exact"/>
        <w:rPr>
          <w:sz w:val="20"/>
          <w:szCs w:val="20"/>
          <w:color w:val="auto"/>
        </w:rPr>
      </w:pPr>
    </w:p>
    <w:p>
      <w:pPr>
        <w:jc w:val="both"/>
        <w:ind w:firstLine="8"/>
        <w:spacing w:after="0" w:line="251" w:lineRule="auto"/>
        <w:tabs>
          <w:tab w:leader="none" w:pos="3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 (vii) any actions taken or failure to take action, in each case, to which Parent or the Company, as applicable, has expressly requested in writing after the date hereof; (viii) the taking of any action expressly permitted or required by this Agreement; (ix) 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Company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“Company Material Adverse Effect” has occurred or is reasonably expected to occur solely to the extent they are disproportionate.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any outstanding option to purchase Company Class A Common Stock that was issued under a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Plan.</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mean any restricted stock units and deferred restricted stock units granted under a Company Equity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CoD</w:t>
      </w:r>
      <w:r>
        <w:rPr>
          <w:rFonts w:ascii="Times New Roman" w:cs="Times New Roman" w:eastAsia="Times New Roman" w:hAnsi="Times New Roman"/>
          <w:sz w:val="18"/>
          <w:szCs w:val="18"/>
          <w:color w:val="auto"/>
        </w:rPr>
        <w:t>” means the Certificate of Designations of the Company Series C Preferred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Preferred Stock</w:t>
      </w:r>
      <w:r>
        <w:rPr>
          <w:rFonts w:ascii="Times New Roman" w:cs="Times New Roman" w:eastAsia="Times New Roman" w:hAnsi="Times New Roman"/>
          <w:sz w:val="18"/>
          <w:szCs w:val="18"/>
          <w:color w:val="auto"/>
        </w:rPr>
        <w:t>” means the Series C Convertible Preferred Stock of the Company, par value $0.0001 per share.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D Preferred Stock</w:t>
      </w:r>
      <w:r>
        <w:rPr>
          <w:rFonts w:ascii="Times New Roman" w:cs="Times New Roman" w:eastAsia="Times New Roman" w:hAnsi="Times New Roman"/>
          <w:sz w:val="18"/>
          <w:szCs w:val="18"/>
          <w:color w:val="auto"/>
        </w:rPr>
        <w:t>” means the Series D Convertible Preferred Stock of the Company, par value $0.0001 per share.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holders of a majority of the outstanding shares of Company Common Stock in accordance with the DGCL and the Organizational Documents of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$5,000,000, payable in cash and/or Bitcoin as elected by the Company.</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(i) those certain Stock Purchase Warrants, dated as of June 30, 2021, March 28, 2022, August 3, 2022 and October 27, 2022, respectively, by and between the Company and WhiteHawk Finance LLC; (ii) that certain Amended and Restated Class A Common Stock Warrant, dated as of May 15, 2022, amended as of August 16, 2022, by and between the Company and Parallaxes Capital Opportunity Fund IV, L.P.;</w:t>
      </w:r>
    </w:p>
    <w:p>
      <w:pPr>
        <w:spacing w:after="0" w:line="1" w:lineRule="exact"/>
        <w:rPr>
          <w:sz w:val="20"/>
          <w:szCs w:val="20"/>
          <w:color w:val="auto"/>
        </w:rPr>
      </w:pPr>
    </w:p>
    <w:p>
      <w:pPr>
        <w:jc w:val="both"/>
        <w:ind w:firstLine="8"/>
        <w:spacing w:after="0" w:line="251" w:lineRule="auto"/>
        <w:tabs>
          <w:tab w:leader="none" w:pos="3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Common Stock Purchase Warrant, dated as of September 19, 2022, as amended as of April 20, 2023 and December 22, 2023, by and between the Company and Armistice Capital Master Fund Ltd.; (iv) that certain Pre-funded Common Stock Purchase Warrant, dated as of April 21, 2023, as amended as of December 22, 2023, by and between the Company and Armistice Capital Master Fund Ltd.; (v) that certain Pre-funded Common Stock Purchase Warrant, dated as of December 22, 2023, by and between the Company and Armistice Capital Master Fund Ltd.; (vi) that certain Common Stock Purchase Warrant, dated as of June 22, 2024, by and between the Company and Armistice Capital Master Fund Ltd.; (vii) that certain Series A Preferred Stock Warrant, dated as of April 1, 2021, by and between Company, B. Riley Securities, Inc. and American Stock Transfer &amp; Trust Company, LLC; (viii) that certain Series B Preferred Stock Warrant, dated as of May 14, 2021, by and between Company, B. Riley Securities, Inc. and American Stock Transfer &amp; Trust Company, LLC; (ix) that certain Common Stock Purchase Warrant, dated as of October 21, 2023, as amended as of January 29, 2024, by and between the Company and Gregory A. Beard; and (x) that certain Common Stock Purchase Warrant, dated as if September 19, 2022, as amended as of April 20, 2023 and January 29, 2024, by and between the Company and Gregory A. Beard.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contract, proposal, offer or indication of interest relating to any transaction or series of related transactions (other than transactions only with Parent or any of its Subsidiaries) involving, directly or indirectly: (a) any acquisition (by asset purchase, stock purchase, merger, or otherwise) by any Person or group of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w:t>
      </w:r>
    </w:p>
    <w:p>
      <w:pPr>
        <w:spacing w:after="0" w:line="3" w:lineRule="exact"/>
        <w:rPr>
          <w:sz w:val="20"/>
          <w:szCs w:val="20"/>
          <w:color w:val="auto"/>
        </w:rPr>
      </w:pPr>
    </w:p>
    <w:p>
      <w:pPr>
        <w:jc w:val="both"/>
        <w:ind w:firstLine="8"/>
        <w:spacing w:after="0" w:line="251" w:lineRule="auto"/>
        <w:tabs>
          <w:tab w:leader="none" w:pos="3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or any license, lease or long-term supply agreement having a similar economic effect, (b) any acquisition of beneficial ownership by any Person or group of 15% or more of the outstanding shares of Company Common Stock or any other securities entitled to vote on the election of directors or any tender or exchange offer that if consummated would result in any Person or group beneficially owning 15% or more of the outstanding shares of Company Common Stock or any other securities entitled to vote on the election of directors or (c) any merger, consolidation, share exchange, business combination, recapitalization, liquidation, dissolution or similar transaction involving the Company or any of its Subsidiaries which is structured to permit any Person or group to acquire beneficial ownership of at least 15% of the Company’s equity interests or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filing, notice, report, registration, approval, consent, ratification, permission, waiver or authorization.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Analysis and Retrieval System administered by the SEC.</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of any Person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for any present or former director, employee or contractor of the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liens, pledges, charges, encumbrances, claims, mortgages, deeds of trust, security interests, restrictions, rights of first refusal, right of first offer, purchase options, right of way, easements, encroachments, defects in title or other burdens, options or encumbrances of any kind or any other adverse rights or interests or claims of a similar nature in or on any asset, property or equity interests.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pertaining to pollution or protection of the environment, natural resource damages or Hazardous Materials.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multinational or supranational body exercising legislative, judicial or regulatory powers, (b) any nation, state, commonwealth, province, territory, county, municipality, district or other jurisdiction of any nature, (c) any federal, state, local, municipal, foreign or other government, governmental, regulatory or administrative division, department, agency, commission or other governmental authority or instrumentality, legislature, court or judicial or arbitral body, or (d) quasi-governmental, professional association or organization or private body exercising any executive, legislative, judicial, regulatory, taxing or other governmental functions or any stock exchange or self-regulatory organization, including PJM.</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such term in Section 13(d) of the Exchange Act.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 chemical, substance, waste, pollutant, or contaminant that is defined or listed as hazardous, toxic, a pollutant, a contaminant or words of similar import or that could otherwise form the basis of liability under any Environmental Law; and (b) any petroleum, petroleum by-products, per- and polyfluoroalkyl substances (including PFAs, PFOA, PFOS, Gen X, and PFBs), asbestos containing materials, whether in a friable or non-friable condition, polychlorinated biphenyls, urea formaldehyde or radon.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 (d) 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 any jurisdiction, any and all intellectual property, including (a) patents, patent applications and all related divisionals, continuations, continuations-in-part, reissues, extensions, substitutions and reexaminations, (b) trademarks, service marks, trade names, domain names and trade dress, and all registrations and applications for registration of the foregoing, together with the goodwill symbolized by any of the foregoing, (c) copyrights and copyrightable subject matter (whether registered or unregistered), and all registrations and applications for registration of the foregoing, (d) rights in software and (e) trade secrets and other confidential or proprietary know-how, information, ideas, inventions, processes, formulae, models, data and methodologies.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development or change in circumstances that was not known to the Company Board, or if known, the consequences of which were not reasonably foreseeable as of the date of this Agreement, which event, change or development, or any consequence thereof, becomes known to the Company Board prior to obtaining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receipt, existence or terms of a Competing Proposal or any matter relating thereto or consequence thereof constitute an Intervening Event.</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computers, computer software, hardware, firmware, middleware, servers, workstations, routers, hubs, switches, data communications lines and all other information technology infrastructure, and all associated documentation used by the Company or its Subsidiaries in the operation of their respective businesses.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of, (a) in the case of the Company,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Company Disclosure Letter and (b) in the case of Parent,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Parent Disclosure Letter, in each case, after reasonable investigation and inquiry by each such individual.</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statute, rule, regulation, ordinance, code, judgment, order, treaty, convention, governmental directive or other legally enforceable requirement, U.S. or non-U.S., of any Governmental Entity, including common law.</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Value</w:t>
      </w:r>
      <w:r>
        <w:rPr>
          <w:rFonts w:ascii="Times New Roman" w:cs="Times New Roman" w:eastAsia="Times New Roman" w:hAnsi="Times New Roman"/>
          <w:sz w:val="18"/>
          <w:szCs w:val="18"/>
          <w:color w:val="auto"/>
        </w:rPr>
        <w:t>” means an amount in cash equal to the product of (a) the Exchange Ratio and (b) the volume-weighted average price of a Parent Common Share on the Nasdaq for the five (5) consecutive trading day period ending on the trading day immediately preceding (but not including) the Closing Date (as reported by Bloomberg L.P. or, if not reported therein, in another authoritative source mutually selected by Parent and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National Association of Securities Dealers Automated Quotations.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means (a) when used with respect to the Company, Parent, BMS and Merger Sub, and (b) when used with respect to Parent, BMS or Merger Sub, the Company.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Plant</w:t>
      </w:r>
      <w:r>
        <w:rPr>
          <w:rFonts w:ascii="Times New Roman" w:cs="Times New Roman" w:eastAsia="Times New Roman" w:hAnsi="Times New Roman"/>
          <w:sz w:val="18"/>
          <w:szCs w:val="18"/>
          <w:color w:val="auto"/>
        </w:rPr>
        <w:t>” means the 80 MW coal refuse burning electric power generation facility located on a 33-acre site in the Borough of Nesquehoning, Carbon County, Pennsylvania.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ATM Agreement</w:t>
      </w:r>
      <w:r>
        <w:rPr>
          <w:rFonts w:ascii="Times New Roman" w:cs="Times New Roman" w:eastAsia="Times New Roman" w:hAnsi="Times New Roman"/>
          <w:sz w:val="18"/>
          <w:szCs w:val="18"/>
          <w:color w:val="auto"/>
        </w:rPr>
        <w:t>” means that certain at-the-market offering agreement, dated March 8, 2024, by and between Parent and H.C.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Wainwright &amp; Co., LLC.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w:t>
      </w:r>
      <w:r>
        <w:rPr>
          <w:rFonts w:ascii="Times New Roman" w:cs="Times New Roman" w:eastAsia="Times New Roman" w:hAnsi="Times New Roman"/>
          <w:sz w:val="18"/>
          <w:szCs w:val="18"/>
          <w:color w:val="auto"/>
        </w:rPr>
        <w:t>” means the Parent Long-Term Incentive Plan dated effective April 16, 2024.</w:t>
      </w:r>
    </w:p>
    <w:p>
      <w:pPr>
        <w:spacing w:after="0" w:line="22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Violations; Consents and Approvals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Parent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“Parent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“Parent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 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 (vii) any actions taken or failure to take action, in each case, to which Parent or the Company, as applicable, has expressly requested in writing after the date hereof; (viii) the taking of any action expressly permitted or required by this Agreement; (ix) 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Parent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“Parent Material Adverse Effect” has occurred or is reasonably expected to occur solely to the extent they are disproportionate.</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any outstanding stock options to purchase Parent Common Shares issued under the Parent Equity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Plans</w:t>
      </w:r>
      <w:r>
        <w:rPr>
          <w:rFonts w:ascii="Times New Roman" w:cs="Times New Roman" w:eastAsia="Times New Roman" w:hAnsi="Times New Roman"/>
          <w:sz w:val="18"/>
          <w:szCs w:val="18"/>
          <w:color w:val="auto"/>
        </w:rPr>
        <w:t>” means all of the material Employee Benefit Plans sponsored, maintained, or contributed to by the Parent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means any restricted share units and deferred restricted share units granted under the Parent Equity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$12,500,000, payable in cash and/or Bitcoin as elected by Parent.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 party or the parties to this Agreement, except as the context may otherwise require.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952"/>
        <w:spacing w:after="0" w:line="261" w:lineRule="auto"/>
        <w:tabs>
          <w:tab w:leader="none" w:pos="220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waived by beneficiaries thereof prior to the Effective Time, preferential purchase rights, rights of first refusal, purchase options and similar rights granted pursuant to any contracts, including joint operating agreements, joint ownership agreements, participation agreements, development agreements, stockholders agreements, consents, organizational documents and other similar agreements and documents;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0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vendor’s, repairmen’s, construction and carrier’s liens and other similar liens arising in the ordinary course of business for amounts not yet delinquent;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9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for Taxes or assessments or other governmental charges that are not yet delinquent or, if delinquent, that are being contested in good faith by appropriate Proceedings and for which adequate reserves have been established in accordance with GAAP;</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Encumbrances as the Company (in the case of Encumbrances with respect to properties or assets of Parent or its Subsidiaries) or Parent (in the case of Encumbrances with respect to properties or assets of the Company or its Subsidiaries), as applicable, have expressly waived in writing;</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3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discharged at or prior to the Effective Time (including Encumbrances securing any Indebtedness (including, without limitation, Indebtedness under the Company Credit Agreement) that will be paid off in connection with Closing);</w:t>
      </w:r>
    </w:p>
    <w:p>
      <w:pPr>
        <w:spacing w:after="0" w:line="161"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entered into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zoning or other land use Laws to which the applicable real property is subject that are imposed or promulgated by any Governmental Entity and that are not materially violated by an existing improvement on such real property and do not materially and adversely interfere with the use thereof as presently used in the ordinary course;</w:t>
      </w:r>
    </w:p>
    <w:p>
      <w:pPr>
        <w:spacing w:after="0" w:line="17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real property and without limiting the foregoing:</w:t>
      </w:r>
    </w:p>
    <w:p>
      <w:pPr>
        <w:spacing w:after="0" w:line="225" w:lineRule="exact"/>
        <w:rPr>
          <w:rFonts w:ascii="Times New Roman" w:cs="Times New Roman" w:eastAsia="Times New Roman" w:hAnsi="Times New Roman"/>
          <w:sz w:val="18"/>
          <w:szCs w:val="18"/>
          <w:color w:val="auto"/>
        </w:rPr>
      </w:pPr>
    </w:p>
    <w:p>
      <w:pPr>
        <w:jc w:val="both"/>
        <w:ind w:left="1960" w:firstLine="640"/>
        <w:spacing w:after="0" w:line="266" w:lineRule="auto"/>
        <w:tabs>
          <w:tab w:leader="none" w:pos="293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easements, rights of way, restrictions, restrictive covenants, encroachments, protrusions and other similar charges or encumbrances, defects and other irregularities in title that do not, and would not reasonably be expected to, materially impair the current use or occupancy of the real property;</w:t>
      </w:r>
    </w:p>
    <w:p>
      <w:pPr>
        <w:spacing w:after="0" w:line="175" w:lineRule="exact"/>
        <w:rPr>
          <w:rFonts w:ascii="Times New Roman" w:cs="Times New Roman" w:eastAsia="Times New Roman" w:hAnsi="Times New Roman"/>
          <w:sz w:val="18"/>
          <w:szCs w:val="18"/>
          <w:color w:val="auto"/>
        </w:rPr>
      </w:pPr>
    </w:p>
    <w:p>
      <w:pPr>
        <w:jc w:val="both"/>
        <w:ind w:left="1960" w:firstLine="640"/>
        <w:spacing w:after="0" w:line="261" w:lineRule="auto"/>
        <w:tabs>
          <w:tab w:leader="none" w:pos="289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real property that is occupied by a Party or its Subsidiaries pursuant to a lease, sublease, license or similar occupancy arrangement, any Encumbrance created by the applicable fee owner of such real property (provided that such fee owner is neither such Party nor any Subsidiary thereof) affecting solely such fee owner’s interest in such real property;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left="1960" w:firstLine="640"/>
        <w:spacing w:after="0" w:line="256" w:lineRule="auto"/>
        <w:tabs>
          <w:tab w:leader="none" w:pos="293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disclosed on any survey or any title insurance commitment, report or policy as a specific exception from coverage, provided that (1) such survey or title insurance commitment, report or policy is disclosed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of the Company Disclosure Letter and has been made available (including any applicable underlying documents referenced therein) to the other Parties prior to the date of this Agreement and (2) such Encumbrance would not reasonably be expected to materially interfere, either individually or in the aggregate, with the conduct of the respective businesses of the Company and its Subsidiaries in the ordinary course.</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 Delaware limited liability company, or any successor entity performing similar functions.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Manual 14D</w:t>
      </w:r>
      <w:r>
        <w:rPr>
          <w:rFonts w:ascii="Times New Roman" w:cs="Times New Roman" w:eastAsia="Times New Roman" w:hAnsi="Times New Roman"/>
          <w:sz w:val="18"/>
          <w:szCs w:val="18"/>
          <w:color w:val="auto"/>
        </w:rPr>
        <w:t>” means PJM Manual 14D: Generator Operational Requirements, as may be revised by PJM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Tariff</w:t>
      </w:r>
      <w:r>
        <w:rPr>
          <w:rFonts w:ascii="Times New Roman" w:cs="Times New Roman" w:eastAsia="Times New Roman" w:hAnsi="Times New Roman"/>
          <w:sz w:val="18"/>
          <w:szCs w:val="18"/>
          <w:color w:val="auto"/>
        </w:rPr>
        <w:t>” means the PJM Open Access Transmission Tariff as accepted for filing by FERC.</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actual or threatened claim (including a claim or notice of a violation of applicable Law), action, audit, litigation, suit, proceeding, demand, investigation, summons, subpoena, hearing, complaint, petition, grievance, citation, arbitration or other proceeding at law or in equity or order or ruling, in each case whether civil, criminal, administrative, investigative or otherwise, whether in contract, in tort or otherwise, and whether or not such claim, action, audit, litigation, suit, proceeding, demand, investigation, summons, subpoena, hearing, complaint, petition, grievance, citation, arbitration or other proceeding or order or ruling results in a formal civil or criminal litigation or regulatory action.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 of Hazardous Materials into the indoor or outdoor environment.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employees, accountants, consultants, agents, legal counsel, financial advisors and other representatives of such Person.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person or entity identified on the U.S. Department of Commerce’s Denied Persons List, Unverified List or Entity List or the U.S. Department of State’s Debarred Parties List.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any Sanctions, including, without limitation, (a) any Person listed on any Sanctions-related list of designated Persons maintained by OFAC, the U.S. Department of State, or the United Nations Security Council; (b) any Person listed on any Sanctions-related list maintained by the Government of Canada, including the Consolidated Canadian Autonomous Sanctions List and List of Terrorist Entities; (c) the Government of Venezuela or any Person that is located, organized, or resident in a Sanctioned Territory; (d) any Person otherwise subject to Sanctions; or (e) any Person owned or controlled by any such Person or Persons described in the foregoing clauses (a)-(d).</w:t>
      </w:r>
    </w:p>
    <w:p>
      <w:pPr>
        <w:spacing w:after="0" w:line="183" w:lineRule="exact"/>
        <w:rPr>
          <w:sz w:val="20"/>
          <w:szCs w:val="20"/>
          <w:color w:val="auto"/>
        </w:rPr>
      </w:pPr>
    </w:p>
    <w:p>
      <w:pPr>
        <w:jc w:val="both"/>
        <w:ind w:firstLine="137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comprehensive Sanctions (at the time of this Agreement, Cuba, Iran, North Korea, Syria, and the Crimea, Donetsk, Luhansk, Kherson, or Zaporizhzhia regions of Ukraine).</w:t>
      </w:r>
    </w:p>
    <w:p>
      <w:pPr>
        <w:spacing w:after="0" w:line="162" w:lineRule="exact"/>
        <w:rPr>
          <w:sz w:val="20"/>
          <w:szCs w:val="20"/>
          <w:color w:val="auto"/>
        </w:rPr>
      </w:pPr>
    </w:p>
    <w:p>
      <w:pPr>
        <w:jc w:val="both"/>
        <w:ind w:right="20" w:firstLine="137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Entities, including, but not limited to OFAC, the U.S. Department of State, Global Affairs Canada or Public Safety Canada.</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Plant</w:t>
      </w:r>
      <w:r>
        <w:rPr>
          <w:rFonts w:ascii="Times New Roman" w:cs="Times New Roman" w:eastAsia="Times New Roman" w:hAnsi="Times New Roman"/>
          <w:sz w:val="18"/>
          <w:szCs w:val="18"/>
          <w:color w:val="auto"/>
        </w:rPr>
        <w:t>” means the 85 MW coal refuse burning electric power generation facility located on a 670-acre site in Scrubgrass Township, Venango County, Pennsylvania.</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SEDAR+</w:t>
      </w:r>
      <w:r>
        <w:rPr>
          <w:rFonts w:ascii="Times New Roman" w:cs="Times New Roman" w:eastAsia="Times New Roman" w:hAnsi="Times New Roman"/>
          <w:sz w:val="18"/>
          <w:szCs w:val="18"/>
          <w:color w:val="auto"/>
        </w:rPr>
        <w:t>” means the System for Electronic Document Analysis and Retrieval + maintained by the Canadian Securities Regulators.</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Agreements</w:t>
      </w:r>
      <w:r>
        <w:rPr>
          <w:rFonts w:ascii="Times New Roman" w:cs="Times New Roman" w:eastAsia="Times New Roman" w:hAnsi="Times New Roman"/>
          <w:sz w:val="18"/>
          <w:szCs w:val="18"/>
          <w:color w:val="auto"/>
        </w:rPr>
        <w:t>” means (i) that certain Master Equipment Financing Agreement, dated as of June 25, 2021, by and between Stronghold Digital Mining LLC, a Delaware limited liability company, and NYDIG ABL LLC, a Delaware limited liability company and (ii) that certain Master Equipment Financing Agreement, dated as of December 15, 2021, by and between Stronghold Digital Mining BT, LLC, a Delaware limited liability company, and NYDIG ABL LLC, a Delaware limited liability company, each as amended, restated, amended and restated, supplemented, refinanced or otherwise modified from time to time.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7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Competing Proposal submitted to the Company after the date hereof by any Person or group (other than Parent or any of its Affiliates) that in the good faith determination of the Company Board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the Company’s stockholders than the Transactions. For purposes of the reference to a “Competing Proposal” in this definition, all references to “15%” in the definition of “Competing Proposal” will be deemed to refer to “50%.”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means any “fair price,” “moratorium,” “control share acquisition,” “business combination” or any other anti-takeover statute or similar statute enacted under applicable Law.</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assessments, and other governmental charges in the nature of a tax imposed by any Governmental Entity, including income, profits, gross receipts, employment, stamp, occupation, premium, alternative or add-on minimum, ad valorem, property, transfer, value added, sales, use, customs, duties, capital stock, franchise, excise, withholding, social security (or similar), unemployment, disability, payroll, windfall profit, severance, production, estimated or other tax, duty or assessment in the nature of a tax imposed by a Governmental Entity, including any interest, penalty or addition thereto.</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entered into between the Company, Q Power LLC and an agent named by Q Power LLC, dated April 1, 2021, as amended by that certain Joinder to Tax Receivable Agreement effective as of November 9, 2022, whereby William Spence became a party thereto.</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any amendment thereof, filed or required to be filed with any Taxing Authority.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U.S. Internal Revenue Service and any other Governmental Entity responsible for the imposition, administration or collection of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Merger and the other transactions contemplated by this Agreement and each other agreement to be executed and delivered in connection herewith and therewith.</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means the Toronto Stock Exchange.</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Debt</w:t>
      </w:r>
      <w:r>
        <w:rPr>
          <w:rFonts w:ascii="Times New Roman" w:cs="Times New Roman" w:eastAsia="Times New Roman" w:hAnsi="Times New Roman"/>
          <w:sz w:val="18"/>
          <w:szCs w:val="18"/>
          <w:color w:val="auto"/>
        </w:rPr>
        <w:t>” of a Person means bonds, debentures, notes or other Indebtedness having the right to vote (or convertible into securities having the right to vote) on any matters on which stockholders of such Person may vote.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(or the committing of a material breach) of this Agreement that is a consequence of a purposeful act or failure to take an act by the breaching party with the knowledge that the taking of such act (or the failure to take such act) may constitute a material breach of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1278890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with and into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 Section 251 of the General Corporation Law of the State of Delaware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251(c)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HPC &amp; AI Megacorp,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does hereby certify: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jurisdiction of organization, state of domicile and type of entity of each of the constituent entities to the Merger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Jurisdiction of Organization and State of Domicile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Type of Entity</w:t>
            </w:r>
          </w:p>
        </w:tc>
      </w:tr>
      <w:tr>
        <w:trPr>
          <w:trHeight w:val="198"/>
        </w:trPr>
        <w:tc>
          <w:tcPr>
            <w:tcW w:w="3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HPC &amp; AI Megacorp, Inc.</w:t>
            </w:r>
          </w:p>
        </w:tc>
        <w:tc>
          <w:tcPr>
            <w:tcW w:w="120" w:type="dxa"/>
            <w:vAlign w:val="bottom"/>
          </w:tcPr>
          <w:p>
            <w:pPr>
              <w:spacing w:after="0"/>
              <w:rPr>
                <w:sz w:val="17"/>
                <w:szCs w:val="17"/>
                <w:color w:val="auto"/>
              </w:rPr>
            </w:pPr>
          </w:p>
        </w:tc>
        <w:tc>
          <w:tcPr>
            <w:tcW w:w="4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c>
          <w:tcPr>
            <w:tcW w:w="120" w:type="dxa"/>
            <w:vAlign w:val="bottom"/>
          </w:tcPr>
          <w:p>
            <w:pPr>
              <w:spacing w:after="0"/>
              <w:rPr>
                <w:sz w:val="17"/>
                <w:szCs w:val="17"/>
                <w:color w:val="auto"/>
              </w:rPr>
            </w:pPr>
          </w:p>
        </w:tc>
        <w:tc>
          <w:tcPr>
            <w:tcW w:w="2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Corporation</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Delaware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An Agreement and Plan of Merger by and among Bitfarms Ltd., Backbone Mining Solutions LLC, Merger Sub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August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executed and acknowledged by each constituent entity with respect to the Merger in accordance with Section 251 of the DGCL.</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Upon the effectiveness of the Merger the separate existence of Merger Sub shall cease, and the Company shall be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The name of the Surviving Entity shall be “Stronghold Digital Mining, Inc.”</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Upon the effectiveness of the Merger, the certificate of incorporation of the Surviving Entity shall be amended and restated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entirety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An executed copy of the Merger Agreement is on file at the office of the Surviving Entity at 850 New Burton Road, Suite 201, County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Kent, Dover, DE 19904.</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An executed copy of the Merger Agreement will be furnished by the Surviving Entity on request, without cost, to any stockholder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corporations.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Merger shall become effective upon the filing of this Certificate of Merger with the Secretary of State of Delaware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DGCL.</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Certificate of Merger to be duly executed as of the date first written above.</w:t>
      </w: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4146550</wp:posOffset>
            </wp:positionH>
            <wp:positionV relativeFrom="paragraph">
              <wp:posOffset>17145</wp:posOffset>
            </wp:positionV>
            <wp:extent cx="25717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Certificate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40"/>
          </w:cols>
          <w:pgMar w:left="980" w:top="900" w:right="127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1408430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the corporation is Stronghold Digital Mining,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850 New Burton Road, Suite 201, County of Kent, Dover DE, 19904. The name of the Corporation’s registered agent at that address is Cogeny Global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cs="Times New Roman" w:eastAsia="Times New Roman" w:hAnsi="Times New Roman"/>
          <w:sz w:val="18"/>
          <w:szCs w:val="18"/>
          <w:u w:val="single" w:color="auto"/>
          <w:color w:val="auto"/>
        </w:rPr>
        <w:t>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has authority to issue is One Thousand (1,000) shares, all of which shall be Common Stock, $ 0.01 par value per share.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of Directors of the Corporation shall have the power to adopt, amend or repeal Bylaws of 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Election of directors need not be by written ballot unless the Bylaws of the Corporation shall so provide.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GCL; or (iv) a director or Officer for any transaction from which the director or Officer derived an improper personal benefit or (v) an Officer in any action by or in the right of the Corporation. Any amendment, repeal or elimination of this Article VII shall not affect its application with respect to an act or omission by a director or Officer occurring before such amendment, repeal or elimination. All references in this Article VII to an “Officer” shall mean only a person who, at the time of an act or omission as to which liability is asserted, falls within the meaning of the term “officer,” as defined in Section 102(b)(7) of the 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any of its subsidiaries or is or was serving at the request of the Corporation or any of its subsidiaries as a director or officer of another corporation, partnership, limited liability company, joint venture, trust or other enterprise, as applicable, or by reason of anything done or not done by such person in any such capacity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shall be indemnified and held harmless by the Corporation to the fullest extent authorized or permitted by applicable law, as the same exists or may hereafter be amended, against all losses, claims, damages, costs, fines, penalties, expenses (including attorneys’ and other professionals’ fees and expenses), liabilities or judgments or amounts that are paid in settlement, of or incurred by such Covered Person in connection with such proceeding, and such right to indemnification shall continue as to a person who has ceased to be a director or officer; provided, however, that, except for proceedings to enforce rights to indemnification, the Corporation shall indemnify a Covered Person in connection with a proceeding (or part thereof) initiated by such Covered Person only if such proceeding (or part thereof) was authorized by the Board of Directors of the Corporation. The right to indemnification conferred by this Article VIII shall be a contract right and shall include the right to be paid by the Corporation the expenses incurred in defending or otherwise participating in any such proceeding in advance of its final disposition.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conferred on any Covered Person by this Article VIII shall not be exclusive of any other rights which any Covered Person may have or hereafter acquire under law, this Certificate of Incorporation, the Bylaws of the Corporation, an agreement, vote of stockholders or disinterested directors, or otherwise.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repeal or amendment of this Article VIII by the stockholders of the Corporation or by changes in law, or the adoption of any other provision of this Certificate of Incorporation inconsistent with this Article VIII, will, unless otherwise required by law, be prospective only (except to the extent such amendment or change in law permits the Corporation to provide broader indemnification rights on a retroactive basis than permitted prior thereto), and will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Article VIII shall not limit the right of the Corporation, to the extent and in the manner authorized or permitted by law, to indemnify and to advance expenses to persons other than Covered Persons.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lowerLetter"/>
      <w:start w:val="1"/>
    </w:lvl>
  </w:abstractNum>
  <w:abstractNum w:abstractNumId="1">
    <w:nsid w:val="39386575"/>
    <w:multiLevelType w:val="hybridMultilevel"/>
    <w:lvl w:ilvl="0">
      <w:lvlJc w:val="left"/>
      <w:lvlText w:val="(%1)"/>
      <w:numFmt w:val="lowerLetter"/>
      <w:start w:val="2"/>
    </w:lvl>
  </w:abstractNum>
  <w:abstractNum w:abstractNumId="2">
    <w:nsid w:val="1CF10FD8"/>
    <w:multiLevelType w:val="hybridMultilevel"/>
    <w:lvl w:ilvl="0">
      <w:lvlJc w:val="left"/>
      <w:lvlText w:val="(%1)"/>
      <w:numFmt w:val="lowerLetter"/>
      <w:start w:val="1"/>
    </w:lvl>
  </w:abstractNum>
  <w:abstractNum w:abstractNumId="3">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
    <w:nsid w:val="235BA86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
    <w:nsid w:val="47398C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
    <w:nsid w:val="15B5AF5C"/>
    <w:multiLevelType w:val="hybridMultilevel"/>
    <w:lvl w:ilvl="0">
      <w:lvlJc w:val="left"/>
      <w:lvlText w:val="%1"/>
      <w:numFmt w:val="lowerLetter"/>
      <w:start w:val="1"/>
    </w:lvl>
    <w:lvl w:ilvl="1">
      <w:lvlJc w:val="left"/>
      <w:lvlText w:val="(%2)"/>
      <w:numFmt w:val="lowerLetter"/>
      <w:start w:val="61"/>
    </w:lvl>
  </w:abstractNum>
  <w:abstractNum w:abstractNumId="8">
    <w:nsid w:val="741226BB"/>
    <w:multiLevelType w:val="hybridMultilevel"/>
    <w:lvl w:ilvl="0">
      <w:lvlJc w:val="left"/>
      <w:lvlText w:val="(%1)"/>
      <w:numFmt w:val="lowerLetter"/>
      <w:start w:val="2"/>
    </w:lvl>
    <w:lvl w:ilvl="1">
      <w:lvlJc w:val="left"/>
      <w:lvlText w:val="%2"/>
      <w:numFmt w:val="lowerLetter"/>
      <w:start w:val="1"/>
    </w:lvl>
  </w:abstractNum>
  <w:abstractNum w:abstractNumId="9">
    <w:nsid w:val="D34B6A8"/>
    <w:multiLevelType w:val="hybridMultilevel"/>
    <w:lvl w:ilvl="0">
      <w:lvlJc w:val="left"/>
      <w:lvlText w:val="(%1)"/>
      <w:numFmt w:val="lowerLetter"/>
      <w:start w:val="1"/>
    </w:lvl>
  </w:abstractNum>
  <w:abstractNum w:abstractNumId="10">
    <w:nsid w:val="10233C99"/>
    <w:multiLevelType w:val="hybridMultilevel"/>
    <w:lvl w:ilvl="0">
      <w:lvlJc w:val="left"/>
      <w:lvlText w:val="(%1)"/>
      <w:numFmt w:val="lowerLetter"/>
      <w:start w:val="2"/>
    </w:lvl>
    <w:lvl w:ilvl="1">
      <w:lvlJc w:val="left"/>
      <w:lvlText w:val="(%2)"/>
      <w:numFmt w:val="lowerRoman"/>
      <w:start w:val="1"/>
    </w:lvl>
  </w:abstractNum>
  <w:abstractNum w:abstractNumId="11">
    <w:nsid w:val="3F6AB60F"/>
    <w:multiLevelType w:val="hybridMultilevel"/>
    <w:lvl w:ilvl="0">
      <w:lvlJc w:val="left"/>
      <w:lvlText w:val="(%1)"/>
      <w:numFmt w:val="lowerLetter"/>
      <w:start w:val="3"/>
    </w:lvl>
  </w:abstractNum>
  <w:abstractNum w:abstractNumId="12">
    <w:nsid w:val="61574095"/>
    <w:multiLevelType w:val="hybridMultilevel"/>
    <w:lvl w:ilvl="0">
      <w:lvlJc w:val="left"/>
      <w:lvlText w:val="(%1)"/>
      <w:numFmt w:val="lowerLetter"/>
      <w:start w:val="5"/>
    </w:lvl>
  </w:abstractNum>
  <w:abstractNum w:abstractNumId="13">
    <w:nsid w:val="7E0C57B1"/>
    <w:multiLevelType w:val="hybridMultilevel"/>
    <w:lvl w:ilvl="0">
      <w:lvlJc w:val="left"/>
      <w:lvlText w:val="(%1)"/>
      <w:numFmt w:val="lowerLetter"/>
      <w:start w:val="8"/>
    </w:lvl>
  </w:abstractNum>
  <w:abstractNum w:abstractNumId="14">
    <w:nsid w:val="77AE35EB"/>
    <w:multiLevelType w:val="hybridMultilevel"/>
    <w:lvl w:ilvl="0">
      <w:lvlJc w:val="left"/>
      <w:lvlText w:val="%1"/>
      <w:numFmt w:val="upperLetter"/>
      <w:start w:val="1"/>
    </w:lvl>
    <w:lvl w:ilvl="1">
      <w:lvlJc w:val="left"/>
      <w:lvlText w:val="(%2)"/>
      <w:numFmt w:val="lowerLetter"/>
      <w:start w:val="1"/>
    </w:lvl>
  </w:abstractNum>
  <w:abstractNum w:abstractNumId="15">
    <w:nsid w:val="579BE4F1"/>
    <w:multiLevelType w:val="hybridMultilevel"/>
    <w:lvl w:ilvl="0">
      <w:lvlJc w:val="left"/>
      <w:lvlText w:val="(%1)"/>
      <w:numFmt w:val="upperLetter"/>
      <w:start w:val="4"/>
    </w:lvl>
    <w:lvl w:ilvl="1">
      <w:lvlJc w:val="left"/>
      <w:lvlText w:val="(%2)"/>
      <w:numFmt w:val="lowerLetter"/>
      <w:start w:val="2"/>
    </w:lvl>
  </w:abstractNum>
  <w:abstractNum w:abstractNumId="16">
    <w:nsid w:val="310C50B3"/>
    <w:multiLevelType w:val="hybridMultilevel"/>
    <w:lvl w:ilvl="0">
      <w:lvlJc w:val="left"/>
      <w:lvlText w:val="(%1)"/>
      <w:numFmt w:val="upperLetter"/>
      <w:start w:val="1"/>
    </w:lvl>
    <w:lvl w:ilvl="1">
      <w:lvlJc w:val="left"/>
      <w:lvlText w:val="%2"/>
      <w:numFmt w:val="lowerLetter"/>
      <w:start w:val="1"/>
    </w:lvl>
  </w:abstractNum>
  <w:abstractNum w:abstractNumId="17">
    <w:nsid w:val="5FF87E05"/>
    <w:multiLevelType w:val="hybridMultilevel"/>
    <w:lvl w:ilvl="0">
      <w:lvlJc w:val="left"/>
      <w:lvlText w:val="(%1)"/>
      <w:numFmt w:val="lowerLetter"/>
      <w:start w:val="3"/>
    </w:lvl>
  </w:abstractNum>
  <w:abstractNum w:abstractNumId="18">
    <w:nsid w:val="2F305DEF"/>
    <w:multiLevelType w:val="hybridMultilevel"/>
    <w:lvl w:ilvl="0">
      <w:lvlJc w:val="left"/>
      <w:lvlText w:val="(%1)"/>
      <w:numFmt w:val="lowerLetter"/>
      <w:start w:val="1"/>
    </w:lvl>
  </w:abstractNum>
  <w:abstractNum w:abstractNumId="19">
    <w:nsid w:val="25A70BF7"/>
    <w:multiLevelType w:val="hybridMultilevel"/>
    <w:lvl w:ilvl="0">
      <w:lvlJc w:val="left"/>
      <w:lvlText w:val="(%1)"/>
      <w:numFmt w:val="lowerLetter"/>
      <w:start w:val="2"/>
    </w:lvl>
  </w:abstractNum>
  <w:abstractNum w:abstractNumId="20">
    <w:nsid w:val="1DBABF00"/>
    <w:multiLevelType w:val="hybridMultilevel"/>
    <w:lvl w:ilvl="0">
      <w:lvlJc w:val="left"/>
      <w:lvlText w:val="(%1)"/>
      <w:numFmt w:val="lowerLetter"/>
      <w:start w:val="1"/>
    </w:lvl>
  </w:abstractNum>
  <w:abstractNum w:abstractNumId="21">
    <w:nsid w:val="4AD084E9"/>
    <w:multiLevelType w:val="hybridMultilevel"/>
    <w:lvl w:ilvl="0">
      <w:lvlJc w:val="left"/>
      <w:lvlText w:val="%1"/>
      <w:numFmt w:val="lowerLetter"/>
      <w:start w:val="1"/>
    </w:lvl>
    <w:lvl w:ilvl="1">
      <w:lvlJc w:val="left"/>
      <w:lvlText w:val="(%2)"/>
      <w:numFmt w:val="lowerLetter"/>
      <w:start w:val="2"/>
    </w:lvl>
  </w:abstractNum>
  <w:abstractNum w:abstractNumId="22">
    <w:nsid w:val="1F48EAA1"/>
    <w:multiLevelType w:val="hybridMultilevel"/>
    <w:lvl w:ilvl="0">
      <w:lvlJc w:val="left"/>
      <w:lvlText w:val="(%1)"/>
      <w:numFmt w:val="lowerLetter"/>
      <w:start w:val="9"/>
    </w:lvl>
    <w:lvl w:ilvl="1">
      <w:lvlJc w:val="left"/>
      <w:lvlText w:val="(%2)"/>
      <w:numFmt w:val="lowerLetter"/>
      <w:start w:val="4"/>
    </w:lvl>
  </w:abstractNum>
  <w:abstractNum w:abstractNumId="23">
    <w:nsid w:val="1381823A"/>
    <w:multiLevelType w:val="hybridMultilevel"/>
    <w:lvl w:ilvl="0">
      <w:lvlJc w:val="left"/>
      <w:lvlText w:val="(%1)"/>
      <w:numFmt w:val="lowerLetter"/>
      <w:start w:val="1"/>
    </w:lvl>
  </w:abstractNum>
  <w:abstractNum w:abstractNumId="24">
    <w:nsid w:val="5DB70AE5"/>
    <w:multiLevelType w:val="hybridMultilevel"/>
    <w:lvl w:ilvl="0">
      <w:lvlJc w:val="left"/>
      <w:lvlText w:val="(%1)"/>
      <w:numFmt w:val="lowerLetter"/>
      <w:start w:val="2"/>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2"/>
    </w:lvl>
  </w:abstractNum>
  <w:abstractNum w:abstractNumId="27">
    <w:nsid w:val="15014ACB"/>
    <w:multiLevelType w:val="hybridMultilevel"/>
    <w:lvl w:ilvl="0">
      <w:lvlJc w:val="left"/>
      <w:lvlText w:val="(%1)"/>
      <w:numFmt w:val="lowerLetter"/>
      <w:start w:val="1"/>
    </w:lvl>
  </w:abstractNum>
  <w:abstractNum w:abstractNumId="28">
    <w:nsid w:val="5F5E7FD0"/>
    <w:multiLevelType w:val="hybridMultilevel"/>
    <w:lvl w:ilvl="0">
      <w:lvlJc w:val="left"/>
      <w:lvlText w:val="%1"/>
      <w:numFmt w:val="lowerLetter"/>
      <w:start w:val="1"/>
    </w:lvl>
    <w:lvl w:ilvl="1">
      <w:lvlJc w:val="left"/>
      <w:lvlText w:val="(%2)"/>
      <w:numFmt w:val="lowerLetter"/>
      <w:start w:val="5"/>
    </w:lvl>
  </w:abstractNum>
  <w:abstractNum w:abstractNumId="29">
    <w:nsid w:val="98A3148"/>
    <w:multiLevelType w:val="hybridMultilevel"/>
    <w:lvl w:ilvl="0">
      <w:lvlJc w:val="left"/>
      <w:lvlText w:val="(%1)"/>
      <w:numFmt w:val="lowerLetter"/>
      <w:start w:val="35"/>
    </w:lvl>
    <w:lvl w:ilvl="1">
      <w:lvlJc w:val="left"/>
      <w:lvlText w:val="(%2)"/>
      <w:numFmt w:val="lowerLetter"/>
      <w:start w:val="9"/>
    </w:lvl>
  </w:abstractNum>
  <w:abstractNum w:abstractNumId="30">
    <w:nsid w:val="799D0247"/>
    <w:multiLevelType w:val="hybridMultilevel"/>
    <w:lvl w:ilvl="0">
      <w:lvlJc w:val="left"/>
      <w:lvlText w:val="%1"/>
      <w:numFmt w:val="lowerLetter"/>
      <w:start w:val="1"/>
    </w:lvl>
    <w:lvl w:ilvl="1">
      <w:lvlJc w:val="left"/>
      <w:lvlText w:val="(%2)"/>
      <w:numFmt w:val="lowerLetter"/>
      <w:start w:val="1"/>
    </w:lvl>
  </w:abstractNum>
  <w:abstractNum w:abstractNumId="31">
    <w:nsid w:val="6B94764"/>
    <w:multiLevelType w:val="hybridMultilevel"/>
    <w:lvl w:ilvl="0">
      <w:lvlJc w:val="left"/>
      <w:lvlText w:val="(%1)"/>
      <w:numFmt w:val="lowerLetter"/>
      <w:start w:val="9"/>
    </w:lvl>
    <w:lvl w:ilvl="1">
      <w:lvlJc w:val="left"/>
      <w:lvlText w:val="(%2)"/>
      <w:numFmt w:val="lowerLetter"/>
      <w:start w:val="5"/>
    </w:lvl>
  </w:abstractNum>
  <w:abstractNum w:abstractNumId="32">
    <w:nsid w:val="42C296BD"/>
    <w:multiLevelType w:val="hybridMultilevel"/>
    <w:lvl w:ilvl="0">
      <w:lvlJc w:val="left"/>
      <w:lvlText w:val="(%1)"/>
      <w:numFmt w:val="lowerLetter"/>
      <w:start w:val="1"/>
    </w:lvl>
  </w:abstractNum>
  <w:abstractNum w:abstractNumId="33">
    <w:nsid w:val="168E121F"/>
    <w:multiLevelType w:val="hybridMultilevel"/>
    <w:lvl w:ilvl="0">
      <w:lvlJc w:val="left"/>
      <w:lvlText w:val="(%1)"/>
      <w:numFmt w:val="lowerLetter"/>
      <w:start w:val="10"/>
    </w:lvl>
  </w:abstractNum>
  <w:abstractNum w:abstractNumId="34">
    <w:nsid w:val="1EBA5D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
    <w:nsid w:val="661E3F1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6">
    <w:nsid w:val="5DC79EA8"/>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37">
    <w:nsid w:val="540A471C"/>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3"/>
    </w:lvl>
  </w:abstractNum>
  <w:abstractNum w:abstractNumId="38">
    <w:nsid w:val="7BD3EE7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
    <w:nsid w:val="51D9C56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40">
    <w:nsid w:val="613EFDC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1">
    <w:nsid w:val="BF72B14"/>
    <w:multiLevelType w:val="hybridMultilevel"/>
    <w:lvl w:ilvl="0">
      <w:lvlJc w:val="left"/>
      <w:lvlText w:val="(%1)"/>
      <w:numFmt w:val="lowerRoman"/>
      <w:start w:val="3"/>
    </w:lvl>
  </w:abstractNum>
  <w:abstractNum w:abstractNumId="42">
    <w:nsid w:val="11447B73"/>
    <w:multiLevelType w:val="hybridMultilevel"/>
    <w:lvl w:ilvl="0">
      <w:lvlJc w:val="left"/>
      <w:lvlText w:val="(%1)"/>
      <w:numFmt w:val="lowerLetter"/>
      <w:start w:val="1"/>
    </w:lvl>
  </w:abstractNum>
  <w:abstractNum w:abstractNumId="43">
    <w:nsid w:val="42963E5A"/>
    <w:multiLevelType w:val="hybridMultilevel"/>
    <w:lvl w:ilvl="0">
      <w:lvlJc w:val="left"/>
      <w:lvlText w:val="(%1)"/>
      <w:numFmt w:val="lowerLetter"/>
      <w:start w:val="1"/>
    </w:lvl>
    <w:lvl w:ilvl="1">
      <w:lvlJc w:val="left"/>
      <w:lvlText w:val="(%2)"/>
      <w:numFmt w:val="lowerLetter"/>
      <w:start w:val="5"/>
    </w:lvl>
  </w:abstractNum>
  <w:abstractNum w:abstractNumId="44">
    <w:nsid w:val="A0382C5"/>
    <w:multiLevelType w:val="hybridMultilevel"/>
    <w:lvl w:ilvl="0">
      <w:lvlJc w:val="left"/>
      <w:lvlText w:val="(%1)"/>
      <w:numFmt w:val="lowerLetter"/>
      <w:start w:val="1"/>
    </w:lvl>
    <w:lvl w:ilvl="1">
      <w:lvlJc w:val="left"/>
      <w:lvlText w:val="(%2)"/>
      <w:numFmt w:val="lowerRoman"/>
      <w:start w:val="1"/>
    </w:lvl>
  </w:abstractNum>
  <w:abstractNum w:abstractNumId="45">
    <w:nsid w:val="8F2B15E"/>
    <w:multiLevelType w:val="hybridMultilevel"/>
    <w:lvl w:ilvl="0">
      <w:lvlJc w:val="left"/>
      <w:lvlText w:val="(%1)"/>
      <w:numFmt w:val="lowerRoman"/>
      <w:start w:val="3"/>
    </w:lvl>
  </w:abstractNum>
  <w:abstractNum w:abstractNumId="46">
    <w:nsid w:val="1A32234B"/>
    <w:multiLevelType w:val="hybridMultilevel"/>
    <w:lvl w:ilvl="0">
      <w:lvlJc w:val="left"/>
      <w:lvlText w:val="(%1)"/>
      <w:numFmt w:val="lowerLetter"/>
      <w:start w:val="1"/>
    </w:lvl>
  </w:abstractNum>
  <w:abstractNum w:abstractNumId="47">
    <w:nsid w:val="3B0FD379"/>
    <w:multiLevelType w:val="hybridMultilevel"/>
    <w:lvl w:ilvl="0">
      <w:lvlJc w:val="left"/>
      <w:lvlText w:val="(%1)"/>
      <w:numFmt w:val="lowerLetter"/>
      <w:start w:val="2"/>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lowerLetter"/>
      <w:start w:val="1"/>
    </w:lvl>
  </w:abstractNum>
  <w:abstractNum w:abstractNumId="50">
    <w:nsid w:val="60B6DF70"/>
    <w:multiLevelType w:val="hybridMultilevel"/>
    <w:lvl w:ilvl="0">
      <w:lvlJc w:val="left"/>
      <w:lvlText w:val="(%1)"/>
      <w:numFmt w:val="lowerLetter"/>
      <w:start w:val="2"/>
    </w:lvl>
  </w:abstractNum>
  <w:abstractNum w:abstractNumId="51">
    <w:nsid w:val="6A5EE64"/>
    <w:multiLevelType w:val="hybridMultilevel"/>
    <w:lvl w:ilvl="0">
      <w:lvlJc w:val="left"/>
      <w:lvlText w:val="(%1)"/>
      <w:numFmt w:val="lowerLetter"/>
      <w:start w:val="6"/>
    </w:lvl>
  </w:abstractNum>
  <w:abstractNum w:abstractNumId="52">
    <w:nsid w:val="14330624"/>
    <w:multiLevelType w:val="hybridMultilevel"/>
    <w:lvl w:ilvl="0">
      <w:lvlJc w:val="left"/>
      <w:lvlText w:val="(%1)"/>
      <w:numFmt w:val="lowerLetter"/>
      <w:start w:val="1"/>
    </w:lvl>
  </w:abstractNum>
  <w:abstractNum w:abstractNumId="53">
    <w:nsid w:val="7FFFCA11"/>
    <w:multiLevelType w:val="hybridMultilevel"/>
    <w:lvl w:ilvl="0">
      <w:lvlJc w:val="left"/>
      <w:lvlText w:val="(%1)"/>
      <w:numFmt w:val="lowerLetter"/>
      <w:start w:val="1"/>
    </w:lvl>
  </w:abstractNum>
  <w:abstractNum w:abstractNumId="54">
    <w:nsid w:val="1A27709E"/>
    <w:multiLevelType w:val="hybridMultilevel"/>
    <w:lvl w:ilvl="0">
      <w:lvlJc w:val="left"/>
      <w:lvlText w:val="(%1)"/>
      <w:numFmt w:val="lowerLetter"/>
      <w:start w:val="1"/>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1"/>
    </w:lvl>
  </w:abstractNum>
  <w:abstractNum w:abstractNumId="58">
    <w:nsid w:val="6EB5BD4"/>
    <w:multiLevelType w:val="hybridMultilevel"/>
    <w:lvl w:ilvl="0">
      <w:lvlJc w:val="left"/>
      <w:lvlText w:val="(%1)"/>
      <w:numFmt w:val="lowerLetter"/>
      <w:start w:val="2"/>
    </w:lvl>
  </w:abstractNum>
  <w:abstractNum w:abstractNumId="59">
    <w:nsid w:val="6F6DD9AC"/>
    <w:multiLevelType w:val="hybridMultilevel"/>
    <w:lvl w:ilvl="0">
      <w:lvlJc w:val="left"/>
      <w:lvlText w:val="(%1)"/>
      <w:numFmt w:val="lowerLetter"/>
      <w:start w:val="1"/>
    </w:lvl>
    <w:lvl w:ilvl="1">
      <w:lvlJc w:val="left"/>
      <w:lvlText w:val="(%2)"/>
      <w:numFmt w:val="lowerLetter"/>
      <w:start w:val="9"/>
    </w:lvl>
  </w:abstractNum>
  <w:abstractNum w:abstractNumId="60">
    <w:nsid w:val="94211F2"/>
    <w:multiLevelType w:val="hybridMultilevel"/>
    <w:lvl w:ilvl="0">
      <w:lvlJc w:val="left"/>
      <w:lvlText w:val="(%1)"/>
      <w:numFmt w:val="lowerRoman"/>
      <w:start w:val="2"/>
    </w:lvl>
  </w:abstractNum>
  <w:abstractNum w:abstractNumId="61">
    <w:nsid w:val="885E1B"/>
    <w:multiLevelType w:val="hybridMultilevel"/>
    <w:lvl w:ilvl="0">
      <w:lvlJc w:val="left"/>
      <w:lvlText w:val="(%1)"/>
      <w:numFmt w:val="lowerRoman"/>
      <w:start w:val="5"/>
    </w:lvl>
  </w:abstractNum>
  <w:abstractNum w:abstractNumId="62">
    <w:nsid w:val="76272110"/>
    <w:multiLevelType w:val="hybridMultilevel"/>
    <w:lvl w:ilvl="0">
      <w:lvlJc w:val="left"/>
      <w:lvlText w:val="(%1)"/>
      <w:numFmt w:val="lowerRoman"/>
      <w:start w:val="11"/>
    </w:lvl>
  </w:abstractNum>
  <w:abstractNum w:abstractNumId="63">
    <w:nsid w:val="4C04A8AF"/>
    <w:multiLevelType w:val="hybridMultilevel"/>
    <w:lvl w:ilvl="0">
      <w:lvlJc w:val="left"/>
      <w:lvlText w:val="(%1)"/>
      <w:numFmt w:val="lowerRoman"/>
      <w:start w:val="15"/>
    </w:lvl>
  </w:abstractNum>
  <w:abstractNum w:abstractNumId="64">
    <w:nsid w:val="1716703B"/>
    <w:multiLevelType w:val="hybridMultilevel"/>
    <w:lvl w:ilvl="0">
      <w:lvlJc w:val="left"/>
      <w:lvlText w:val="(%1)"/>
      <w:numFmt w:val="lowerLetter"/>
      <w:start w:val="1"/>
    </w:lvl>
  </w:abstractNum>
  <w:abstractNum w:abstractNumId="65">
    <w:nsid w:val="14E17E33"/>
    <w:multiLevelType w:val="hybridMultilevel"/>
    <w:lvl w:ilvl="0">
      <w:lvlJc w:val="left"/>
      <w:lvlText w:val="(%1)"/>
      <w:numFmt w:val="lowerLetter"/>
      <w:start w:val="2"/>
    </w:lvl>
    <w:lvl w:ilvl="1">
      <w:lvlJc w:val="left"/>
      <w:lvlText w:val="(%2)"/>
      <w:numFmt w:val="lowerRoman"/>
      <w:start w:val="1"/>
    </w:lvl>
  </w:abstractNum>
  <w:abstractNum w:abstractNumId="66">
    <w:nsid w:val="3222E7CD"/>
    <w:multiLevelType w:val="hybridMultilevel"/>
    <w:lvl w:ilvl="0">
      <w:lvlJc w:val="left"/>
      <w:lvlText w:val="(%1)"/>
      <w:numFmt w:val="lowerRoman"/>
      <w:start w:val="5"/>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9">
    <w:nsid w:val="2DF6D64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0">
    <w:nsid w:val="46B7D44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71">
    <w:nsid w:val="4A2AC315"/>
    <w:multiLevelType w:val="hybridMultilevel"/>
    <w:lvl w:ilvl="0">
      <w:lvlJc w:val="left"/>
      <w:lvlText w:val="(%1)"/>
      <w:numFmt w:val="upperLetter"/>
      <w:start w:val="3"/>
    </w:lvl>
    <w:lvl w:ilvl="1">
      <w:lvlJc w:val="left"/>
      <w:lvlText w:val="(%2)"/>
      <w:numFmt w:val="lowerLetter"/>
      <w:start w:val="6"/>
    </w:lvl>
    <w:lvl w:ilvl="2">
      <w:lvlJc w:val="left"/>
      <w:lvlText w:val="%3"/>
      <w:numFmt w:val="lowerLetter"/>
      <w:start w:val="1"/>
    </w:lvl>
  </w:abstractNum>
  <w:abstractNum w:abstractNumId="72">
    <w:nsid w:val="39EE015C"/>
    <w:multiLevelType w:val="hybridMultilevel"/>
    <w:lvl w:ilvl="0">
      <w:lvlJc w:val="left"/>
      <w:lvlText w:val="(%1)"/>
      <w:numFmt w:val="lowerLetter"/>
      <w:start w:val="1"/>
    </w:lvl>
  </w:abstractNum>
  <w:abstractNum w:abstractNumId="73">
    <w:nsid w:val="57FC4FBB"/>
    <w:multiLevelType w:val="hybridMultilevel"/>
    <w:lvl w:ilvl="0">
      <w:lvlJc w:val="left"/>
      <w:lvlText w:val="(%1)"/>
      <w:numFmt w:val="lowerLetter"/>
      <w:start w:val="1"/>
    </w:lvl>
  </w:abstractNum>
  <w:abstractNum w:abstractNumId="74">
    <w:nsid w:val="CC1016F"/>
    <w:multiLevelType w:val="hybridMultilevel"/>
    <w:lvl w:ilvl="0">
      <w:lvlJc w:val="left"/>
      <w:lvlText w:val="(%1)"/>
      <w:numFmt w:val="lowerLetter"/>
      <w:start w:val="2"/>
    </w:lvl>
  </w:abstractNum>
  <w:abstractNum w:abstractNumId="75">
    <w:nsid w:val="43F18422"/>
    <w:multiLevelType w:val="hybridMultilevel"/>
    <w:lvl w:ilvl="0">
      <w:lvlJc w:val="left"/>
      <w:lvlText w:val="%1"/>
      <w:numFmt w:val="lowerLetter"/>
      <w:start w:val="1"/>
    </w:lvl>
    <w:lvl w:ilvl="1">
      <w:lvlJc w:val="left"/>
      <w:lvlText w:val="(%2)"/>
      <w:numFmt w:val="lowerLetter"/>
      <w:start w:val="1"/>
    </w:lvl>
  </w:abstractNum>
  <w:abstractNum w:abstractNumId="76">
    <w:nsid w:val="60EF0119"/>
    <w:multiLevelType w:val="hybridMultilevel"/>
    <w:lvl w:ilvl="0">
      <w:lvlJc w:val="left"/>
      <w:lvlText w:val="(%1)"/>
      <w:numFmt w:val="lowerLetter"/>
      <w:start w:val="9"/>
    </w:lvl>
    <w:lvl w:ilvl="1">
      <w:lvlJc w:val="left"/>
      <w:lvlText w:val="%2"/>
      <w:numFmt w:val="lowerLetter"/>
      <w:start w:val="1"/>
    </w:lvl>
  </w:abstractNum>
  <w:abstractNum w:abstractNumId="77">
    <w:nsid w:val="26F324BA"/>
    <w:multiLevelType w:val="hybridMultilevel"/>
    <w:lvl w:ilvl="0">
      <w:lvlJc w:val="left"/>
      <w:lvlText w:val="%1"/>
      <w:numFmt w:val="lowerLetter"/>
      <w:start w:val="1"/>
    </w:lvl>
    <w:lvl w:ilvl="1">
      <w:lvlJc w:val="left"/>
      <w:lvlText w:val="(%2)"/>
      <w:numFmt w:val="lowerLetter"/>
      <w:start w:val="2"/>
    </w:lvl>
  </w:abstractNum>
  <w:abstractNum w:abstractNumId="78">
    <w:nsid w:val="7F01579B"/>
    <w:multiLevelType w:val="hybridMultilevel"/>
    <w:lvl w:ilvl="0">
      <w:lvlJc w:val="left"/>
      <w:lvlText w:val="(%1)"/>
      <w:numFmt w:val="lowerLetter"/>
      <w:start w:val="35"/>
    </w:lvl>
    <w:lvl w:ilvl="1">
      <w:lvlJc w:val="left"/>
      <w:lvlText w:val="%2"/>
      <w:numFmt w:val="lowerLetter"/>
      <w:start w:val="1"/>
    </w:lvl>
  </w:abstractNum>
  <w:abstractNum w:abstractNumId="79">
    <w:nsid w:val="49DA307D"/>
    <w:multiLevelType w:val="hybridMultilevel"/>
    <w:lvl w:ilvl="0">
      <w:lvlJc w:val="left"/>
      <w:lvlText w:val="(%1)"/>
      <w:numFmt w:val="lowerLetter"/>
      <w:start w:val="1"/>
    </w:lvl>
  </w:abstractNum>
  <w:abstractNum w:abstractNumId="80">
    <w:nsid w:val="7055A5F5"/>
    <w:multiLevelType w:val="hybridMultilevel"/>
    <w:lvl w:ilvl="0">
      <w:lvlJc w:val="left"/>
      <w:lvlText w:val="(%1)"/>
      <w:numFmt w:val="lowerLetter"/>
      <w:start w:val="3"/>
    </w:lvl>
  </w:abstractNum>
  <w:abstractNum w:abstractNumId="81">
    <w:nsid w:val="5FB8370B"/>
    <w:multiLevelType w:val="hybridMultilevel"/>
    <w:lvl w:ilvl="0">
      <w:lvlJc w:val="left"/>
      <w:lvlText w:val="(%1)"/>
      <w:numFmt w:val="lowerLetter"/>
      <w:start w:val="4"/>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4"/>
    </w:lvl>
  </w:abstractNum>
  <w:abstractNum w:abstractNumId="84">
    <w:nsid w:val="5FB8011C"/>
    <w:multiLevelType w:val="hybridMultilevel"/>
    <w:lvl w:ilvl="0">
      <w:lvlJc w:val="left"/>
      <w:lvlText w:val="%1"/>
      <w:numFmt w:val="lowerRoman"/>
      <w:start w:val="1"/>
    </w:lvl>
    <w:lvl w:ilvl="1">
      <w:lvlJc w:val="left"/>
      <w:lvlText w:val="(%2)"/>
      <w:numFmt w:val="lowerLetter"/>
      <w:start w:val="1"/>
    </w:lvl>
  </w:abstractNum>
  <w:abstractNum w:abstractNumId="85">
    <w:nsid w:val="6AA78F7F"/>
    <w:multiLevelType w:val="hybridMultilevel"/>
    <w:lvl w:ilvl="0">
      <w:lvlJc w:val="left"/>
      <w:lvlText w:val="(%1)"/>
      <w:numFmt w:val="lowerRoman"/>
      <w:start w:val="1"/>
    </w:lvl>
    <w:lvl w:ilvl="1">
      <w:lvlJc w:val="left"/>
      <w:lvlText w:val="%2"/>
      <w:numFmt w:val="lowerLetter"/>
      <w:start w:val="1"/>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lowerLetter"/>
      <w:start w:val="2"/>
    </w:lvl>
  </w:abstractNum>
  <w:abstractNum w:abstractNumId="88">
    <w:nsid w:val="6A5F7029"/>
    <w:multiLevelType w:val="hybridMultilevel"/>
    <w:lvl w:ilvl="0">
      <w:lvlJc w:val="left"/>
      <w:lvlText w:val="(%1)"/>
      <w:numFmt w:val="lowerLetter"/>
      <w:start w:val="1"/>
    </w:lvl>
  </w:abstractNum>
  <w:abstractNum w:abstractNumId="89">
    <w:nsid w:val="7D5E18F8"/>
    <w:multiLevelType w:val="hybridMultilevel"/>
    <w:lvl w:ilvl="0">
      <w:lvlJc w:val="left"/>
      <w:lvlText w:val="(%1)"/>
      <w:numFmt w:val="lowerLetter"/>
      <w:start w:val="1"/>
    </w:lvl>
  </w:abstractNum>
  <w:abstractNum w:abstractNumId="90">
    <w:nsid w:val="5F3534A4"/>
    <w:multiLevelType w:val="hybridMultilevel"/>
    <w:lvl w:ilvl="0">
      <w:lvlJc w:val="left"/>
      <w:lvlText w:val="(%1)"/>
      <w:numFmt w:val="lowerLetter"/>
      <w:start w:val="1"/>
    </w:lvl>
  </w:abstractNum>
  <w:abstractNum w:abstractNumId="91">
    <w:nsid w:val="73A1821B"/>
    <w:multiLevelType w:val="hybridMultilevel"/>
    <w:lvl w:ilvl="0">
      <w:lvlJc w:val="left"/>
      <w:lvlText w:val="(%1)"/>
      <w:numFmt w:val="lowerLetter"/>
      <w:start w:val="2"/>
    </w:lvl>
  </w:abstractNum>
  <w:abstractNum w:abstractNumId="92">
    <w:nsid w:val="7DE67713"/>
    <w:multiLevelType w:val="hybridMultilevel"/>
    <w:lvl w:ilvl="0">
      <w:lvlJc w:val="left"/>
      <w:lvlText w:val="(%1)"/>
      <w:numFmt w:val="lowerLetter"/>
      <w:start w:val="1"/>
    </w:lvl>
  </w:abstractNum>
  <w:abstractNum w:abstractNumId="93">
    <w:nsid w:val="555C55B5"/>
    <w:multiLevelType w:val="hybridMultilevel"/>
    <w:lvl w:ilvl="0">
      <w:lvlJc w:val="left"/>
      <w:lvlText w:val="(%1)"/>
      <w:numFmt w:val="lowerLetter"/>
      <w:start w:val="2"/>
    </w:lvl>
  </w:abstractNum>
  <w:abstractNum w:abstractNumId="94">
    <w:nsid w:val="3FA62ACA"/>
    <w:multiLevelType w:val="hybridMultilevel"/>
    <w:lvl w:ilvl="0">
      <w:lvlJc w:val="left"/>
      <w:lvlText w:val="(%1)"/>
      <w:numFmt w:val="lowerLetter"/>
      <w:start w:val="1"/>
    </w:lvl>
    <w:lvl w:ilvl="1">
      <w:lvlJc w:val="left"/>
      <w:lvlText w:val="(%2)"/>
      <w:numFmt w:val="lowerLetter"/>
      <w:start w:val="9"/>
    </w:lvl>
  </w:abstractNum>
  <w:abstractNum w:abstractNumId="95">
    <w:nsid w:val="14FCE74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96">
    <w:nsid w:val="6A3DD3E8"/>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97">
    <w:nsid w:val="71C91298"/>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98">
    <w:nsid w:val="9DAF632"/>
    <w:multiLevelType w:val="hybridMultilevel"/>
    <w:lvl w:ilvl="0">
      <w:lvlJc w:val="left"/>
      <w:lvlText w:val="(%1)"/>
      <w:numFmt w:val="lowerLetter"/>
      <w:start w:val="1"/>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lowerLetter"/>
      <w:start w:val="4"/>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lowerLetter"/>
      <w:start w:val="5"/>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lowerLetter"/>
      <w:start w:val="3"/>
    </w:lvl>
  </w:abstractNum>
  <w:abstractNum w:abstractNumId="105">
    <w:nsid w:val="2A155DBC"/>
    <w:multiLevelType w:val="hybridMultilevel"/>
    <w:lvl w:ilvl="0">
      <w:lvlJc w:val="left"/>
      <w:lvlText w:val="(%1)"/>
      <w:numFmt w:val="lowerLetter"/>
      <w:start w:val="1"/>
    </w:lvl>
  </w:abstractNum>
  <w:abstractNum w:abstractNumId="106">
    <w:nsid w:val="1D9F6E5F"/>
    <w:multiLevelType w:val="hybridMultilevel"/>
    <w:lvl w:ilvl="0">
      <w:lvlJc w:val="left"/>
      <w:lvlText w:val="(%1)"/>
      <w:numFmt w:val="lowerRoman"/>
      <w:start w:val="4"/>
    </w:lvl>
  </w:abstractNum>
  <w:abstractNum w:abstractNumId="107">
    <w:nsid w:val="97E1B4E"/>
    <w:multiLevelType w:val="hybridMultilevel"/>
    <w:lvl w:ilvl="0">
      <w:lvlJc w:val="left"/>
      <w:lvlText w:val="(%1)"/>
      <w:numFmt w:val="lowerRoman"/>
      <w:start w:val="3"/>
    </w:lvl>
  </w:abstractNum>
  <w:abstractNum w:abstractNumId="108">
    <w:nsid w:val="51088277"/>
    <w:multiLevelType w:val="hybridMultilevel"/>
    <w:lvl w:ilvl="0">
      <w:lvlJc w:val="left"/>
      <w:lvlText w:val="(%1)"/>
      <w:numFmt w:val="decimal"/>
      <w:start w:val="12"/>
    </w:lvl>
  </w:abstractNum>
  <w:abstractNum w:abstractNumId="109">
    <w:nsid w:val="1CA0C5FA"/>
    <w:multiLevelType w:val="hybridMultilevel"/>
    <w:lvl w:ilvl="0">
      <w:lvlJc w:val="left"/>
      <w:lvlText w:val="(%1)"/>
      <w:numFmt w:val="lowerLetter"/>
      <w:start w:val="1"/>
    </w:lvl>
    <w:lvl w:ilvl="1">
      <w:lvlJc w:val="left"/>
      <w:lvlText w:val="(%2)"/>
      <w:numFmt w:val="upperLetter"/>
      <w:start w:val="1"/>
    </w:lvl>
  </w:abstractNum>
  <w:abstractNum w:abstractNumId="110">
    <w:nsid w:val="53584BC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2024-08-22T05:34:01Z</dcterms:created>
  <dcterms:modified xsi:type="dcterms:W3CDTF">2024-08-22T05:34:01Z</dcterms:modified>
</cp:coreProperties>
</file>