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November 19, 2021,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100" w:type="dxa"/>
            <w:vAlign w:val="bottom"/>
          </w:tcPr>
          <w:p>
            <w:pPr>
              <w:spacing w:after="0"/>
              <w:rPr>
                <w:sz w:val="20"/>
                <w:szCs w:val="20"/>
                <w:color w:val="auto"/>
              </w:rPr>
            </w:pPr>
          </w:p>
        </w:tc>
      </w:tr>
      <w:tr>
        <w:trPr>
          <w:trHeight w:val="445"/>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3"/>
          </w:tcPr>
          <w:p>
            <w:pPr>
              <w:ind w:left="120"/>
              <w:spacing w:after="0"/>
              <w:rPr>
                <w:sz w:val="20"/>
                <w:szCs w:val="20"/>
                <w:color w:val="auto"/>
              </w:rPr>
            </w:pPr>
            <w:r>
              <w:rPr>
                <w:rFonts w:ascii="Arial" w:cs="Arial" w:eastAsia="Arial" w:hAnsi="Arial"/>
                <w:sz w:val="18"/>
                <w:szCs w:val="18"/>
                <w:color w:val="auto"/>
              </w:rPr>
              <w:t>Description</w:t>
            </w:r>
          </w:p>
        </w:tc>
      </w:tr>
      <w:tr>
        <w:trPr>
          <w:trHeight w:val="210"/>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r>
      <w:tr>
        <w:trPr>
          <w:trHeight w:val="175"/>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3"/>
            <w:shd w:val="clear" w:color="auto" w:fill="CCEEFF"/>
          </w:tcPr>
          <w:p>
            <w:pPr>
              <w:ind w:left="1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November 19, 2021</w:t>
              </w:r>
            </w:hyperlink>
          </w:p>
        </w:tc>
      </w:tr>
      <w:tr>
        <w:trPr>
          <w:trHeight w:val="21"/>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0000EE"/>
            </w:tcBorders>
            <w:shd w:val="clear" w:color="auto" w:fill="CCEEFF"/>
          </w:tcPr>
          <w:p>
            <w:pPr>
              <w:spacing w:after="0" w:line="20" w:lineRule="exact"/>
              <w:rPr>
                <w:sz w:val="1"/>
                <w:szCs w:val="1"/>
                <w:color w:val="auto"/>
              </w:rPr>
            </w:pPr>
          </w:p>
        </w:tc>
        <w:tc>
          <w:tcPr>
            <w:tcW w:w="6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 Geoffrey Morphy</w:t>
      </w:r>
    </w:p>
    <w:p>
      <w:pPr>
        <w:spacing w:after="0" w:line="23" w:lineRule="exact"/>
        <w:rPr>
          <w:sz w:val="20"/>
          <w:szCs w:val="20"/>
          <w:color w:val="auto"/>
        </w:rPr>
      </w:pPr>
    </w:p>
    <w:p>
      <w:pPr>
        <w:ind w:left="720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2021</w:t>
      </w:r>
    </w:p>
    <w:p>
      <w:pPr>
        <w:spacing w:after="0" w:line="11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112"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November 19, 2021.</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November 19, 2021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112"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112"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11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jc w:val="center"/>
        <w:ind w:right="-219"/>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14605</wp:posOffset>
            </wp:positionV>
            <wp:extent cx="2048510" cy="540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851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32"/>
          <w:szCs w:val="32"/>
          <w:b w:val="1"/>
          <w:bCs w:val="1"/>
          <w:color w:val="auto"/>
        </w:rPr>
        <w:t>Bitfarms Appoints Vice President of Corporate and Grants of Options</w:t>
      </w:r>
    </w:p>
    <w:p>
      <w:pPr>
        <w:spacing w:after="0" w:line="388" w:lineRule="exact"/>
        <w:rPr>
          <w:sz w:val="20"/>
          <w:szCs w:val="20"/>
          <w:color w:val="auto"/>
        </w:rPr>
      </w:pPr>
    </w:p>
    <w:p>
      <w:pPr>
        <w:ind w:left="760" w:right="860" w:firstLine="11"/>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39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Toronto, Ontario and Brossard, Québec (November 19,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Patricia Osorio as Vice President of Corporate, reporting to President Geoff Morphy.</w:t>
      </w:r>
    </w:p>
    <w:p>
      <w:pPr>
        <w:spacing w:after="0" w:line="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Morphy said, “Patricia will work closely with the executive team and board in managing our global activities. In addition to supporting our corporate governance initiatives, she will assist with global business development and integration. I had the pleasure of working with Patricia while she was corporate secretary at a global, publicly traded, clean tech company based in Montreal. She will be a great asset as we continue to expand our operational footprint in Canada, the United States, Latin America, and other jurisdictions. I am excited about her future contribution to Bitfarms.”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Patricia Osorio</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Osorio brings 18 years of corporate experience in Canada, including corporate governance roles with Canadian companies with activities overseas (Africa and Latin America). Most recently, she served as Corporate Secretary for Dundee Sustainable Technologies, a publicly traded, Montreal-based company focused on environmentally friendly technologies for the treatment of material from the mining industry.</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Osorio, an accredited Colombian lawyer, earned her Bachelor of Laws (LL.B.) in October 1997 at Universidad Pontificia Bolivariana, Medellín, Antioquia and was called to the Colombian Barreau in February 1998. She is fluent in English, French and Spanish.</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Grant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further announces the granting of stock options (“</w:t>
      </w:r>
      <w:r>
        <w:rPr>
          <w:rFonts w:ascii="Arial" w:cs="Arial" w:eastAsia="Arial" w:hAnsi="Arial"/>
          <w:sz w:val="17"/>
          <w:szCs w:val="17"/>
          <w:b w:val="1"/>
          <w:bCs w:val="1"/>
          <w:color w:val="auto"/>
        </w:rPr>
        <w:t>Options</w:t>
      </w:r>
      <w:r>
        <w:rPr>
          <w:rFonts w:ascii="Arial" w:cs="Arial" w:eastAsia="Arial" w:hAnsi="Arial"/>
          <w:sz w:val="17"/>
          <w:szCs w:val="17"/>
          <w:color w:val="auto"/>
        </w:rPr>
        <w:t>”) to certain officers and employees of the Company. Options to purchase an aggregate of 120,000 common shares were granted pursuant to the Company’s Stock Option Plan. The Options are exercisable into one common share of the Company at a price of CAD$9.81 for a period of five years from the date of grant and are subject to vesting conditions.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Canadian facility is over 99% powered with environmentally friendly hydropower and secured with long-term power contracts. Bitfarms is currently the only publicly traded pure-play Bitcoin mining company audited by a Big Four audit firm.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U.S. securities laws. The information in this release regarding expectations in respect to its expansion plans (including computational goals), anticipated mining capacity and receipt of new miners, and about other future plans and objectives of the Company are forward-looking information. Other forward-looking information includes, but is not limited to, information concerning: the intentions, plans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 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i w:val="1"/>
          <w:iCs w:val="1"/>
          <w:color w:val="auto"/>
        </w:rPr>
        <w:t>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 looking information other than as required by law.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2021-11-19T15:09:20Z</dcterms:created>
  <dcterms:modified xsi:type="dcterms:W3CDTF">2021-11-19T15:09:20Z</dcterms:modified>
</cp:coreProperties>
</file>