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For the month of November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6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789305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Exhibits 99.1 and 99.2 shall be deemed to be incorporated by reference as exhibits to the Registration Statements of Bitfarms Ltd. on </w:t>
      </w:r>
      <w:hyperlink r:id="rId19">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w:t>
      </w:r>
    </w:p>
    <w:p>
      <w:pPr>
        <w:spacing w:after="0" w:line="27"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333-272989) and Form S-8 (File No. </w:t>
      </w:r>
      <w:hyperlink r:id="rId20">
        <w:r>
          <w:rPr>
            <w:rFonts w:ascii="Times New Roman" w:cs="Times New Roman" w:eastAsia="Times New Roman" w:hAnsi="Times New Roman"/>
            <w:sz w:val="18"/>
            <w:szCs w:val="18"/>
            <w:u w:val="single" w:color="auto"/>
            <w:color w:val="0000EE"/>
          </w:rPr>
          <w:t>333-278868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File No. </w:t>
      </w:r>
      <w:hyperlink r:id="rId21">
        <w:r>
          <w:rPr>
            <w:rFonts w:ascii="Times New Roman" w:cs="Times New Roman" w:eastAsia="Times New Roman" w:hAnsi="Times New Roman"/>
            <w:sz w:val="18"/>
            <w:szCs w:val="18"/>
            <w:u w:val="single" w:color="auto"/>
            <w:color w:val="0000EE"/>
          </w:rPr>
          <w:t>333-285894</w:t>
        </w:r>
      </w:hyperlink>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6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493"/>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10100" w:type="dxa"/>
            <w:vAlign w:val="bottom"/>
            <w:gridSpan w:val="5"/>
          </w:tcPr>
          <w:p>
            <w:pPr>
              <w:ind w:left="4640"/>
              <w:spacing w:after="0"/>
              <w:rPr>
                <w:sz w:val="20"/>
                <w:szCs w:val="20"/>
                <w:color w:val="auto"/>
              </w:rPr>
            </w:pPr>
            <w:r>
              <w:rPr>
                <w:rFonts w:ascii="Times New Roman" w:cs="Times New Roman" w:eastAsia="Times New Roman" w:hAnsi="Times New Roman"/>
                <w:sz w:val="18"/>
                <w:szCs w:val="18"/>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r>
      <w:tr>
        <w:trPr>
          <w:trHeight w:val="196"/>
        </w:trPr>
        <w:tc>
          <w:tcPr>
            <w:tcW w:w="1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7"/>
                <w:szCs w:val="17"/>
                <w:color w:val="auto"/>
              </w:rPr>
            </w:pPr>
          </w:p>
        </w:tc>
        <w:tc>
          <w:tcPr>
            <w:tcW w:w="101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Interim Condensed Consolidated Financial Statements for the three and nine months ended September 30, 2025</w:t>
            </w:r>
          </w:p>
        </w:tc>
      </w:tr>
      <w:tr>
        <w:trPr>
          <w:trHeight w:val="176"/>
        </w:trPr>
        <w:tc>
          <w:tcPr>
            <w:tcW w:w="1020" w:type="dxa"/>
            <w:vAlign w:val="bottom"/>
            <w:tcBorders>
              <w:top w:val="single" w:sz="8" w:color="CCEEFF"/>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Borders>
              <w:top w:val="single" w:sz="8" w:color="CCEEFF"/>
            </w:tcBorders>
          </w:tcPr>
          <w:p>
            <w:pPr>
              <w:spacing w:after="0"/>
              <w:rPr>
                <w:sz w:val="15"/>
                <w:szCs w:val="15"/>
                <w:color w:val="auto"/>
              </w:rPr>
            </w:pPr>
          </w:p>
        </w:tc>
        <w:tc>
          <w:tcPr>
            <w:tcW w:w="804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&amp; Analysis for the three and nine months ended September 30, 2025</w:t>
            </w:r>
          </w:p>
        </w:tc>
        <w:tc>
          <w:tcPr>
            <w:tcW w:w="2060" w:type="dxa"/>
            <w:vAlign w:val="bottom"/>
            <w:tcBorders>
              <w:top w:val="single" w:sz="8" w:color="CCEEFF"/>
            </w:tcBorders>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99.3</w:t>
            </w:r>
          </w:p>
        </w:tc>
        <w:tc>
          <w:tcPr>
            <w:tcW w:w="120" w:type="dxa"/>
            <w:vAlign w:val="bottom"/>
            <w:tcBorders>
              <w:bottom w:val="single" w:sz="8" w:color="CCEEFF"/>
            </w:tcBorders>
            <w:shd w:val="clear" w:color="auto" w:fill="CCEEFF"/>
          </w:tcPr>
          <w:p>
            <w:pPr>
              <w:spacing w:after="0"/>
              <w:rPr>
                <w:sz w:val="17"/>
                <w:szCs w:val="17"/>
                <w:color w:val="auto"/>
              </w:rPr>
            </w:pPr>
          </w:p>
        </w:tc>
        <w:tc>
          <w:tcPr>
            <w:tcW w:w="604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CEO Certification of Interim Filings - Interim Certificate dated November 13, 2025</w:t>
            </w:r>
          </w:p>
        </w:tc>
        <w:tc>
          <w:tcPr>
            <w:tcW w:w="4060" w:type="dxa"/>
            <w:vAlign w:val="bottom"/>
            <w:tcBorders>
              <w:bottom w:val="single" w:sz="8" w:color="CCEEFF"/>
            </w:tcBorders>
            <w:gridSpan w:val="3"/>
            <w:shd w:val="clear" w:color="auto" w:fill="CCEEFF"/>
          </w:tcPr>
          <w:p>
            <w:pPr>
              <w:spacing w:after="0"/>
              <w:rPr>
                <w:sz w:val="17"/>
                <w:szCs w:val="17"/>
                <w:color w:val="auto"/>
              </w:rPr>
            </w:pPr>
          </w:p>
        </w:tc>
      </w:tr>
      <w:tr>
        <w:trPr>
          <w:trHeight w:val="175"/>
        </w:trPr>
        <w:tc>
          <w:tcPr>
            <w:tcW w:w="1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99.4</w:t>
            </w:r>
          </w:p>
        </w:tc>
        <w:tc>
          <w:tcPr>
            <w:tcW w:w="120" w:type="dxa"/>
            <w:vAlign w:val="bottom"/>
          </w:tcPr>
          <w:p>
            <w:pPr>
              <w:spacing w:after="0"/>
              <w:rPr>
                <w:sz w:val="15"/>
                <w:szCs w:val="15"/>
                <w:color w:val="auto"/>
              </w:rPr>
            </w:pPr>
          </w:p>
        </w:tc>
        <w:tc>
          <w:tcPr>
            <w:tcW w:w="101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CFO Certification of Interim Filings - Interim Certificate dated November 13, 2025</w:t>
            </w:r>
          </w:p>
        </w:tc>
      </w:tr>
      <w:tr>
        <w:trPr>
          <w:trHeight w:val="676"/>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20" w:type="dxa"/>
            <w:vAlign w:val="bottom"/>
            <w:tcBorders>
              <w:top w:val="single" w:sz="8" w:color="0000EE"/>
              <w:bottom w:val="single" w:sz="8" w:color="auto"/>
            </w:tcBorders>
          </w:tcPr>
          <w:p>
            <w:pPr>
              <w:ind w:left="444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13, 2025</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2625725</wp:posOffset>
            </wp:positionV>
            <wp:extent cx="3000375" cy="497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300037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INTERIM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2025 AND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20" w:type="dxa"/>
            <w:vAlign w:val="bottom"/>
            <w:gridSpan w:val="5"/>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Financial Statements (unaudited)</w:t>
            </w:r>
          </w:p>
        </w:tc>
        <w:tc>
          <w:tcPr>
            <w:tcW w:w="4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120" w:type="dxa"/>
            <w:vAlign w:val="bottom"/>
            <w:gridSpan w:val="5"/>
          </w:tcPr>
          <w:p>
            <w:pPr>
              <w:ind w:left="1020"/>
              <w:spacing w:after="0" w:line="176" w:lineRule="exact"/>
              <w:rPr>
                <w:sz w:val="20"/>
                <w:szCs w:val="20"/>
                <w:color w:val="auto"/>
              </w:rPr>
            </w:pPr>
            <w:r>
              <w:rPr>
                <w:rFonts w:ascii="Times New Roman" w:cs="Times New Roman" w:eastAsia="Times New Roman" w:hAnsi="Times New Roman"/>
                <w:sz w:val="18"/>
                <w:szCs w:val="18"/>
                <w:color w:val="0000EE"/>
              </w:rPr>
              <w:t>Interim Consolidated Statements of Financial Position</w:t>
            </w:r>
          </w:p>
        </w:tc>
        <w:tc>
          <w:tcPr>
            <w:tcW w:w="41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4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610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Interim Consolidated Statements of Profit or Loss and Comprehensive Profit or Loss</w:t>
            </w:r>
          </w:p>
        </w:tc>
        <w:tc>
          <w:tcPr>
            <w:tcW w:w="41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7120" w:type="dxa"/>
            <w:vAlign w:val="bottom"/>
            <w:gridSpan w:val="5"/>
          </w:tcPr>
          <w:p>
            <w:pPr>
              <w:ind w:left="1020"/>
              <w:spacing w:after="0" w:line="176" w:lineRule="exact"/>
              <w:rPr>
                <w:sz w:val="20"/>
                <w:szCs w:val="20"/>
                <w:color w:val="auto"/>
              </w:rPr>
            </w:pPr>
            <w:r>
              <w:rPr>
                <w:rFonts w:ascii="Times New Roman" w:cs="Times New Roman" w:eastAsia="Times New Roman" w:hAnsi="Times New Roman"/>
                <w:sz w:val="18"/>
                <w:szCs w:val="18"/>
                <w:color w:val="0000EE"/>
              </w:rPr>
              <w:t>Interim Consolidated Statements of Changes in Equity</w:t>
            </w:r>
          </w:p>
        </w:tc>
        <w:tc>
          <w:tcPr>
            <w:tcW w:w="41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34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120" w:type="dxa"/>
            <w:vAlign w:val="bottom"/>
            <w:gridSpan w:val="5"/>
            <w:shd w:val="clear" w:color="auto" w:fill="CCEEFF"/>
          </w:tcPr>
          <w:p>
            <w:pPr>
              <w:ind w:left="1020"/>
              <w:spacing w:after="0" w:line="176" w:lineRule="exact"/>
              <w:rPr>
                <w:sz w:val="20"/>
                <w:szCs w:val="20"/>
                <w:color w:val="auto"/>
              </w:rPr>
            </w:pPr>
            <w:r>
              <w:rPr>
                <w:rFonts w:ascii="Times New Roman" w:cs="Times New Roman" w:eastAsia="Times New Roman" w:hAnsi="Times New Roman"/>
                <w:sz w:val="18"/>
                <w:szCs w:val="18"/>
                <w:color w:val="0000EE"/>
              </w:rPr>
              <w:t>Interim Consolidated Statements of Cash Flows</w:t>
            </w:r>
          </w:p>
        </w:tc>
        <w:tc>
          <w:tcPr>
            <w:tcW w:w="4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4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shd w:val="clear" w:color="auto" w:fill="CCEEFF"/>
          </w:tcPr>
          <w:p>
            <w:pPr>
              <w:spacing w:after="0"/>
              <w:rPr>
                <w:sz w:val="18"/>
                <w:szCs w:val="18"/>
                <w:color w:val="auto"/>
              </w:rPr>
            </w:pPr>
          </w:p>
        </w:tc>
        <w:tc>
          <w:tcPr>
            <w:tcW w:w="10220" w:type="dxa"/>
            <w:vAlign w:val="bottom"/>
            <w:tcBorders>
              <w:right w:val="single" w:sz="8" w:color="CCEEFF"/>
            </w:tcBorders>
            <w:gridSpan w:val="30"/>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w:t>
            </w: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w:t>
            </w:r>
          </w:p>
        </w:tc>
        <w:tc>
          <w:tcPr>
            <w:tcW w:w="10220" w:type="dxa"/>
            <w:vAlign w:val="bottom"/>
            <w:gridSpan w:val="30"/>
          </w:tcPr>
          <w:p>
            <w:pPr>
              <w:ind w:left="400"/>
              <w:spacing w:after="0" w:line="176" w:lineRule="exact"/>
              <w:rPr>
                <w:sz w:val="20"/>
                <w:szCs w:val="20"/>
                <w:color w:val="auto"/>
              </w:rPr>
            </w:pPr>
            <w:r>
              <w:rPr>
                <w:rFonts w:ascii="Times New Roman" w:cs="Times New Roman" w:eastAsia="Times New Roman" w:hAnsi="Times New Roman"/>
                <w:sz w:val="18"/>
                <w:szCs w:val="18"/>
                <w:color w:val="0000EE"/>
              </w:rPr>
              <w:t>Nature of Operations</w:t>
            </w:r>
          </w:p>
        </w:tc>
        <w:tc>
          <w:tcPr>
            <w:tcW w:w="4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w:t>
            </w:r>
          </w:p>
        </w:tc>
        <w:tc>
          <w:tcPr>
            <w:tcW w:w="4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Liquidity</w:t>
            </w:r>
          </w:p>
        </w:tc>
        <w:tc>
          <w:tcPr>
            <w:tcW w:w="9140" w:type="dxa"/>
            <w:vAlign w:val="bottom"/>
            <w:tcBorders>
              <w:bottom w:val="single" w:sz="8" w:color="CCEEFF"/>
              <w:right w:val="single" w:sz="8" w:color="CCEEFF"/>
            </w:tcBorders>
            <w:gridSpan w:val="28"/>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w:t>
            </w:r>
          </w:p>
        </w:tc>
        <w:tc>
          <w:tcPr>
            <w:tcW w:w="10220" w:type="dxa"/>
            <w:vAlign w:val="bottom"/>
            <w:gridSpan w:val="30"/>
          </w:tcPr>
          <w:p>
            <w:pPr>
              <w:ind w:left="400"/>
              <w:spacing w:after="0" w:line="176" w:lineRule="exact"/>
              <w:rPr>
                <w:sz w:val="20"/>
                <w:szCs w:val="20"/>
                <w:color w:val="auto"/>
              </w:rPr>
            </w:pPr>
            <w:r>
              <w:rPr>
                <w:rFonts w:ascii="Times New Roman" w:cs="Times New Roman" w:eastAsia="Times New Roman" w:hAnsi="Times New Roman"/>
                <w:sz w:val="18"/>
                <w:szCs w:val="18"/>
                <w:color w:val="0000EE"/>
              </w:rPr>
              <w:t>Basis of Presentation and Material Accounting Policy Information</w:t>
            </w:r>
          </w:p>
        </w:tc>
        <w:tc>
          <w:tcPr>
            <w:tcW w:w="4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w:t>
            </w:r>
          </w:p>
        </w:tc>
        <w:tc>
          <w:tcPr>
            <w:tcW w:w="400" w:type="dxa"/>
            <w:vAlign w:val="bottom"/>
            <w:tcBorders>
              <w:bottom w:val="single" w:sz="8" w:color="CCEEFF"/>
            </w:tcBorders>
            <w:shd w:val="clear" w:color="auto" w:fill="CCEEFF"/>
          </w:tcPr>
          <w:p>
            <w:pPr>
              <w:spacing w:after="0"/>
              <w:rPr>
                <w:sz w:val="17"/>
                <w:szCs w:val="17"/>
                <w:color w:val="auto"/>
              </w:rPr>
            </w:pPr>
          </w:p>
        </w:tc>
        <w:tc>
          <w:tcPr>
            <w:tcW w:w="3540" w:type="dxa"/>
            <w:vAlign w:val="bottom"/>
            <w:tcBorders>
              <w:bottom w:val="single" w:sz="8" w:color="0000EE"/>
            </w:tcBorders>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Significant Accounting Judgments and Estimates</w:t>
            </w:r>
          </w:p>
        </w:tc>
        <w:tc>
          <w:tcPr>
            <w:tcW w:w="6280" w:type="dxa"/>
            <w:vAlign w:val="bottom"/>
            <w:tcBorders>
              <w:bottom w:val="single" w:sz="8" w:color="CCEEFF"/>
              <w:right w:val="single" w:sz="8" w:color="CCEEFF"/>
            </w:tcBorders>
            <w:gridSpan w:val="6"/>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5.</w:t>
            </w:r>
          </w:p>
        </w:tc>
        <w:tc>
          <w:tcPr>
            <w:tcW w:w="10220" w:type="dxa"/>
            <w:vAlign w:val="bottom"/>
            <w:gridSpan w:val="30"/>
          </w:tcPr>
          <w:p>
            <w:pPr>
              <w:ind w:left="400"/>
              <w:spacing w:after="0" w:line="176" w:lineRule="exact"/>
              <w:rPr>
                <w:sz w:val="20"/>
                <w:szCs w:val="20"/>
                <w:color w:val="auto"/>
              </w:rPr>
            </w:pPr>
            <w:r>
              <w:rPr>
                <w:rFonts w:ascii="Times New Roman" w:cs="Times New Roman" w:eastAsia="Times New Roman" w:hAnsi="Times New Roman"/>
                <w:sz w:val="18"/>
                <w:szCs w:val="18"/>
                <w:color w:val="0000EE"/>
              </w:rPr>
              <w:t>Business Combination</w:t>
            </w:r>
          </w:p>
        </w:tc>
        <w:tc>
          <w:tcPr>
            <w:tcW w:w="4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6.</w:t>
            </w:r>
          </w:p>
        </w:tc>
        <w:tc>
          <w:tcPr>
            <w:tcW w:w="400" w:type="dxa"/>
            <w:vAlign w:val="bottom"/>
            <w:tcBorders>
              <w:bottom w:val="single" w:sz="8" w:color="CCEEFF"/>
            </w:tcBorders>
            <w:shd w:val="clear" w:color="auto" w:fill="CCEEFF"/>
          </w:tcPr>
          <w:p>
            <w:pPr>
              <w:spacing w:after="0"/>
              <w:rPr>
                <w:sz w:val="17"/>
                <w:szCs w:val="17"/>
                <w:color w:val="auto"/>
              </w:rPr>
            </w:pPr>
          </w:p>
        </w:tc>
        <w:tc>
          <w:tcPr>
            <w:tcW w:w="228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Sale of the Yguazu Mining Site</w:t>
            </w:r>
          </w:p>
        </w:tc>
        <w:tc>
          <w:tcPr>
            <w:tcW w:w="7540" w:type="dxa"/>
            <w:vAlign w:val="bottom"/>
            <w:tcBorders>
              <w:bottom w:val="single" w:sz="8" w:color="CCEEFF"/>
              <w:right w:val="single" w:sz="8" w:color="CCEEFF"/>
            </w:tcBorders>
            <w:gridSpan w:val="10"/>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7.</w:t>
            </w:r>
          </w:p>
        </w:tc>
        <w:tc>
          <w:tcPr>
            <w:tcW w:w="10220" w:type="dxa"/>
            <w:vAlign w:val="bottom"/>
            <w:gridSpan w:val="30"/>
          </w:tcPr>
          <w:p>
            <w:pPr>
              <w:ind w:left="400"/>
              <w:spacing w:after="0" w:line="176" w:lineRule="exact"/>
              <w:rPr>
                <w:sz w:val="20"/>
                <w:szCs w:val="20"/>
                <w:color w:val="auto"/>
              </w:rPr>
            </w:pPr>
            <w:r>
              <w:rPr>
                <w:rFonts w:ascii="Times New Roman" w:cs="Times New Roman" w:eastAsia="Times New Roman" w:hAnsi="Times New Roman"/>
                <w:sz w:val="18"/>
                <w:szCs w:val="18"/>
                <w:color w:val="0000EE"/>
              </w:rPr>
              <w:t>Rights to renewable energy credits and waste tax credits</w:t>
            </w:r>
          </w:p>
        </w:tc>
        <w:tc>
          <w:tcPr>
            <w:tcW w:w="4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8.</w:t>
            </w:r>
          </w:p>
        </w:tc>
        <w:tc>
          <w:tcPr>
            <w:tcW w:w="4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Digital Assets</w:t>
            </w:r>
          </w:p>
        </w:tc>
        <w:tc>
          <w:tcPr>
            <w:tcW w:w="8800" w:type="dxa"/>
            <w:vAlign w:val="bottom"/>
            <w:tcBorders>
              <w:bottom w:val="single" w:sz="8" w:color="CCEEFF"/>
              <w:right w:val="single" w:sz="8" w:color="CCEEFF"/>
            </w:tcBorders>
            <w:gridSpan w:val="24"/>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w:t>
            </w:r>
          </w:p>
        </w:tc>
        <w:tc>
          <w:tcPr>
            <w:tcW w:w="10220" w:type="dxa"/>
            <w:vAlign w:val="bottom"/>
            <w:gridSpan w:val="30"/>
          </w:tcPr>
          <w:p>
            <w:pPr>
              <w:ind w:left="400"/>
              <w:spacing w:after="0" w:line="176" w:lineRule="exact"/>
              <w:rPr>
                <w:sz w:val="20"/>
                <w:szCs w:val="20"/>
                <w:color w:val="auto"/>
              </w:rPr>
            </w:pPr>
            <w:r>
              <w:rPr>
                <w:rFonts w:ascii="Times New Roman" w:cs="Times New Roman" w:eastAsia="Times New Roman" w:hAnsi="Times New Roman"/>
                <w:sz w:val="18"/>
                <w:szCs w:val="18"/>
                <w:color w:val="0000EE"/>
              </w:rPr>
              <w:t>Inventories</w:t>
            </w:r>
          </w:p>
        </w:tc>
        <w:tc>
          <w:tcPr>
            <w:tcW w:w="4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400" w:type="dxa"/>
            <w:vAlign w:val="bottom"/>
            <w:tcBorders>
              <w:bottom w:val="single" w:sz="8" w:color="CCEEFF"/>
            </w:tcBorders>
            <w:shd w:val="clear" w:color="auto" w:fill="CCEEFF"/>
          </w:tcPr>
          <w:p>
            <w:pPr>
              <w:spacing w:after="0"/>
              <w:rPr>
                <w:sz w:val="17"/>
                <w:szCs w:val="17"/>
                <w:color w:val="auto"/>
              </w:rPr>
            </w:pPr>
          </w:p>
        </w:tc>
        <w:tc>
          <w:tcPr>
            <w:tcW w:w="236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Derivative Assets and Liabilities</w:t>
            </w:r>
          </w:p>
        </w:tc>
        <w:tc>
          <w:tcPr>
            <w:tcW w:w="7460" w:type="dxa"/>
            <w:vAlign w:val="bottom"/>
            <w:tcBorders>
              <w:bottom w:val="single" w:sz="8" w:color="CCEEFF"/>
              <w:right w:val="single" w:sz="8" w:color="CCEEFF"/>
            </w:tcBorders>
            <w:gridSpan w:val="9"/>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0220" w:type="dxa"/>
            <w:vAlign w:val="bottom"/>
            <w:gridSpan w:val="30"/>
          </w:tcPr>
          <w:p>
            <w:pPr>
              <w:ind w:left="400"/>
              <w:spacing w:after="0" w:line="176" w:lineRule="exact"/>
              <w:rPr>
                <w:sz w:val="20"/>
                <w:szCs w:val="20"/>
                <w:color w:val="auto"/>
              </w:rPr>
            </w:pPr>
            <w:r>
              <w:rPr>
                <w:rFonts w:ascii="Times New Roman" w:cs="Times New Roman" w:eastAsia="Times New Roman" w:hAnsi="Times New Roman"/>
                <w:sz w:val="18"/>
                <w:szCs w:val="18"/>
                <w:color w:val="0000EE"/>
              </w:rPr>
              <w:t>Assets Held for Sale</w:t>
            </w:r>
          </w:p>
        </w:tc>
        <w:tc>
          <w:tcPr>
            <w:tcW w:w="4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12.</w:t>
            </w:r>
          </w:p>
        </w:tc>
        <w:tc>
          <w:tcPr>
            <w:tcW w:w="400" w:type="dxa"/>
            <w:vAlign w:val="bottom"/>
            <w:shd w:val="clear" w:color="auto" w:fill="CCEEFF"/>
          </w:tcPr>
          <w:p>
            <w:pPr>
              <w:spacing w:after="0"/>
              <w:rPr>
                <w:sz w:val="15"/>
                <w:szCs w:val="15"/>
                <w:color w:val="auto"/>
              </w:rPr>
            </w:pPr>
          </w:p>
        </w:tc>
        <w:tc>
          <w:tcPr>
            <w:tcW w:w="9820" w:type="dxa"/>
            <w:vAlign w:val="bottom"/>
            <w:tcBorders>
              <w:right w:val="single" w:sz="8" w:color="CCEEFF"/>
            </w:tcBorders>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Property, Plant and Equipment</w:t>
            </w:r>
          </w:p>
        </w:tc>
        <w:tc>
          <w:tcPr>
            <w:tcW w:w="4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35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400" w:type="dxa"/>
            <w:vAlign w:val="bottom"/>
          </w:tcPr>
          <w:p>
            <w:pPr>
              <w:spacing w:after="0"/>
              <w:rPr>
                <w:sz w:val="15"/>
                <w:szCs w:val="15"/>
                <w:color w:val="auto"/>
              </w:rPr>
            </w:pPr>
          </w:p>
        </w:tc>
        <w:tc>
          <w:tcPr>
            <w:tcW w:w="982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Long-term Deposits and Equipment Prepayments</w:t>
            </w:r>
          </w:p>
        </w:tc>
        <w:tc>
          <w:tcPr>
            <w:tcW w:w="4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400" w:type="dxa"/>
            <w:vAlign w:val="bottom"/>
            <w:shd w:val="clear" w:color="auto" w:fill="CCEEFF"/>
          </w:tcPr>
          <w:p>
            <w:pPr>
              <w:spacing w:after="0"/>
              <w:rPr>
                <w:sz w:val="15"/>
                <w:szCs w:val="15"/>
                <w:color w:val="auto"/>
              </w:rPr>
            </w:pPr>
          </w:p>
        </w:tc>
        <w:tc>
          <w:tcPr>
            <w:tcW w:w="9820" w:type="dxa"/>
            <w:vAlign w:val="bottom"/>
            <w:tcBorders>
              <w:right w:val="single" w:sz="8" w:color="CCEEFF"/>
            </w:tcBorders>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Refundable Deposits</w:t>
            </w:r>
          </w:p>
        </w:tc>
        <w:tc>
          <w:tcPr>
            <w:tcW w:w="4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35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400" w:type="dxa"/>
            <w:vAlign w:val="bottom"/>
          </w:tcPr>
          <w:p>
            <w:pPr>
              <w:spacing w:after="0"/>
              <w:rPr>
                <w:sz w:val="15"/>
                <w:szCs w:val="15"/>
                <w:color w:val="auto"/>
              </w:rPr>
            </w:pPr>
          </w:p>
        </w:tc>
        <w:tc>
          <w:tcPr>
            <w:tcW w:w="982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Investment in Associate</w:t>
            </w:r>
          </w:p>
        </w:tc>
        <w:tc>
          <w:tcPr>
            <w:tcW w:w="4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400" w:type="dxa"/>
            <w:vAlign w:val="bottom"/>
            <w:tcBorders>
              <w:bottom w:val="single" w:sz="8" w:color="CCEEFF"/>
            </w:tcBorders>
            <w:shd w:val="clear" w:color="auto" w:fill="CCEEFF"/>
          </w:tcPr>
          <w:p>
            <w:pPr>
              <w:spacing w:after="0"/>
              <w:rPr>
                <w:sz w:val="17"/>
                <w:szCs w:val="17"/>
                <w:color w:val="auto"/>
              </w:rPr>
            </w:pPr>
          </w:p>
        </w:tc>
        <w:tc>
          <w:tcPr>
            <w:tcW w:w="284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Trade Payables and Accrued Liabilities</w:t>
            </w:r>
          </w:p>
        </w:tc>
        <w:tc>
          <w:tcPr>
            <w:tcW w:w="6980" w:type="dxa"/>
            <w:vAlign w:val="bottom"/>
            <w:tcBorders>
              <w:bottom w:val="single" w:sz="8" w:color="CCEEFF"/>
              <w:right w:val="single" w:sz="8" w:color="CCEEFF"/>
            </w:tcBorders>
            <w:gridSpan w:val="8"/>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17.</w:t>
            </w:r>
          </w:p>
        </w:tc>
        <w:tc>
          <w:tcPr>
            <w:tcW w:w="10220" w:type="dxa"/>
            <w:vAlign w:val="bottom"/>
            <w:gridSpan w:val="30"/>
          </w:tcPr>
          <w:p>
            <w:pPr>
              <w:ind w:left="400"/>
              <w:spacing w:after="0" w:line="176" w:lineRule="exact"/>
              <w:rPr>
                <w:sz w:val="20"/>
                <w:szCs w:val="20"/>
                <w:color w:val="auto"/>
              </w:rPr>
            </w:pPr>
            <w:r>
              <w:rPr>
                <w:rFonts w:ascii="Times New Roman" w:cs="Times New Roman" w:eastAsia="Times New Roman" w:hAnsi="Times New Roman"/>
                <w:sz w:val="18"/>
                <w:szCs w:val="18"/>
                <w:color w:val="0000EE"/>
              </w:rPr>
              <w:t>Warrant Liabilities</w:t>
            </w:r>
          </w:p>
        </w:tc>
        <w:tc>
          <w:tcPr>
            <w:tcW w:w="4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400" w:type="dxa"/>
            <w:vAlign w:val="bottom"/>
            <w:shd w:val="clear" w:color="auto" w:fill="CCEEFF"/>
          </w:tcPr>
          <w:p>
            <w:pPr>
              <w:spacing w:after="0"/>
              <w:rPr>
                <w:sz w:val="17"/>
                <w:szCs w:val="17"/>
                <w:color w:val="auto"/>
              </w:rPr>
            </w:pPr>
          </w:p>
        </w:tc>
        <w:tc>
          <w:tcPr>
            <w:tcW w:w="9820" w:type="dxa"/>
            <w:vAlign w:val="bottom"/>
            <w:tcBorders>
              <w:right w:val="single" w:sz="8" w:color="CCEEFF"/>
            </w:tcBorders>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Long-term Debt</w:t>
            </w:r>
          </w:p>
        </w:tc>
        <w:tc>
          <w:tcPr>
            <w:tcW w:w="4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400" w:type="dxa"/>
            <w:vAlign w:val="bottom"/>
            <w:tcBorders>
              <w:top w:val="single" w:sz="8" w:color="CCEEFF"/>
            </w:tcBorders>
          </w:tcPr>
          <w:p>
            <w:pPr>
              <w:spacing w:after="0"/>
              <w:rPr>
                <w:sz w:val="15"/>
                <w:szCs w:val="15"/>
                <w:color w:val="auto"/>
              </w:rPr>
            </w:pPr>
          </w:p>
        </w:tc>
        <w:tc>
          <w:tcPr>
            <w:tcW w:w="116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Income Taxes</w:t>
            </w:r>
          </w:p>
        </w:tc>
        <w:tc>
          <w:tcPr>
            <w:tcW w:w="8660" w:type="dxa"/>
            <w:vAlign w:val="bottom"/>
            <w:tcBorders>
              <w:top w:val="single" w:sz="8" w:color="CCEEFF"/>
            </w:tcBorders>
            <w:gridSpan w:val="23"/>
          </w:tcPr>
          <w:p>
            <w:pPr>
              <w:spacing w:after="0"/>
              <w:rPr>
                <w:sz w:val="15"/>
                <w:szCs w:val="15"/>
                <w:color w:val="auto"/>
              </w:rPr>
            </w:pPr>
          </w:p>
        </w:tc>
        <w:tc>
          <w:tcPr>
            <w:tcW w:w="4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4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Share Capital</w:t>
            </w:r>
          </w:p>
        </w:tc>
        <w:tc>
          <w:tcPr>
            <w:tcW w:w="8840" w:type="dxa"/>
            <w:vAlign w:val="bottom"/>
            <w:tcBorders>
              <w:bottom w:val="single" w:sz="8" w:color="CCEEFF"/>
              <w:right w:val="single" w:sz="8" w:color="CCEEFF"/>
            </w:tcBorders>
            <w:gridSpan w:val="26"/>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0220" w:type="dxa"/>
            <w:vAlign w:val="bottom"/>
            <w:gridSpan w:val="30"/>
          </w:tcPr>
          <w:p>
            <w:pPr>
              <w:ind w:left="400"/>
              <w:spacing w:after="0" w:line="176" w:lineRule="exact"/>
              <w:rPr>
                <w:sz w:val="20"/>
                <w:szCs w:val="20"/>
                <w:color w:val="auto"/>
              </w:rPr>
            </w:pPr>
            <w:r>
              <w:rPr>
                <w:rFonts w:ascii="Times New Roman" w:cs="Times New Roman" w:eastAsia="Times New Roman" w:hAnsi="Times New Roman"/>
                <w:sz w:val="18"/>
                <w:szCs w:val="18"/>
                <w:color w:val="0000EE"/>
              </w:rPr>
              <w:t>Financial Instruments</w:t>
            </w:r>
          </w:p>
        </w:tc>
        <w:tc>
          <w:tcPr>
            <w:tcW w:w="4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4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Discontinued Operations</w:t>
            </w:r>
          </w:p>
        </w:tc>
        <w:tc>
          <w:tcPr>
            <w:tcW w:w="8020" w:type="dxa"/>
            <w:vAlign w:val="bottom"/>
            <w:tcBorders>
              <w:bottom w:val="single" w:sz="8" w:color="CCEEFF"/>
              <w:right w:val="single" w:sz="8" w:color="CCEEFF"/>
            </w:tcBorders>
            <w:gridSpan w:val="13"/>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10220" w:type="dxa"/>
            <w:vAlign w:val="bottom"/>
            <w:gridSpan w:val="30"/>
          </w:tcPr>
          <w:p>
            <w:pPr>
              <w:ind w:left="400"/>
              <w:spacing w:after="0" w:line="176" w:lineRule="exact"/>
              <w:rPr>
                <w:sz w:val="20"/>
                <w:szCs w:val="20"/>
                <w:color w:val="auto"/>
              </w:rPr>
            </w:pPr>
            <w:r>
              <w:rPr>
                <w:rFonts w:ascii="Times New Roman" w:cs="Times New Roman" w:eastAsia="Times New Roman" w:hAnsi="Times New Roman"/>
                <w:sz w:val="18"/>
                <w:szCs w:val="18"/>
                <w:color w:val="0000EE"/>
              </w:rPr>
              <w:t>Net Loss Per Share</w:t>
            </w:r>
          </w:p>
        </w:tc>
        <w:tc>
          <w:tcPr>
            <w:tcW w:w="4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400" w:type="dxa"/>
            <w:vAlign w:val="bottom"/>
            <w:shd w:val="clear" w:color="auto" w:fill="CCEEFF"/>
          </w:tcPr>
          <w:p>
            <w:pPr>
              <w:spacing w:after="0"/>
              <w:rPr>
                <w:sz w:val="15"/>
                <w:szCs w:val="15"/>
                <w:color w:val="auto"/>
              </w:rPr>
            </w:pPr>
          </w:p>
        </w:tc>
        <w:tc>
          <w:tcPr>
            <w:tcW w:w="9820" w:type="dxa"/>
            <w:vAlign w:val="bottom"/>
            <w:tcBorders>
              <w:right w:val="single" w:sz="8" w:color="CCEEFF"/>
            </w:tcBorders>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Share-based Payments</w:t>
            </w:r>
          </w:p>
        </w:tc>
        <w:tc>
          <w:tcPr>
            <w:tcW w:w="4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35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400" w:type="dxa"/>
            <w:vAlign w:val="bottom"/>
          </w:tcPr>
          <w:p>
            <w:pPr>
              <w:spacing w:after="0"/>
              <w:rPr>
                <w:sz w:val="15"/>
                <w:szCs w:val="15"/>
                <w:color w:val="auto"/>
              </w:rPr>
            </w:pPr>
          </w:p>
        </w:tc>
        <w:tc>
          <w:tcPr>
            <w:tcW w:w="982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Additional Details to the Statement of Profit or Loss and Comprehensive Profit or Loss</w:t>
            </w:r>
          </w:p>
        </w:tc>
        <w:tc>
          <w:tcPr>
            <w:tcW w:w="4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40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Geographical Information</w:t>
            </w:r>
          </w:p>
        </w:tc>
        <w:tc>
          <w:tcPr>
            <w:tcW w:w="7940" w:type="dxa"/>
            <w:vAlign w:val="bottom"/>
            <w:tcBorders>
              <w:bottom w:val="single" w:sz="8" w:color="CCEEFF"/>
              <w:right w:val="single" w:sz="8" w:color="CCEEFF"/>
            </w:tcBorders>
            <w:gridSpan w:val="12"/>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10220" w:type="dxa"/>
            <w:vAlign w:val="bottom"/>
            <w:gridSpan w:val="30"/>
          </w:tcPr>
          <w:p>
            <w:pPr>
              <w:ind w:left="400"/>
              <w:spacing w:after="0" w:line="176" w:lineRule="exact"/>
              <w:rPr>
                <w:sz w:val="20"/>
                <w:szCs w:val="20"/>
                <w:color w:val="auto"/>
              </w:rPr>
            </w:pPr>
            <w:r>
              <w:rPr>
                <w:rFonts w:ascii="Times New Roman" w:cs="Times New Roman" w:eastAsia="Times New Roman" w:hAnsi="Times New Roman"/>
                <w:sz w:val="18"/>
                <w:szCs w:val="18"/>
                <w:color w:val="0000EE"/>
              </w:rPr>
              <w:t>Additional Details to the Statements of Cash Flows</w:t>
            </w:r>
          </w:p>
        </w:tc>
        <w:tc>
          <w:tcPr>
            <w:tcW w:w="4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400" w:type="dxa"/>
            <w:vAlign w:val="bottom"/>
            <w:tcBorders>
              <w:bottom w:val="single" w:sz="8" w:color="CCEEFF"/>
            </w:tcBorders>
            <w:shd w:val="clear" w:color="auto" w:fill="CCEEFF"/>
          </w:tcPr>
          <w:p>
            <w:pPr>
              <w:spacing w:after="0"/>
              <w:rPr>
                <w:sz w:val="17"/>
                <w:szCs w:val="17"/>
                <w:color w:val="auto"/>
              </w:rPr>
            </w:pPr>
          </w:p>
        </w:tc>
        <w:tc>
          <w:tcPr>
            <w:tcW w:w="3140" w:type="dxa"/>
            <w:vAlign w:val="bottom"/>
            <w:tcBorders>
              <w:bottom w:val="single" w:sz="8" w:color="0000EE"/>
            </w:tcBorders>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Lawsuits, Commitments and Contingencies</w:t>
            </w:r>
          </w:p>
        </w:tc>
        <w:tc>
          <w:tcPr>
            <w:tcW w:w="6680" w:type="dxa"/>
            <w:vAlign w:val="bottom"/>
            <w:tcBorders>
              <w:bottom w:val="single" w:sz="8" w:color="CCEEFF"/>
              <w:right w:val="single" w:sz="8" w:color="CCEEFF"/>
            </w:tcBorders>
            <w:gridSpan w:val="7"/>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29.</w:t>
            </w:r>
          </w:p>
        </w:tc>
        <w:tc>
          <w:tcPr>
            <w:tcW w:w="10220" w:type="dxa"/>
            <w:vAlign w:val="bottom"/>
            <w:gridSpan w:val="30"/>
          </w:tcPr>
          <w:p>
            <w:pPr>
              <w:ind w:left="400"/>
              <w:spacing w:after="0" w:line="176" w:lineRule="exact"/>
              <w:rPr>
                <w:sz w:val="20"/>
                <w:szCs w:val="20"/>
                <w:color w:val="auto"/>
              </w:rPr>
            </w:pPr>
            <w:r>
              <w:rPr>
                <w:rFonts w:ascii="Times New Roman" w:cs="Times New Roman" w:eastAsia="Times New Roman" w:hAnsi="Times New Roman"/>
                <w:sz w:val="18"/>
                <w:szCs w:val="18"/>
                <w:color w:val="0000EE"/>
              </w:rPr>
              <w:t>Subsequent Events</w:t>
            </w:r>
          </w:p>
        </w:tc>
        <w:tc>
          <w:tcPr>
            <w:tcW w:w="4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0"/>
        </w:trPr>
        <w:tc>
          <w:tcPr>
            <w:tcW w:w="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10220" w:type="dxa"/>
            <w:vAlign w:val="bottom"/>
            <w:tcBorders>
              <w:right w:val="single" w:sz="8" w:color="auto"/>
            </w:tcBorders>
            <w:gridSpan w:val="30"/>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ind w:right="540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INTERIM CONSOLIDATED STATEMENTS OF FINANCIAL POSITION </w:t>
      </w:r>
      <w:r>
        <w:rPr>
          <w:rFonts w:ascii="Times New Roman" w:cs="Times New Roman" w:eastAsia="Times New Roman" w:hAnsi="Times New Roman"/>
          <w:sz w:val="18"/>
          <w:szCs w:val="18"/>
          <w:color w:val="auto"/>
        </w:rPr>
        <w:t>(Expressed in thousands of U.S. dollars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As of</w:t>
            </w:r>
          </w:p>
        </w:tc>
      </w:tr>
      <w:tr>
        <w:trPr>
          <w:trHeight w:val="238"/>
        </w:trPr>
        <w:tc>
          <w:tcPr>
            <w:tcW w:w="61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r>
      <w:tr>
        <w:trPr>
          <w:trHeight w:val="236"/>
        </w:trPr>
        <w:tc>
          <w:tcPr>
            <w:tcW w:w="61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4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191"/>
        </w:trPr>
        <w:tc>
          <w:tcPr>
            <w:tcW w:w="61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24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24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86,952</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59,542</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receivables</w:t>
            </w:r>
          </w:p>
        </w:tc>
        <w:tc>
          <w:tcPr>
            <w:tcW w:w="2460" w:type="dxa"/>
            <w:vAlign w:val="bottom"/>
          </w:tcPr>
          <w:p>
            <w:pPr>
              <w:spacing w:after="0"/>
              <w:rPr>
                <w:sz w:val="18"/>
                <w:szCs w:val="18"/>
                <w:color w:val="auto"/>
              </w:rPr>
            </w:pP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3,274</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1,259</w:t>
            </w: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4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4,520</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7,285</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prepaid deposits</w:t>
            </w:r>
          </w:p>
        </w:tc>
        <w:tc>
          <w:tcPr>
            <w:tcW w:w="2460" w:type="dxa"/>
            <w:vAlign w:val="bottom"/>
          </w:tcPr>
          <w:p>
            <w:pPr>
              <w:spacing w:after="0"/>
              <w:rPr>
                <w:sz w:val="18"/>
                <w:szCs w:val="18"/>
                <w:color w:val="auto"/>
              </w:rPr>
            </w:pP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6,121</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14,554</w:t>
            </w: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Rights to renewable energy credits and waste tax credits</w:t>
            </w:r>
          </w:p>
        </w:tc>
        <w:tc>
          <w:tcPr>
            <w:tcW w:w="2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w:t>
            </w:r>
          </w:p>
        </w:tc>
        <w:tc>
          <w:tcPr>
            <w:tcW w:w="1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9,370</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receivable</w:t>
            </w:r>
          </w:p>
        </w:tc>
        <w:tc>
          <w:tcPr>
            <w:tcW w:w="2460" w:type="dxa"/>
            <w:vAlign w:val="bottom"/>
          </w:tcPr>
          <w:p>
            <w:pPr>
              <w:spacing w:after="0"/>
              <w:rPr>
                <w:sz w:val="18"/>
                <w:szCs w:val="18"/>
                <w:color w:val="auto"/>
              </w:rPr>
            </w:pP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321</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424</w:t>
            </w: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Digital assets</w:t>
            </w:r>
          </w:p>
        </w:tc>
        <w:tc>
          <w:tcPr>
            <w:tcW w:w="2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w:t>
            </w:r>
          </w:p>
        </w:tc>
        <w:tc>
          <w:tcPr>
            <w:tcW w:w="1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171,278</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87,298</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Digital assets - restricted</w:t>
            </w:r>
          </w:p>
        </w:tc>
        <w:tc>
          <w:tcPr>
            <w:tcW w:w="24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17,933</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32,826</w:t>
            </w: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w:t>
            </w:r>
          </w:p>
        </w:tc>
        <w:tc>
          <w:tcPr>
            <w:tcW w:w="1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6,979</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1,180</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assets</w:t>
            </w:r>
          </w:p>
        </w:tc>
        <w:tc>
          <w:tcPr>
            <w:tcW w:w="24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10, 21</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3,223</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3,418</w:t>
            </w:r>
          </w:p>
        </w:tc>
      </w:tr>
      <w:tr>
        <w:trPr>
          <w:trHeight w:val="243"/>
        </w:trPr>
        <w:tc>
          <w:tcPr>
            <w:tcW w:w="61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 held for sale</w:t>
            </w:r>
          </w:p>
        </w:tc>
        <w:tc>
          <w:tcPr>
            <w:tcW w:w="2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w:t>
            </w:r>
          </w:p>
        </w:tc>
        <w:tc>
          <w:tcPr>
            <w:tcW w:w="14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64,739</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5,923</w:t>
            </w:r>
          </w:p>
        </w:tc>
      </w:tr>
      <w:tr>
        <w:trPr>
          <w:trHeight w:val="210"/>
        </w:trPr>
        <w:tc>
          <w:tcPr>
            <w:tcW w:w="6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374,710</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213,709</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w:t>
            </w:r>
          </w:p>
        </w:tc>
        <w:tc>
          <w:tcPr>
            <w:tcW w:w="24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4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25,000</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Rights to waste tax credits</w:t>
            </w:r>
          </w:p>
        </w:tc>
        <w:tc>
          <w:tcPr>
            <w:tcW w:w="2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w:t>
            </w:r>
          </w:p>
        </w:tc>
        <w:tc>
          <w:tcPr>
            <w:tcW w:w="1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5,597</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4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12, 26</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359,870</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348,525</w:t>
            </w: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24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21,033</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23,020</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deposits and equipment prepayments</w:t>
            </w:r>
          </w:p>
        </w:tc>
        <w:tc>
          <w:tcPr>
            <w:tcW w:w="24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11,111</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56,367</w:t>
            </w: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Refundable deposits</w:t>
            </w:r>
          </w:p>
        </w:tc>
        <w:tc>
          <w:tcPr>
            <w:tcW w:w="2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w:t>
            </w:r>
          </w:p>
        </w:tc>
        <w:tc>
          <w:tcPr>
            <w:tcW w:w="1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350</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21,956</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2460" w:type="dxa"/>
            <w:vAlign w:val="bottom"/>
          </w:tcPr>
          <w:p>
            <w:pPr>
              <w:spacing w:after="0"/>
              <w:rPr>
                <w:sz w:val="18"/>
                <w:szCs w:val="18"/>
                <w:color w:val="auto"/>
              </w:rPr>
            </w:pP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2,739</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4,039</w:t>
            </w:r>
          </w:p>
        </w:tc>
      </w:tr>
      <w:tr>
        <w:trPr>
          <w:trHeight w:val="243"/>
        </w:trPr>
        <w:tc>
          <w:tcPr>
            <w:tcW w:w="61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associate</w:t>
            </w:r>
          </w:p>
        </w:tc>
        <w:tc>
          <w:tcPr>
            <w:tcW w:w="2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w:t>
            </w:r>
          </w:p>
        </w:tc>
        <w:tc>
          <w:tcPr>
            <w:tcW w:w="14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869</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801,279</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667,616</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2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payables and accrued liabilities</w:t>
            </w:r>
          </w:p>
        </w:tc>
        <w:tc>
          <w:tcPr>
            <w:tcW w:w="2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w:t>
            </w:r>
          </w:p>
        </w:tc>
        <w:tc>
          <w:tcPr>
            <w:tcW w:w="1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68,499</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25,894</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liabilities</w:t>
            </w:r>
          </w:p>
        </w:tc>
        <w:tc>
          <w:tcPr>
            <w:tcW w:w="24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10, 21</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w:t>
            </w:r>
          </w:p>
        </w:tc>
        <w:tc>
          <w:tcPr>
            <w:tcW w:w="1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607</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2460" w:type="dxa"/>
            <w:vAlign w:val="bottom"/>
          </w:tcPr>
          <w:p>
            <w:pPr>
              <w:spacing w:after="0"/>
              <w:rPr>
                <w:sz w:val="18"/>
                <w:szCs w:val="18"/>
                <w:color w:val="auto"/>
              </w:rPr>
            </w:pP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3,469</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2,089</w:t>
            </w: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obligations</w:t>
            </w:r>
          </w:p>
        </w:tc>
        <w:tc>
          <w:tcPr>
            <w:tcW w:w="2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w:t>
            </w:r>
          </w:p>
        </w:tc>
        <w:tc>
          <w:tcPr>
            <w:tcW w:w="1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15,339</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2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w:t>
            </w:r>
          </w:p>
        </w:tc>
        <w:tc>
          <w:tcPr>
            <w:tcW w:w="14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29,138</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8,013</w:t>
            </w:r>
          </w:p>
        </w:tc>
      </w:tr>
      <w:tr>
        <w:trPr>
          <w:trHeight w:val="209"/>
        </w:trPr>
        <w:tc>
          <w:tcPr>
            <w:tcW w:w="612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117,052</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36,270</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2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2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w:t>
            </w:r>
          </w:p>
        </w:tc>
        <w:tc>
          <w:tcPr>
            <w:tcW w:w="1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50,843</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1,430</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460" w:type="dxa"/>
            <w:vAlign w:val="bottom"/>
          </w:tcPr>
          <w:p>
            <w:pPr>
              <w:spacing w:after="0"/>
              <w:rPr>
                <w:sz w:val="18"/>
                <w:szCs w:val="18"/>
                <w:color w:val="auto"/>
              </w:rPr>
            </w:pP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18,765</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19,750</w:t>
            </w: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retirement provision</w:t>
            </w:r>
          </w:p>
        </w:tc>
        <w:tc>
          <w:tcPr>
            <w:tcW w:w="24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1,717</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2,106</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2460" w:type="dxa"/>
            <w:vAlign w:val="bottom"/>
          </w:tcPr>
          <w:p>
            <w:pPr>
              <w:spacing w:after="0"/>
              <w:rPr>
                <w:sz w:val="18"/>
                <w:szCs w:val="18"/>
                <w:color w:val="auto"/>
              </w:rPr>
            </w:pP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65</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r>
      <w:tr>
        <w:trPr>
          <w:trHeight w:val="243"/>
        </w:trPr>
        <w:tc>
          <w:tcPr>
            <w:tcW w:w="61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liability</w:t>
            </w:r>
          </w:p>
        </w:tc>
        <w:tc>
          <w:tcPr>
            <w:tcW w:w="24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1,481</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4"/>
        </w:trPr>
        <w:tc>
          <w:tcPr>
            <w:tcW w:w="6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189,923</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59,621</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4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24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969,438</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852,286</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warrants</w:t>
            </w:r>
          </w:p>
        </w:tc>
        <w:tc>
          <w:tcPr>
            <w:tcW w:w="2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w:t>
            </w:r>
          </w:p>
        </w:tc>
        <w:tc>
          <w:tcPr>
            <w:tcW w:w="1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11,477</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Contributed surplus</w:t>
            </w:r>
          </w:p>
        </w:tc>
        <w:tc>
          <w:tcPr>
            <w:tcW w:w="2460" w:type="dxa"/>
            <w:vAlign w:val="bottom"/>
          </w:tcPr>
          <w:p>
            <w:pPr>
              <w:spacing w:after="0"/>
              <w:rPr>
                <w:sz w:val="18"/>
                <w:szCs w:val="18"/>
                <w:color w:val="auto"/>
              </w:rPr>
            </w:pP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69,645</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67,521</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4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(459,114)</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(334,507)</w:t>
            </w:r>
          </w:p>
        </w:tc>
      </w:tr>
      <w:tr>
        <w:trPr>
          <w:trHeight w:val="243"/>
        </w:trPr>
        <w:tc>
          <w:tcPr>
            <w:tcW w:w="6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Revaluation surplus</w:t>
            </w:r>
          </w:p>
        </w:tc>
        <w:tc>
          <w:tcPr>
            <w:tcW w:w="24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19,910</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22,695</w:t>
            </w:r>
          </w:p>
        </w:tc>
      </w:tr>
      <w:tr>
        <w:trPr>
          <w:trHeight w:val="236"/>
        </w:trPr>
        <w:tc>
          <w:tcPr>
            <w:tcW w:w="6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4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611,356</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607,995</w:t>
            </w:r>
          </w:p>
        </w:tc>
      </w:tr>
      <w:tr>
        <w:trPr>
          <w:trHeight w:val="244"/>
        </w:trPr>
        <w:tc>
          <w:tcPr>
            <w:tcW w:w="6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4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801,279</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667,616</w:t>
            </w:r>
          </w:p>
        </w:tc>
      </w:tr>
    </w:tbl>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560" w:type="dxa"/>
            <w:vAlign w:val="bottom"/>
            <w:gridSpan w:val="6"/>
          </w:tcPr>
          <w:p>
            <w:pPr>
              <w:spacing w:after="0"/>
              <w:rPr>
                <w:sz w:val="20"/>
                <w:szCs w:val="20"/>
                <w:color w:val="auto"/>
              </w:rPr>
            </w:pPr>
            <w:r>
              <w:rPr>
                <w:rFonts w:ascii="Times New Roman" w:cs="Times New Roman" w:eastAsia="Times New Roman" w:hAnsi="Times New Roman"/>
                <w:sz w:val="18"/>
                <w:szCs w:val="18"/>
                <w:i w:val="1"/>
                <w:iCs w:val="1"/>
                <w:color w:val="auto"/>
              </w:rPr>
              <w:t>Should be read in conjunction with the notes to the interim condensed consolidated financial statements</w:t>
            </w:r>
          </w:p>
        </w:tc>
        <w:tc>
          <w:tcPr>
            <w:tcW w:w="2680" w:type="dxa"/>
            <w:vAlign w:val="bottom"/>
          </w:tcPr>
          <w:p>
            <w:pPr>
              <w:spacing w:after="0"/>
              <w:rPr>
                <w:sz w:val="20"/>
                <w:szCs w:val="20"/>
                <w:color w:val="auto"/>
              </w:rPr>
            </w:pPr>
          </w:p>
        </w:tc>
      </w:tr>
      <w:tr>
        <w:trPr>
          <w:trHeight w:val="439"/>
        </w:trPr>
        <w:tc>
          <w:tcPr>
            <w:tcW w:w="2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November 12, 2025</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i w:val="1"/>
                <w:iCs w:val="1"/>
                <w:color w:val="auto"/>
              </w:rPr>
              <w:t>/s/ Brian Howlett</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i w:val="1"/>
                <w:iCs w:val="1"/>
                <w:color w:val="auto"/>
                <w:w w:val="99"/>
              </w:rPr>
              <w:t>/s/ Ben Gagnon</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/s/ Jonathan Mir</w:t>
            </w:r>
          </w:p>
        </w:tc>
      </w:tr>
      <w:tr>
        <w:trPr>
          <w:trHeight w:val="194"/>
        </w:trPr>
        <w:tc>
          <w:tcPr>
            <w:tcW w:w="28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Date of approval of the financial</w:t>
            </w:r>
          </w:p>
        </w:tc>
        <w:tc>
          <w:tcPr>
            <w:tcW w:w="14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Chairman of the Board of</w:t>
            </w:r>
          </w:p>
        </w:tc>
        <w:tc>
          <w:tcPr>
            <w:tcW w:w="100" w:type="dxa"/>
            <w:vAlign w:val="bottom"/>
          </w:tcPr>
          <w:p>
            <w:pPr>
              <w:spacing w:after="0"/>
              <w:rPr>
                <w:sz w:val="16"/>
                <w:szCs w:val="16"/>
                <w:color w:val="auto"/>
              </w:rPr>
            </w:pPr>
          </w:p>
        </w:tc>
        <w:tc>
          <w:tcPr>
            <w:tcW w:w="26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Chief Executive Officer &amp;</w:t>
            </w:r>
          </w:p>
        </w:tc>
        <w:tc>
          <w:tcPr>
            <w:tcW w:w="120" w:type="dxa"/>
            <w:vAlign w:val="bottom"/>
          </w:tcPr>
          <w:p>
            <w:pPr>
              <w:spacing w:after="0"/>
              <w:rPr>
                <w:sz w:val="16"/>
                <w:szCs w:val="16"/>
                <w:color w:val="auto"/>
              </w:rPr>
            </w:pPr>
          </w:p>
        </w:tc>
        <w:tc>
          <w:tcPr>
            <w:tcW w:w="26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8"/>
        </w:trPr>
        <w:tc>
          <w:tcPr>
            <w:tcW w:w="2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statements</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Directors</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Director</w:t>
            </w:r>
          </w:p>
        </w:tc>
        <w:tc>
          <w:tcPr>
            <w:tcW w:w="26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60"/>
        <w:spacing w:after="0"/>
        <w:rPr>
          <w:sz w:val="20"/>
          <w:szCs w:val="20"/>
          <w:color w:val="auto"/>
        </w:rPr>
      </w:pPr>
      <w:r>
        <w:rPr>
          <w:rFonts w:ascii="Times New Roman" w:cs="Times New Roman" w:eastAsia="Times New Roman" w:hAnsi="Times New Roman"/>
          <w:sz w:val="18"/>
          <w:szCs w:val="18"/>
          <w:color w:val="auto"/>
        </w:rPr>
        <w:t>3  Page</w:t>
      </w:r>
    </w:p>
    <w:p>
      <w:pPr>
        <w:sectPr>
          <w:pgSz w:w="11900" w:h="16838" w:orient="portrait"/>
          <w:cols w:equalWidth="0" w:num="1">
            <w:col w:w="11240"/>
          </w:cols>
          <w:pgMar w:left="320" w:top="900" w:right="339" w:bottom="798"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ind w:right="220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INTERIM CONSOLIDATED STATEMENTS OF PROFIT OR LOSS AND COMPREHENSIVE PROFIT OR LOSS </w:t>
      </w:r>
      <w:r>
        <w:rPr>
          <w:rFonts w:ascii="Times New Roman" w:cs="Times New Roman" w:eastAsia="Times New Roman" w:hAnsi="Times New Roman"/>
          <w:sz w:val="18"/>
          <w:szCs w:val="18"/>
          <w:color w:val="auto"/>
        </w:rPr>
        <w:t>(Expressed in thousands of U.S. dollars, except per share amounts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72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52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47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2"/>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520" w:type="dxa"/>
            <w:vAlign w:val="bottom"/>
            <w:tcBorders>
              <w:bottom w:val="single" w:sz="8" w:color="auto"/>
            </w:tcBorders>
            <w:gridSpan w:val="2"/>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4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2024</w:t>
            </w: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426"/>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Continuing operations</w:t>
            </w:r>
          </w:p>
        </w:tc>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8, 25, 26</w:t>
            </w:r>
          </w:p>
        </w:tc>
        <w:tc>
          <w:tcPr>
            <w:tcW w:w="1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69,245</w:t>
            </w:r>
          </w:p>
        </w:tc>
        <w:tc>
          <w:tcPr>
            <w:tcW w:w="1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27,072</w:t>
            </w:r>
          </w:p>
        </w:tc>
        <w:tc>
          <w:tcPr>
            <w:tcW w:w="1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179,050</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95,522</w:t>
            </w:r>
          </w:p>
        </w:tc>
        <w:tc>
          <w:tcPr>
            <w:tcW w:w="0" w:type="dxa"/>
            <w:vAlign w:val="bottom"/>
          </w:tcPr>
          <w:p>
            <w:pPr>
              <w:spacing w:after="0"/>
              <w:rPr>
                <w:sz w:val="1"/>
                <w:szCs w:val="1"/>
                <w:color w:val="auto"/>
              </w:rPr>
            </w:pPr>
          </w:p>
        </w:tc>
      </w:tr>
      <w:tr>
        <w:trPr>
          <w:trHeight w:val="243"/>
        </w:trPr>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25</w:t>
            </w:r>
          </w:p>
        </w:tc>
        <w:tc>
          <w:tcPr>
            <w:tcW w:w="1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(72,127)</w:t>
            </w: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(29,072)</w:t>
            </w: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(181,684)</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(117,475)</w:t>
            </w:r>
          </w:p>
        </w:tc>
        <w:tc>
          <w:tcPr>
            <w:tcW w:w="0" w:type="dxa"/>
            <w:vAlign w:val="bottom"/>
          </w:tcPr>
          <w:p>
            <w:pPr>
              <w:spacing w:after="0"/>
              <w:rPr>
                <w:sz w:val="1"/>
                <w:szCs w:val="1"/>
                <w:color w:val="auto"/>
              </w:rPr>
            </w:pPr>
          </w:p>
        </w:tc>
      </w:tr>
      <w:tr>
        <w:trPr>
          <w:trHeight w:val="236"/>
        </w:trPr>
        <w:tc>
          <w:tcPr>
            <w:tcW w:w="4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w:t>
            </w:r>
          </w:p>
        </w:tc>
        <w:tc>
          <w:tcPr>
            <w:tcW w:w="12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(2,882)</w:t>
            </w: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(2,000)</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(2,634)</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(21,953)</w:t>
            </w:r>
          </w:p>
        </w:tc>
        <w:tc>
          <w:tcPr>
            <w:tcW w:w="0" w:type="dxa"/>
            <w:vAlign w:val="bottom"/>
          </w:tcPr>
          <w:p>
            <w:pPr>
              <w:spacing w:after="0"/>
              <w:rPr>
                <w:sz w:val="1"/>
                <w:szCs w:val="1"/>
                <w:color w:val="auto"/>
              </w:rPr>
            </w:pPr>
          </w:p>
        </w:tc>
      </w:tr>
      <w:tr>
        <w:trPr>
          <w:trHeight w:val="210"/>
        </w:trPr>
        <w:tc>
          <w:tcPr>
            <w:tcW w:w="4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25</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(17,036)</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(25,310)</w:t>
            </w: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(54,203)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(47,809)</w:t>
            </w:r>
          </w:p>
        </w:tc>
        <w:tc>
          <w:tcPr>
            <w:tcW w:w="0" w:type="dxa"/>
            <w:vAlign w:val="bottom"/>
          </w:tcPr>
          <w:p>
            <w:pPr>
              <w:spacing w:after="0"/>
              <w:rPr>
                <w:sz w:val="1"/>
                <w:szCs w:val="1"/>
                <w:color w:val="auto"/>
              </w:rPr>
            </w:pPr>
          </w:p>
        </w:tc>
      </w:tr>
      <w:tr>
        <w:trPr>
          <w:trHeight w:val="198"/>
        </w:trPr>
        <w:tc>
          <w:tcPr>
            <w:tcW w:w="47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Gain (loss) on disposition of property, plant and equipment</w:t>
            </w:r>
          </w:p>
        </w:tc>
        <w:tc>
          <w:tcPr>
            <w:tcW w:w="122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6, 12</w:t>
            </w:r>
          </w:p>
        </w:tc>
        <w:tc>
          <w:tcPr>
            <w:tcW w:w="140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64</w:t>
            </w:r>
          </w:p>
        </w:tc>
        <w:tc>
          <w:tcPr>
            <w:tcW w:w="132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7,426</w:t>
            </w: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and deposits</w:t>
            </w:r>
          </w:p>
        </w:tc>
        <w:tc>
          <w:tcPr>
            <w:tcW w:w="1220" w:type="dxa"/>
            <w:vAlign w:val="bottom"/>
            <w:vMerge w:val="continue"/>
            <w:shd w:val="clear" w:color="auto" w:fill="CCEEFF"/>
          </w:tcPr>
          <w:p>
            <w:pPr>
              <w:spacing w:after="0"/>
              <w:rPr>
                <w:sz w:val="20"/>
                <w:szCs w:val="20"/>
                <w:color w:val="auto"/>
              </w:rPr>
            </w:pPr>
          </w:p>
        </w:tc>
        <w:tc>
          <w:tcPr>
            <w:tcW w:w="1400" w:type="dxa"/>
            <w:vAlign w:val="bottom"/>
            <w:vMerge w:val="continue"/>
            <w:shd w:val="clear" w:color="auto" w:fill="CCEEFF"/>
          </w:tcPr>
          <w:p>
            <w:pPr>
              <w:spacing w:after="0"/>
              <w:rPr>
                <w:sz w:val="20"/>
                <w:szCs w:val="20"/>
                <w:color w:val="auto"/>
              </w:rPr>
            </w:pPr>
          </w:p>
        </w:tc>
        <w:tc>
          <w:tcPr>
            <w:tcW w:w="1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1340" w:type="dxa"/>
            <w:vAlign w:val="bottom"/>
            <w:vMerge w:val="continue"/>
            <w:shd w:val="clear" w:color="auto" w:fill="CCEEFF"/>
          </w:tcPr>
          <w:p>
            <w:pPr>
              <w:spacing w:after="0"/>
              <w:rPr>
                <w:sz w:val="20"/>
                <w:szCs w:val="20"/>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43"/>
        </w:trPr>
        <w:tc>
          <w:tcPr>
            <w:tcW w:w="47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12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11</w:t>
            </w:r>
          </w:p>
        </w:tc>
        <w:tc>
          <w:tcPr>
            <w:tcW w:w="1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(9,102)</w:t>
            </w: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(3,628)</w:t>
            </w: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(9,102)</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0" w:type="dxa"/>
            <w:vAlign w:val="bottom"/>
          </w:tcPr>
          <w:p>
            <w:pPr>
              <w:spacing w:after="0"/>
              <w:rPr>
                <w:sz w:val="1"/>
                <w:szCs w:val="1"/>
                <w:color w:val="auto"/>
              </w:rPr>
            </w:pPr>
          </w:p>
        </w:tc>
      </w:tr>
      <w:tr>
        <w:trPr>
          <w:trHeight w:val="237"/>
        </w:trPr>
        <w:tc>
          <w:tcPr>
            <w:tcW w:w="4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2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(28,956)</w:t>
            </w: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(30,950)</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(58,513)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(73,289)</w:t>
            </w:r>
          </w:p>
        </w:tc>
        <w:tc>
          <w:tcPr>
            <w:tcW w:w="0" w:type="dxa"/>
            <w:vAlign w:val="bottom"/>
          </w:tcPr>
          <w:p>
            <w:pPr>
              <w:spacing w:after="0"/>
              <w:rPr>
                <w:sz w:val="1"/>
                <w:szCs w:val="1"/>
                <w:color w:val="auto"/>
              </w:rPr>
            </w:pPr>
          </w:p>
        </w:tc>
      </w:tr>
      <w:tr>
        <w:trPr>
          <w:trHeight w:val="209"/>
        </w:trPr>
        <w:tc>
          <w:tcPr>
            <w:tcW w:w="4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financial (expenses) income</w:t>
            </w: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25</w:t>
            </w:r>
          </w:p>
        </w:tc>
        <w:tc>
          <w:tcPr>
            <w:tcW w:w="14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(19,649)</w:t>
            </w: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6,868</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(15,676)</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16,387</w:t>
            </w:r>
          </w:p>
        </w:tc>
        <w:tc>
          <w:tcPr>
            <w:tcW w:w="0" w:type="dxa"/>
            <w:vAlign w:val="bottom"/>
          </w:tcPr>
          <w:p>
            <w:pPr>
              <w:spacing w:after="0"/>
              <w:rPr>
                <w:sz w:val="1"/>
                <w:szCs w:val="1"/>
                <w:color w:val="auto"/>
              </w:rPr>
            </w:pPr>
          </w:p>
        </w:tc>
      </w:tr>
      <w:tr>
        <w:trPr>
          <w:trHeight w:val="237"/>
        </w:trPr>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1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(48,605)</w:t>
            </w: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(24,082)</w:t>
            </w: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(74,189)</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(56,902)</w:t>
            </w:r>
          </w:p>
        </w:tc>
        <w:tc>
          <w:tcPr>
            <w:tcW w:w="0" w:type="dxa"/>
            <w:vAlign w:val="bottom"/>
          </w:tcPr>
          <w:p>
            <w:pPr>
              <w:spacing w:after="0"/>
              <w:rPr>
                <w:sz w:val="1"/>
                <w:szCs w:val="1"/>
                <w:color w:val="auto"/>
              </w:rPr>
            </w:pPr>
          </w:p>
        </w:tc>
      </w:tr>
      <w:tr>
        <w:trPr>
          <w:trHeight w:val="209"/>
        </w:trPr>
        <w:tc>
          <w:tcPr>
            <w:tcW w:w="47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Income tax recovery</w:t>
            </w: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19</w:t>
            </w: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2,347</w:t>
            </w: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98</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5,554</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4,417</w:t>
            </w:r>
          </w:p>
        </w:tc>
        <w:tc>
          <w:tcPr>
            <w:tcW w:w="0" w:type="dxa"/>
            <w:vAlign w:val="bottom"/>
          </w:tcPr>
          <w:p>
            <w:pPr>
              <w:spacing w:after="0"/>
              <w:rPr>
                <w:sz w:val="1"/>
                <w:szCs w:val="1"/>
                <w:color w:val="auto"/>
              </w:rPr>
            </w:pPr>
          </w:p>
        </w:tc>
      </w:tr>
      <w:tr>
        <w:trPr>
          <w:trHeight w:val="243"/>
        </w:trPr>
        <w:tc>
          <w:tcPr>
            <w:tcW w:w="4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from continuing operations</w:t>
            </w:r>
          </w:p>
        </w:tc>
        <w:tc>
          <w:tcPr>
            <w:tcW w:w="12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(46,258)</w:t>
            </w: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(23,984)</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(68,635)</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(52,485)</w:t>
            </w:r>
          </w:p>
        </w:tc>
        <w:tc>
          <w:tcPr>
            <w:tcW w:w="0" w:type="dxa"/>
            <w:vAlign w:val="bottom"/>
          </w:tcPr>
          <w:p>
            <w:pPr>
              <w:spacing w:after="0"/>
              <w:rPr>
                <w:sz w:val="1"/>
                <w:szCs w:val="1"/>
                <w:color w:val="auto"/>
              </w:rPr>
            </w:pPr>
          </w:p>
        </w:tc>
      </w:tr>
      <w:tr>
        <w:trPr>
          <w:trHeight w:val="237"/>
        </w:trPr>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loss from discontinued operations</w:t>
            </w:r>
          </w:p>
        </w:tc>
        <w:tc>
          <w:tcPr>
            <w:tcW w:w="12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22</w:t>
            </w:r>
          </w:p>
        </w:tc>
        <w:tc>
          <w:tcPr>
            <w:tcW w:w="1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(34,511)</w:t>
            </w: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(12,665)</w:t>
            </w: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(74,734)</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(16,743)</w:t>
            </w:r>
          </w:p>
        </w:tc>
        <w:tc>
          <w:tcPr>
            <w:tcW w:w="0" w:type="dxa"/>
            <w:vAlign w:val="bottom"/>
          </w:tcPr>
          <w:p>
            <w:pPr>
              <w:spacing w:after="0"/>
              <w:rPr>
                <w:sz w:val="1"/>
                <w:szCs w:val="1"/>
                <w:color w:val="auto"/>
              </w:rPr>
            </w:pPr>
          </w:p>
        </w:tc>
      </w:tr>
      <w:tr>
        <w:trPr>
          <w:trHeight w:val="243"/>
        </w:trPr>
        <w:tc>
          <w:tcPr>
            <w:tcW w:w="4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(80,769)</w:t>
            </w: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(36,649)</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(143,369)</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(69,228)</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Item that will not be reclassified to profit or loss:</w:t>
            </w:r>
          </w:p>
        </w:tc>
        <w:tc>
          <w:tcPr>
            <w:tcW w:w="1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revaluation surplus - digital assets, net of tax</w:t>
            </w: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w:t>
            </w:r>
          </w:p>
        </w:tc>
        <w:tc>
          <w:tcPr>
            <w:tcW w:w="14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6,395</w:t>
            </w: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721</w:t>
            </w:r>
          </w:p>
        </w:tc>
        <w:tc>
          <w:tcPr>
            <w:tcW w:w="1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15,977</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12,699</w:t>
            </w:r>
          </w:p>
        </w:tc>
        <w:tc>
          <w:tcPr>
            <w:tcW w:w="0" w:type="dxa"/>
            <w:vAlign w:val="bottom"/>
          </w:tcPr>
          <w:p>
            <w:pPr>
              <w:spacing w:after="0"/>
              <w:rPr>
                <w:sz w:val="1"/>
                <w:szCs w:val="1"/>
                <w:color w:val="auto"/>
              </w:rPr>
            </w:pPr>
          </w:p>
        </w:tc>
      </w:tr>
      <w:tr>
        <w:trPr>
          <w:trHeight w:val="187"/>
        </w:trPr>
        <w:tc>
          <w:tcPr>
            <w:tcW w:w="478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comprehensive loss from continuing operations, net</w:t>
            </w:r>
          </w:p>
        </w:tc>
        <w:tc>
          <w:tcPr>
            <w:tcW w:w="1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47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of tax</w:t>
            </w:r>
          </w:p>
        </w:tc>
        <w:tc>
          <w:tcPr>
            <w:tcW w:w="12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(39,863)</w:t>
            </w: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(23,263)</w:t>
            </w: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(52,658)</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(39,786)</w:t>
            </w:r>
          </w:p>
        </w:tc>
        <w:tc>
          <w:tcPr>
            <w:tcW w:w="0" w:type="dxa"/>
            <w:vAlign w:val="bottom"/>
          </w:tcPr>
          <w:p>
            <w:pPr>
              <w:spacing w:after="0"/>
              <w:rPr>
                <w:sz w:val="1"/>
                <w:szCs w:val="1"/>
                <w:color w:val="auto"/>
              </w:rPr>
            </w:pPr>
          </w:p>
        </w:tc>
      </w:tr>
      <w:tr>
        <w:trPr>
          <w:trHeight w:val="187"/>
        </w:trPr>
        <w:tc>
          <w:tcPr>
            <w:tcW w:w="478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comprehensive loss from discontinued operations,</w:t>
            </w:r>
          </w:p>
        </w:tc>
        <w:tc>
          <w:tcPr>
            <w:tcW w:w="12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47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of tax</w:t>
            </w: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22</w:t>
            </w:r>
          </w:p>
        </w:tc>
        <w:tc>
          <w:tcPr>
            <w:tcW w:w="14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(34,511)</w:t>
            </w: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(12,665)</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(74,734)</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(16,743)</w:t>
            </w:r>
          </w:p>
        </w:tc>
        <w:tc>
          <w:tcPr>
            <w:tcW w:w="0" w:type="dxa"/>
            <w:vAlign w:val="bottom"/>
          </w:tcPr>
          <w:p>
            <w:pPr>
              <w:spacing w:after="0"/>
              <w:rPr>
                <w:sz w:val="1"/>
                <w:szCs w:val="1"/>
                <w:color w:val="auto"/>
              </w:rPr>
            </w:pPr>
          </w:p>
        </w:tc>
      </w:tr>
      <w:tr>
        <w:trPr>
          <w:trHeight w:val="244"/>
        </w:trPr>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net of tax</w:t>
            </w:r>
          </w:p>
        </w:tc>
        <w:tc>
          <w:tcPr>
            <w:tcW w:w="1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(74,374)</w:t>
            </w: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(35,928)</w:t>
            </w: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(127,392)</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(56,529)</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per share from continuing operations</w:t>
            </w: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23</w:t>
            </w:r>
          </w:p>
        </w:tc>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(0.08)</w:t>
            </w:r>
          </w:p>
        </w:tc>
        <w:tc>
          <w:tcPr>
            <w:tcW w:w="1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(0.05)</w:t>
            </w:r>
          </w:p>
        </w:tc>
        <w:tc>
          <w:tcPr>
            <w:tcW w:w="1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(0.13)</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23</w:t>
            </w:r>
          </w:p>
        </w:tc>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2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(0.15)</w:t>
            </w: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(0.08)</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(0.27)</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1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23</w:t>
            </w:r>
          </w:p>
        </w:tc>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2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556,539,628</w:t>
            </w: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448,711,912</w:t>
            </w:r>
          </w:p>
        </w:tc>
        <w:tc>
          <w:tcPr>
            <w:tcW w:w="1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537,721,978</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396,423,169</w:t>
            </w: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Should be read in conjunction with the notes to the interim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10660"/>
        <w:spacing w:after="0"/>
        <w:rPr>
          <w:sz w:val="20"/>
          <w:szCs w:val="20"/>
          <w:color w:val="auto"/>
        </w:rPr>
      </w:pPr>
      <w:r>
        <w:rPr>
          <w:rFonts w:ascii="Times New Roman" w:cs="Times New Roman" w:eastAsia="Times New Roman" w:hAnsi="Times New Roman"/>
          <w:sz w:val="18"/>
          <w:szCs w:val="18"/>
          <w:color w:val="auto"/>
        </w:rPr>
        <w:t>4  Page</w:t>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ind w:right="5460"/>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INTERIM CONSOLIDATED STATEMENTS OF CHANGES IN EQUITY </w:t>
      </w:r>
      <w:r>
        <w:rPr>
          <w:rFonts w:ascii="Times New Roman" w:cs="Times New Roman" w:eastAsia="Times New Roman" w:hAnsi="Times New Roman"/>
          <w:sz w:val="17"/>
          <w:szCs w:val="17"/>
          <w:color w:val="auto"/>
        </w:rPr>
        <w:t>(Expressed in thousands of U.S. dollars, except number of shares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Contributed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Revaluation</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3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surplus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surplus</w:t>
            </w: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23"/>
        </w:trPr>
        <w:tc>
          <w:tcPr>
            <w:tcW w:w="3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2025</w:t>
            </w:r>
          </w:p>
        </w:tc>
        <w:tc>
          <w:tcPr>
            <w:tcW w:w="7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479,332,885</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852,286</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67,521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(334,507)</w:t>
            </w: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22,695</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607,995</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(143,369)</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(143,369)</w:t>
            </w:r>
          </w:p>
        </w:tc>
        <w:tc>
          <w:tcPr>
            <w:tcW w:w="0" w:type="dxa"/>
            <w:vAlign w:val="bottom"/>
          </w:tcPr>
          <w:p>
            <w:pPr>
              <w:spacing w:after="0"/>
              <w:rPr>
                <w:sz w:val="1"/>
                <w:szCs w:val="1"/>
                <w:color w:val="auto"/>
              </w:rPr>
            </w:pPr>
          </w:p>
        </w:tc>
      </w:tr>
      <w:tr>
        <w:trPr>
          <w:trHeight w:val="198"/>
        </w:trPr>
        <w:tc>
          <w:tcPr>
            <w:tcW w:w="3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revaluation surplus - digital</w:t>
            </w:r>
          </w:p>
        </w:tc>
        <w:tc>
          <w:tcPr>
            <w:tcW w:w="7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3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 net of tax</w:t>
            </w:r>
          </w:p>
        </w:tc>
        <w:tc>
          <w:tcPr>
            <w:tcW w:w="7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15,977</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15,977</w:t>
            </w:r>
          </w:p>
        </w:tc>
        <w:tc>
          <w:tcPr>
            <w:tcW w:w="0" w:type="dxa"/>
            <w:vAlign w:val="bottom"/>
          </w:tcPr>
          <w:p>
            <w:pPr>
              <w:spacing w:after="0"/>
              <w:rPr>
                <w:sz w:val="1"/>
                <w:szCs w:val="1"/>
                <w:color w:val="auto"/>
              </w:rPr>
            </w:pPr>
          </w:p>
        </w:tc>
      </w:tr>
      <w:tr>
        <w:trPr>
          <w:trHeight w:val="223"/>
        </w:trPr>
        <w:tc>
          <w:tcPr>
            <w:tcW w:w="3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comprehensive loss, net of tax</w:t>
            </w:r>
          </w:p>
        </w:tc>
        <w:tc>
          <w:tcPr>
            <w:tcW w:w="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(143,369)</w:t>
            </w: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15,977</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(127,392)</w:t>
            </w:r>
          </w:p>
        </w:tc>
        <w:tc>
          <w:tcPr>
            <w:tcW w:w="0" w:type="dxa"/>
            <w:vAlign w:val="bottom"/>
          </w:tcPr>
          <w:p>
            <w:pPr>
              <w:spacing w:after="0"/>
              <w:rPr>
                <w:sz w:val="1"/>
                <w:szCs w:val="1"/>
                <w:color w:val="auto"/>
              </w:rPr>
            </w:pPr>
          </w:p>
        </w:tc>
      </w:tr>
      <w:tr>
        <w:trPr>
          <w:trHeight w:val="209"/>
        </w:trPr>
        <w:tc>
          <w:tcPr>
            <w:tcW w:w="3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Transfer of revaluation surplus on disposal</w:t>
            </w: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digital assets to accumulated deficit,</w:t>
            </w:r>
          </w:p>
        </w:tc>
        <w:tc>
          <w:tcPr>
            <w:tcW w:w="740" w:type="dxa"/>
            <w:vAlign w:val="bottom"/>
          </w:tcPr>
          <w:p>
            <w:pPr>
              <w:spacing w:after="0"/>
              <w:rPr>
                <w:sz w:val="18"/>
                <w:szCs w:val="18"/>
                <w:color w:val="auto"/>
              </w:rPr>
            </w:pPr>
          </w:p>
        </w:tc>
        <w:tc>
          <w:tcPr>
            <w:tcW w:w="12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18,762</w:t>
            </w:r>
          </w:p>
        </w:tc>
        <w:tc>
          <w:tcPr>
            <w:tcW w:w="11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(18,762)</w:t>
            </w:r>
          </w:p>
        </w:tc>
        <w:tc>
          <w:tcPr>
            <w:tcW w:w="9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of tax</w:t>
            </w:r>
          </w:p>
        </w:tc>
        <w:tc>
          <w:tcPr>
            <w:tcW w:w="74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10,902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10,902</w:t>
            </w:r>
          </w:p>
        </w:tc>
        <w:tc>
          <w:tcPr>
            <w:tcW w:w="0" w:type="dxa"/>
            <w:vAlign w:val="bottom"/>
          </w:tcPr>
          <w:p>
            <w:pPr>
              <w:spacing w:after="0"/>
              <w:rPr>
                <w:sz w:val="1"/>
                <w:szCs w:val="1"/>
                <w:color w:val="auto"/>
              </w:rPr>
            </w:pPr>
          </w:p>
        </w:tc>
      </w:tr>
      <w:tr>
        <w:trPr>
          <w:trHeight w:val="198"/>
        </w:trPr>
        <w:tc>
          <w:tcPr>
            <w:tcW w:w="3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replacement share-based</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2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232</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232</w:t>
            </w:r>
          </w:p>
        </w:tc>
        <w:tc>
          <w:tcPr>
            <w:tcW w:w="0" w:type="dxa"/>
            <w:vAlign w:val="bottom"/>
          </w:tcPr>
          <w:p>
            <w:pPr>
              <w:spacing w:after="0"/>
              <w:rPr>
                <w:sz w:val="1"/>
                <w:szCs w:val="1"/>
                <w:color w:val="auto"/>
              </w:rPr>
            </w:pPr>
          </w:p>
        </w:tc>
      </w:tr>
      <w:tr>
        <w:trPr>
          <w:trHeight w:val="234"/>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w:t>
            </w:r>
          </w:p>
        </w:tc>
        <w:tc>
          <w:tcPr>
            <w:tcW w:w="74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shares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79,037,751</w:t>
            </w: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104,299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104,299</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equity warrants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11,477</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11,477</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restricted share units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2,469,700</w:t>
            </w: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3,892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(3,892)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 and warrants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20, 24</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8,431,232</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(6,429)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13,799</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share awards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20, 24</w:t>
            </w: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1,543,320</w:t>
            </w: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1,558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8"/>
        </w:trPr>
        <w:tc>
          <w:tcPr>
            <w:tcW w:w="3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Repurchase and cancellation of common</w:t>
            </w: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3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(7,807,141)</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(12,825)</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2,869</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(9,956)</w:t>
            </w:r>
          </w:p>
        </w:tc>
        <w:tc>
          <w:tcPr>
            <w:tcW w:w="0" w:type="dxa"/>
            <w:vAlign w:val="bottom"/>
          </w:tcPr>
          <w:p>
            <w:pPr>
              <w:spacing w:after="0"/>
              <w:rPr>
                <w:sz w:val="1"/>
                <w:szCs w:val="1"/>
                <w:color w:val="auto"/>
              </w:rPr>
            </w:pPr>
          </w:p>
        </w:tc>
      </w:tr>
      <w:tr>
        <w:trPr>
          <w:trHeight w:val="230"/>
        </w:trPr>
        <w:tc>
          <w:tcPr>
            <w:tcW w:w="3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2025</w:t>
            </w:r>
          </w:p>
        </w:tc>
        <w:tc>
          <w:tcPr>
            <w:tcW w:w="7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563,007,747</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969,438</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11,477</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69,645</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(459,114)</w:t>
            </w: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19,910</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611,356</w:t>
            </w:r>
          </w:p>
        </w:tc>
        <w:tc>
          <w:tcPr>
            <w:tcW w:w="0" w:type="dxa"/>
            <w:vAlign w:val="bottom"/>
          </w:tcPr>
          <w:p>
            <w:pPr>
              <w:spacing w:after="0"/>
              <w:rPr>
                <w:sz w:val="1"/>
                <w:szCs w:val="1"/>
                <w:color w:val="auto"/>
              </w:rPr>
            </w:pPr>
          </w:p>
        </w:tc>
      </w:tr>
      <w:tr>
        <w:trPr>
          <w:trHeight w:val="230"/>
        </w:trPr>
        <w:tc>
          <w:tcPr>
            <w:tcW w:w="3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2024</w:t>
            </w:r>
          </w:p>
        </w:tc>
        <w:tc>
          <w:tcPr>
            <w:tcW w:w="7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334,153,330</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535,009</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56,622</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(299,810)</w:t>
            </w: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2,941</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294,762</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(69,228)</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(69,228)</w:t>
            </w:r>
          </w:p>
        </w:tc>
        <w:tc>
          <w:tcPr>
            <w:tcW w:w="0" w:type="dxa"/>
            <w:vAlign w:val="bottom"/>
          </w:tcPr>
          <w:p>
            <w:pPr>
              <w:spacing w:after="0"/>
              <w:rPr>
                <w:sz w:val="1"/>
                <w:szCs w:val="1"/>
                <w:color w:val="auto"/>
              </w:rPr>
            </w:pPr>
          </w:p>
        </w:tc>
      </w:tr>
      <w:tr>
        <w:trPr>
          <w:trHeight w:val="198"/>
        </w:trPr>
        <w:tc>
          <w:tcPr>
            <w:tcW w:w="3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revaluation surplus - digital</w:t>
            </w:r>
          </w:p>
        </w:tc>
        <w:tc>
          <w:tcPr>
            <w:tcW w:w="7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3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 net of tax</w:t>
            </w:r>
          </w:p>
        </w:tc>
        <w:tc>
          <w:tcPr>
            <w:tcW w:w="7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12,699</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12,699</w:t>
            </w:r>
          </w:p>
        </w:tc>
        <w:tc>
          <w:tcPr>
            <w:tcW w:w="0" w:type="dxa"/>
            <w:vAlign w:val="bottom"/>
          </w:tcPr>
          <w:p>
            <w:pPr>
              <w:spacing w:after="0"/>
              <w:rPr>
                <w:sz w:val="1"/>
                <w:szCs w:val="1"/>
                <w:color w:val="auto"/>
              </w:rPr>
            </w:pPr>
          </w:p>
        </w:tc>
      </w:tr>
      <w:tr>
        <w:trPr>
          <w:trHeight w:val="223"/>
        </w:trPr>
        <w:tc>
          <w:tcPr>
            <w:tcW w:w="3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comprehensive loss, net of tax</w:t>
            </w:r>
          </w:p>
        </w:tc>
        <w:tc>
          <w:tcPr>
            <w:tcW w:w="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(69,228)</w:t>
            </w: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12,699</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(56,529)</w:t>
            </w: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Transfer of revaluation surplus on disposal</w:t>
            </w: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digital assets to accumulated deficit,</w:t>
            </w:r>
          </w:p>
        </w:tc>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of tax</w:t>
            </w:r>
          </w:p>
        </w:tc>
        <w:tc>
          <w:tcPr>
            <w:tcW w:w="74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12,329</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(12,329)</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9,928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9,928</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shares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110,856,066</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242,392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242,392</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restricted share units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366,666</w:t>
            </w: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1,016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Exercise of stock options and warrants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20, 24</w:t>
            </w: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7,559,259</w:t>
            </w: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23,220</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21,471</w:t>
            </w:r>
          </w:p>
        </w:tc>
        <w:tc>
          <w:tcPr>
            <w:tcW w:w="0" w:type="dxa"/>
            <w:vAlign w:val="bottom"/>
          </w:tcPr>
          <w:p>
            <w:pPr>
              <w:spacing w:after="0"/>
              <w:rPr>
                <w:sz w:val="1"/>
                <w:szCs w:val="1"/>
                <w:color w:val="auto"/>
              </w:rPr>
            </w:pPr>
          </w:p>
        </w:tc>
      </w:tr>
      <w:tr>
        <w:trPr>
          <w:trHeight w:val="230"/>
        </w:trPr>
        <w:tc>
          <w:tcPr>
            <w:tcW w:w="3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2024</w:t>
            </w:r>
          </w:p>
        </w:tc>
        <w:tc>
          <w:tcPr>
            <w:tcW w:w="7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452,935,321</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801,637</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63,785</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(356,709)</w:t>
            </w: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3,311</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512,024</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Should be read in conjunction with the notes to the interim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10660"/>
        <w:spacing w:after="0"/>
        <w:rPr>
          <w:sz w:val="20"/>
          <w:szCs w:val="20"/>
          <w:color w:val="auto"/>
        </w:rPr>
      </w:pPr>
      <w:r>
        <w:rPr>
          <w:rFonts w:ascii="Times New Roman" w:cs="Times New Roman" w:eastAsia="Times New Roman" w:hAnsi="Times New Roman"/>
          <w:sz w:val="18"/>
          <w:szCs w:val="18"/>
          <w:color w:val="auto"/>
        </w:rPr>
        <w:t>5  Page</w:t>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INTERIM 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4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77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760" w:type="dxa"/>
            <w:vAlign w:val="bottom"/>
            <w:tcBorders>
              <w:bottom w:val="single" w:sz="8" w:color="auto"/>
            </w:tcBorders>
          </w:tcPr>
          <w:p>
            <w:pPr>
              <w:spacing w:after="0"/>
              <w:rPr>
                <w:sz w:val="20"/>
                <w:szCs w:val="20"/>
                <w:color w:val="auto"/>
              </w:rPr>
            </w:pPr>
          </w:p>
        </w:tc>
      </w:tr>
      <w:tr>
        <w:trPr>
          <w:trHeight w:val="237"/>
        </w:trPr>
        <w:tc>
          <w:tcPr>
            <w:tcW w:w="77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6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425"/>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(used in) in operating activities</w:t>
            </w:r>
          </w:p>
        </w:tc>
        <w:tc>
          <w:tcPr>
            <w:tcW w:w="1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(143,369)</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(69,228)</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Adjustment for non-cash items:</w:t>
            </w:r>
          </w:p>
        </w:tc>
        <w:tc>
          <w:tcPr>
            <w:tcW w:w="10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7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27</w:t>
            </w:r>
          </w:p>
        </w:tc>
        <w:tc>
          <w:tcPr>
            <w:tcW w:w="16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100,179</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116,383</w:t>
            </w:r>
          </w:p>
        </w:tc>
      </w:tr>
      <w:tr>
        <w:trPr>
          <w:trHeight w:val="216"/>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1060" w:type="dxa"/>
            <w:vAlign w:val="bottom"/>
          </w:tcPr>
          <w:p>
            <w:pPr>
              <w:spacing w:after="0"/>
              <w:rPr>
                <w:sz w:val="18"/>
                <w:szCs w:val="18"/>
                <w:color w:val="auto"/>
              </w:rPr>
            </w:pPr>
          </w:p>
        </w:tc>
        <w:tc>
          <w:tcPr>
            <w:tcW w:w="16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75,076</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3,628</w:t>
            </w:r>
          </w:p>
        </w:tc>
      </w:tr>
      <w:tr>
        <w:trPr>
          <w:trHeight w:val="216"/>
        </w:trPr>
        <w:tc>
          <w:tcPr>
            <w:tcW w:w="7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financial expenses (income)</w:t>
            </w:r>
          </w:p>
        </w:tc>
        <w:tc>
          <w:tcPr>
            <w:tcW w:w="106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15,355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(17,367)</w:t>
            </w:r>
          </w:p>
        </w:tc>
      </w:tr>
      <w:tr>
        <w:trPr>
          <w:trHeight w:val="216"/>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Digital assets earned and hosting revenue received in BTC</w:t>
            </w: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8</w:t>
            </w:r>
          </w:p>
        </w:tc>
        <w:tc>
          <w:tcPr>
            <w:tcW w:w="16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(211,928)</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(132,644)</w:t>
            </w:r>
          </w:p>
        </w:tc>
      </w:tr>
      <w:tr>
        <w:trPr>
          <w:trHeight w:val="216"/>
        </w:trPr>
        <w:tc>
          <w:tcPr>
            <w:tcW w:w="7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payment</w:t>
            </w:r>
          </w:p>
        </w:tc>
        <w:tc>
          <w:tcPr>
            <w:tcW w:w="106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10,902</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9,928</w:t>
            </w:r>
          </w:p>
        </w:tc>
      </w:tr>
      <w:tr>
        <w:trPr>
          <w:trHeight w:val="216"/>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recovery</w:t>
            </w:r>
          </w:p>
        </w:tc>
        <w:tc>
          <w:tcPr>
            <w:tcW w:w="1060" w:type="dxa"/>
            <w:vAlign w:val="bottom"/>
          </w:tcPr>
          <w:p>
            <w:pPr>
              <w:spacing w:after="0"/>
              <w:rPr>
                <w:sz w:val="18"/>
                <w:szCs w:val="18"/>
                <w:color w:val="auto"/>
              </w:rPr>
            </w:pPr>
          </w:p>
        </w:tc>
        <w:tc>
          <w:tcPr>
            <w:tcW w:w="16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(5,141)</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w:t>
            </w:r>
          </w:p>
        </w:tc>
      </w:tr>
      <w:tr>
        <w:trPr>
          <w:trHeight w:val="216"/>
        </w:trPr>
        <w:tc>
          <w:tcPr>
            <w:tcW w:w="7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Renewable energy credits earned</w:t>
            </w:r>
          </w:p>
        </w:tc>
        <w:tc>
          <w:tcPr>
            <w:tcW w:w="10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w:t>
            </w:r>
          </w:p>
        </w:tc>
        <w:tc>
          <w:tcPr>
            <w:tcW w:w="16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(17,000)</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loss on disposition of property, plant and equipment and deposits</w:t>
            </w:r>
          </w:p>
        </w:tc>
        <w:tc>
          <w:tcPr>
            <w:tcW w:w="1060" w:type="dxa"/>
            <w:vAlign w:val="bottom"/>
          </w:tcPr>
          <w:p>
            <w:pPr>
              <w:spacing w:after="0"/>
              <w:rPr>
                <w:sz w:val="18"/>
                <w:szCs w:val="18"/>
                <w:color w:val="auto"/>
              </w:rPr>
            </w:pPr>
          </w:p>
        </w:tc>
        <w:tc>
          <w:tcPr>
            <w:tcW w:w="16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(9,016)</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606</w:t>
            </w:r>
          </w:p>
        </w:tc>
      </w:tr>
      <w:tr>
        <w:trPr>
          <w:trHeight w:val="216"/>
        </w:trPr>
        <w:tc>
          <w:tcPr>
            <w:tcW w:w="7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Digital assets exchanged for services</w:t>
            </w:r>
          </w:p>
        </w:tc>
        <w:tc>
          <w:tcPr>
            <w:tcW w:w="10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8</w:t>
            </w:r>
          </w:p>
        </w:tc>
        <w:tc>
          <w:tcPr>
            <w:tcW w:w="16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5,178</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received</w:t>
            </w:r>
          </w:p>
        </w:tc>
        <w:tc>
          <w:tcPr>
            <w:tcW w:w="1060" w:type="dxa"/>
            <w:vAlign w:val="bottom"/>
          </w:tcPr>
          <w:p>
            <w:pPr>
              <w:spacing w:after="0"/>
              <w:rPr>
                <w:sz w:val="18"/>
                <w:szCs w:val="18"/>
                <w:color w:val="auto"/>
              </w:rPr>
            </w:pPr>
          </w:p>
        </w:tc>
        <w:tc>
          <w:tcPr>
            <w:tcW w:w="16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1,666</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4,895</w:t>
            </w: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expenses paid</w:t>
            </w:r>
          </w:p>
        </w:tc>
        <w:tc>
          <w:tcPr>
            <w:tcW w:w="106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(2,527)</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1060" w:type="dxa"/>
            <w:vAlign w:val="bottom"/>
          </w:tcPr>
          <w:p>
            <w:pPr>
              <w:spacing w:after="0"/>
              <w:rPr>
                <w:sz w:val="18"/>
                <w:szCs w:val="18"/>
                <w:color w:val="auto"/>
              </w:rPr>
            </w:pPr>
          </w:p>
        </w:tc>
        <w:tc>
          <w:tcPr>
            <w:tcW w:w="16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(383)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disposition of renewable energy and waste tax credits</w:t>
            </w:r>
          </w:p>
        </w:tc>
        <w:tc>
          <w:tcPr>
            <w:tcW w:w="10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w:t>
            </w:r>
          </w:p>
        </w:tc>
        <w:tc>
          <w:tcPr>
            <w:tcW w:w="16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11,022</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Changes in non-cash working capital components</w:t>
            </w: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27</w:t>
            </w:r>
          </w:p>
        </w:tc>
        <w:tc>
          <w:tcPr>
            <w:tcW w:w="16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17,042</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(6,439)</w:t>
            </w:r>
          </w:p>
        </w:tc>
      </w:tr>
      <w:tr>
        <w:trPr>
          <w:trHeight w:val="236"/>
        </w:trPr>
        <w:tc>
          <w:tcPr>
            <w:tcW w:w="7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operating activities</w:t>
            </w:r>
          </w:p>
        </w:tc>
        <w:tc>
          <w:tcPr>
            <w:tcW w:w="106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(152,944)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(97,160)</w:t>
            </w:r>
          </w:p>
        </w:tc>
      </w:tr>
      <w:tr>
        <w:trPr>
          <w:trHeight w:val="210"/>
        </w:trPr>
        <w:tc>
          <w:tcPr>
            <w:tcW w:w="7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(used in) investing activities</w:t>
            </w:r>
          </w:p>
        </w:tc>
        <w:tc>
          <w:tcPr>
            <w:tcW w:w="10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digital assets</w:t>
            </w: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8</w:t>
            </w:r>
          </w:p>
        </w:tc>
        <w:tc>
          <w:tcPr>
            <w:tcW w:w="16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159,295</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111,264</w:t>
            </w: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plant and equipment and Intangible asset</w:t>
            </w:r>
          </w:p>
        </w:tc>
        <w:tc>
          <w:tcPr>
            <w:tcW w:w="106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(75,365)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(168,687)</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property, plant and equipment and assets held for sale</w:t>
            </w:r>
          </w:p>
        </w:tc>
        <w:tc>
          <w:tcPr>
            <w:tcW w:w="1060" w:type="dxa"/>
            <w:vAlign w:val="bottom"/>
          </w:tcPr>
          <w:p>
            <w:pPr>
              <w:spacing w:after="0"/>
              <w:rPr>
                <w:sz w:val="18"/>
                <w:szCs w:val="18"/>
                <w:color w:val="auto"/>
              </w:rPr>
            </w:pPr>
          </w:p>
        </w:tc>
        <w:tc>
          <w:tcPr>
            <w:tcW w:w="16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17,226</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2,598</w:t>
            </w: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related to purchase and sale of assets held for sale</w:t>
            </w:r>
          </w:p>
        </w:tc>
        <w:tc>
          <w:tcPr>
            <w:tcW w:w="106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(7,988)</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1060" w:type="dxa"/>
            <w:vAlign w:val="bottom"/>
          </w:tcPr>
          <w:p>
            <w:pPr>
              <w:spacing w:after="0"/>
              <w:rPr>
                <w:sz w:val="18"/>
                <w:szCs w:val="18"/>
                <w:color w:val="auto"/>
              </w:rPr>
            </w:pPr>
          </w:p>
        </w:tc>
        <w:tc>
          <w:tcPr>
            <w:tcW w:w="16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(10,678)</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(10,405)</w:t>
            </w: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disposition of marketable securities</w:t>
            </w:r>
          </w:p>
        </w:tc>
        <w:tc>
          <w:tcPr>
            <w:tcW w:w="106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11,133</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11,936</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Refundable Deposit</w:t>
            </w: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13</w:t>
            </w:r>
          </w:p>
        </w:tc>
        <w:tc>
          <w:tcPr>
            <w:tcW w:w="16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w:t>
            </w: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derivative assets and liabilities</w:t>
            </w:r>
          </w:p>
        </w:tc>
        <w:tc>
          <w:tcPr>
            <w:tcW w:w="10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10</w:t>
            </w:r>
          </w:p>
        </w:tc>
        <w:tc>
          <w:tcPr>
            <w:tcW w:w="16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(151,067)</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disposition of derivative assets and liabilities</w:t>
            </w: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10</w:t>
            </w:r>
          </w:p>
        </w:tc>
        <w:tc>
          <w:tcPr>
            <w:tcW w:w="16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164,367</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and construction prepayments</w:t>
            </w:r>
          </w:p>
        </w:tc>
        <w:tc>
          <w:tcPr>
            <w:tcW w:w="106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(822)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(96,504)</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disposal of business</w:t>
            </w: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w:t>
            </w:r>
          </w:p>
        </w:tc>
        <w:tc>
          <w:tcPr>
            <w:tcW w:w="16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63,038</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business</w:t>
            </w:r>
          </w:p>
        </w:tc>
        <w:tc>
          <w:tcPr>
            <w:tcW w:w="10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w:t>
            </w:r>
          </w:p>
        </w:tc>
        <w:tc>
          <w:tcPr>
            <w:tcW w:w="16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(48,084)</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Investment in Associate</w:t>
            </w: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15</w:t>
            </w:r>
          </w:p>
        </w:tc>
        <w:tc>
          <w:tcPr>
            <w:tcW w:w="16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(875)</w:t>
            </w: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investing activities</w:t>
            </w:r>
          </w:p>
        </w:tc>
        <w:tc>
          <w:tcPr>
            <w:tcW w:w="106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120,180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(157,598)</w:t>
            </w:r>
          </w:p>
        </w:tc>
      </w:tr>
      <w:tr>
        <w:trPr>
          <w:trHeight w:val="210"/>
        </w:trPr>
        <w:tc>
          <w:tcPr>
            <w:tcW w:w="7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(used in) financing activities</w:t>
            </w:r>
          </w:p>
        </w:tc>
        <w:tc>
          <w:tcPr>
            <w:tcW w:w="10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18</w:t>
            </w:r>
          </w:p>
        </w:tc>
        <w:tc>
          <w:tcPr>
            <w:tcW w:w="16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(437)</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(4,045)</w:t>
            </w: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long-term debt, net of transaction costs</w:t>
            </w:r>
          </w:p>
        </w:tc>
        <w:tc>
          <w:tcPr>
            <w:tcW w:w="10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18</w:t>
            </w:r>
          </w:p>
        </w:tc>
        <w:tc>
          <w:tcPr>
            <w:tcW w:w="16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47,611</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1,695</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lease liabilities</w:t>
            </w:r>
          </w:p>
        </w:tc>
        <w:tc>
          <w:tcPr>
            <w:tcW w:w="1060" w:type="dxa"/>
            <w:vAlign w:val="bottom"/>
          </w:tcPr>
          <w:p>
            <w:pPr>
              <w:spacing w:after="0"/>
              <w:rPr>
                <w:sz w:val="18"/>
                <w:szCs w:val="18"/>
                <w:color w:val="auto"/>
              </w:rPr>
            </w:pPr>
          </w:p>
        </w:tc>
        <w:tc>
          <w:tcPr>
            <w:tcW w:w="16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(1,625)</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w:t>
            </w: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shares</w:t>
            </w:r>
          </w:p>
        </w:tc>
        <w:tc>
          <w:tcPr>
            <w:tcW w:w="10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w:t>
            </w:r>
          </w:p>
        </w:tc>
        <w:tc>
          <w:tcPr>
            <w:tcW w:w="16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38,043</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239,392</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 and warrants</w:t>
            </w: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20, 24</w:t>
            </w:r>
          </w:p>
        </w:tc>
        <w:tc>
          <w:tcPr>
            <w:tcW w:w="16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11,446</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8,620</w:t>
            </w:r>
          </w:p>
        </w:tc>
      </w:tr>
      <w:tr>
        <w:trPr>
          <w:trHeight w:val="243"/>
        </w:trPr>
        <w:tc>
          <w:tcPr>
            <w:tcW w:w="7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and cancellation of common shares</w:t>
            </w:r>
          </w:p>
        </w:tc>
        <w:tc>
          <w:tcPr>
            <w:tcW w:w="10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21</w:t>
            </w:r>
          </w:p>
        </w:tc>
        <w:tc>
          <w:tcPr>
            <w:tcW w:w="168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(9,956)</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financing activities</w:t>
            </w:r>
          </w:p>
        </w:tc>
        <w:tc>
          <w:tcPr>
            <w:tcW w:w="10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85,082</w:t>
            </w: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243,664</w:t>
            </w:r>
          </w:p>
        </w:tc>
      </w:tr>
      <w:tr>
        <w:trPr>
          <w:trHeight w:val="210"/>
        </w:trPr>
        <w:tc>
          <w:tcPr>
            <w:tcW w:w="77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43"/>
        </w:trPr>
        <w:tc>
          <w:tcPr>
            <w:tcW w:w="7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increase in cash</w:t>
            </w:r>
          </w:p>
        </w:tc>
        <w:tc>
          <w:tcPr>
            <w:tcW w:w="10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52,318</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(11,094)</w:t>
            </w:r>
          </w:p>
        </w:tc>
      </w:tr>
      <w:tr>
        <w:trPr>
          <w:trHeight w:val="209"/>
        </w:trPr>
        <w:tc>
          <w:tcPr>
            <w:tcW w:w="7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beginning of the period</w:t>
            </w:r>
          </w:p>
        </w:tc>
        <w:tc>
          <w:tcPr>
            <w:tcW w:w="10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59,542</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84,038</w:t>
            </w:r>
          </w:p>
        </w:tc>
      </w:tr>
      <w:tr>
        <w:trPr>
          <w:trHeight w:val="244"/>
        </w:trPr>
        <w:tc>
          <w:tcPr>
            <w:tcW w:w="7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Exchange rates differences on currency translation</w:t>
            </w:r>
          </w:p>
        </w:tc>
        <w:tc>
          <w:tcPr>
            <w:tcW w:w="10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92</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50"/>
        </w:trPr>
        <w:tc>
          <w:tcPr>
            <w:tcW w:w="7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restricted cash, end of the period</w:t>
            </w:r>
          </w:p>
        </w:tc>
        <w:tc>
          <w:tcPr>
            <w:tcW w:w="106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111,952</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72,913</w:t>
            </w:r>
          </w:p>
        </w:tc>
      </w:tr>
      <w:tr>
        <w:trPr>
          <w:trHeight w:val="243"/>
        </w:trPr>
        <w:tc>
          <w:tcPr>
            <w:tcW w:w="77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50"/>
        </w:trPr>
        <w:tc>
          <w:tcPr>
            <w:tcW w:w="7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discontinued operations</w:t>
            </w:r>
          </w:p>
        </w:tc>
        <w:tc>
          <w:tcPr>
            <w:tcW w:w="10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22</w:t>
            </w:r>
          </w:p>
        </w:tc>
        <w:tc>
          <w:tcPr>
            <w:tcW w:w="168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(109)</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1,324</w:t>
            </w:r>
          </w:p>
        </w:tc>
      </w:tr>
      <w:tr>
        <w:trPr>
          <w:trHeight w:val="432"/>
        </w:trPr>
        <w:tc>
          <w:tcPr>
            <w:tcW w:w="7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Should be read in conjunction with the notes to the interim condensed consolidated financial statements</w:t>
            </w:r>
          </w:p>
        </w:tc>
        <w:tc>
          <w:tcPr>
            <w:tcW w:w="1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60"/>
        <w:spacing w:after="0"/>
        <w:rPr>
          <w:sz w:val="20"/>
          <w:szCs w:val="20"/>
          <w:color w:val="auto"/>
        </w:rPr>
      </w:pPr>
      <w:r>
        <w:rPr>
          <w:rFonts w:ascii="Times New Roman" w:cs="Times New Roman" w:eastAsia="Times New Roman" w:hAnsi="Times New Roman"/>
          <w:sz w:val="18"/>
          <w:szCs w:val="18"/>
          <w:color w:val="auto"/>
        </w:rPr>
        <w:t>6  Page</w:t>
      </w:r>
    </w:p>
    <w:p>
      <w:pPr>
        <w:sectPr>
          <w:pgSz w:w="11900" w:h="16838" w:orient="portrait"/>
          <w:cols w:equalWidth="0" w:num="1">
            <w:col w:w="11240"/>
          </w:cols>
          <w:pgMar w:left="320" w:top="900" w:right="339" w:bottom="96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1: NATURE OF OPERATIONS</w:t>
      </w:r>
    </w:p>
    <w:p>
      <w:pPr>
        <w:spacing w:after="0" w:line="229" w:lineRule="exact"/>
        <w:rPr>
          <w:sz w:val="20"/>
          <w:szCs w:val="20"/>
          <w:color w:val="auto"/>
        </w:rPr>
      </w:pPr>
    </w:p>
    <w:p>
      <w:pPr>
        <w:jc w:val="both"/>
        <w:ind w:left="20" w:hanging="4"/>
        <w:spacing w:after="0" w:line="261" w:lineRule="auto"/>
        <w:rPr>
          <w:sz w:val="20"/>
          <w:szCs w:val="20"/>
          <w:color w:val="auto"/>
        </w:rPr>
      </w:pPr>
      <w:r>
        <w:rPr>
          <w:rFonts w:ascii="Times New Roman" w:cs="Times New Roman" w:eastAsia="Times New Roman" w:hAnsi="Times New Roman"/>
          <w:sz w:val="18"/>
          <w:szCs w:val="18"/>
          <w:color w:val="auto"/>
        </w:rPr>
        <w:t>Bitfarms Ltd. was incorporated under the Canada Business Corporations Act on October 11, 2018 and continued under the Business Corporations Act (Ontario) on August 27, 2021. The consolidated financial statements of the corporation comprise the accounts of Bitfarms Ltd. and its wholly-owned subsidiaries (together referred to as the “Company” or “Bitfarms”). The common shares of the Company are listed on the Nasdaq Stock Market and the Toronto Stock Exchange (Nasdaq/TSX: BITF). Its registered office is located at 110 Yonge Street, Suite 1601, Toronto, Ontario, Canada, M5C 1T4.</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activities of the Company are comprised mainly of selling its computational power used for hashing calculations for the purpose of cryptocurrency mining in multiple jurisdictions as described in Note 26 “Geographical Information”. The Company’s operations are currently located in the United States, Canada and Paraguay. Refer to Note 22 for disclosures related to discontinued operations in Argentina and Paraguay. Volta, a wholly-owned subsidiary of the Company, assists the Company in building and maintaining its Canadian data centers and provides electrician services to both commercial and residential customers in Quebec, Canada. Having completed its investments into Bitcoin mining in 2024 and 2025, the Company is now focused on converting as much of its existing energy and data center infrastructure to HPC and AI. The Company’s current initiatives include the construction and buildout of new HPC/AI data centers.</w:t>
      </w:r>
    </w:p>
    <w:p>
      <w:pPr>
        <w:spacing w:after="0" w:line="189" w:lineRule="exact"/>
        <w:rPr>
          <w:sz w:val="20"/>
          <w:szCs w:val="20"/>
          <w:color w:val="auto"/>
        </w:rPr>
      </w:pPr>
    </w:p>
    <w:p>
      <w:pPr>
        <w:jc w:val="both"/>
        <w:ind w:left="20" w:hanging="4"/>
        <w:spacing w:after="0" w:line="254" w:lineRule="auto"/>
        <w:rPr>
          <w:sz w:val="20"/>
          <w:szCs w:val="20"/>
          <w:color w:val="auto"/>
        </w:rPr>
      </w:pPr>
      <w:r>
        <w:rPr>
          <w:rFonts w:ascii="Times New Roman" w:cs="Times New Roman" w:eastAsia="Times New Roman" w:hAnsi="Times New Roman"/>
          <w:sz w:val="18"/>
          <w:szCs w:val="18"/>
          <w:color w:val="auto"/>
        </w:rPr>
        <w:t>Bitfarms primarily owns and operates data centers housing computers (referred to as “Miners”) designed for the purpose of validating transactions on the Bitcoin Blockchain (referred to as “Mining”). Bitfarms generally operates its Miners 24 hours per day to produce computational power used for hashing calculations (measured by hashrate) that Bitfarms sells to Mining pool operators under a formula-driven rate commonly known in the industry as Full Pay Per Share (“FPPS”). Under FPPS, Mining pool operators compensate Mining companies for their computational power used for hashing calculations, measured by hashrate, based on what the Mining pool operator would expect to generate in revenue for a given time period if there was no randomness involved. The fee paid by a Mining pool operator to Bitfarms for its computational power used for hashing calculations may be in cryptocurrency, U.S. dollars, or another currency. However, the fees are paid to the Company on a daily basis in BTC (as defined below). Bitfarms accumulates the cryptocurrency fees it receives or exchanges them for U.S. dollars through reputable and established cryptocurrency trading platforms.</w:t>
      </w:r>
    </w:p>
    <w:p>
      <w:pPr>
        <w:spacing w:after="0" w:line="192" w:lineRule="exact"/>
        <w:rPr>
          <w:sz w:val="20"/>
          <w:szCs w:val="20"/>
          <w:color w:val="auto"/>
        </w:rPr>
      </w:pPr>
    </w:p>
    <w:p>
      <w:pPr>
        <w:jc w:val="both"/>
        <w:ind w:left="20" w:hanging="4"/>
        <w:spacing w:after="0" w:line="258" w:lineRule="auto"/>
        <w:rPr>
          <w:sz w:val="20"/>
          <w:szCs w:val="20"/>
          <w:color w:val="auto"/>
        </w:rPr>
      </w:pPr>
      <w:r>
        <w:rPr>
          <w:rFonts w:ascii="Times New Roman" w:cs="Times New Roman" w:eastAsia="Times New Roman" w:hAnsi="Times New Roman"/>
          <w:sz w:val="18"/>
          <w:szCs w:val="18"/>
          <w:color w:val="auto"/>
        </w:rPr>
        <w:t>As described in Note 5, the Company acquired Stronghold Digital Mining, Inc. (“Stronghold”) on March 14, 2025 (the “Stronghold Transaction”). Through the acquisition of Stronghold, the Company now owns and operates two refuse power generation facilities in Pennsylvania, United States. To support its co-located data centers, the Company’s primary fuel source at these facilities is waste which is provided by various third parties. Waste tax credits are earned by the Company by utilizing refuse to generate electricity. The Company either consumes the energy internally to support computational activities related to hashing calculations or sells the energy it produces to the local energy supplier (the “Grid”).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10660"/>
        <w:spacing w:after="0"/>
        <w:rPr>
          <w:sz w:val="20"/>
          <w:szCs w:val="20"/>
          <w:color w:val="auto"/>
        </w:rPr>
      </w:pPr>
      <w:r>
        <w:rPr>
          <w:rFonts w:ascii="Times New Roman" w:cs="Times New Roman" w:eastAsia="Times New Roman" w:hAnsi="Times New Roman"/>
          <w:sz w:val="18"/>
          <w:szCs w:val="18"/>
          <w:color w:val="auto"/>
        </w:rPr>
        <w:t>7  Page</w:t>
      </w:r>
    </w:p>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NATURE OF OPERATIONS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Terms and definitions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these financial statements, the terms below have the following definitions: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Term</w:t>
            </w:r>
          </w:p>
        </w:tc>
        <w:tc>
          <w:tcPr>
            <w:tcW w:w="90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191"/>
        </w:trPr>
        <w:tc>
          <w:tcPr>
            <w:tcW w:w="3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1</w:t>
            </w:r>
          </w:p>
        </w:tc>
        <w:tc>
          <w:tcPr>
            <w:tcW w:w="184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Backbone</w:t>
            </w:r>
          </w:p>
        </w:tc>
        <w:tc>
          <w:tcPr>
            <w:tcW w:w="908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Backbone Hosting Solutions Inc.</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1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Volta</w:t>
            </w:r>
          </w:p>
        </w:tc>
        <w:tc>
          <w:tcPr>
            <w:tcW w:w="9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9159-9290 Quebec Inc.</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1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Backbone Argentina</w:t>
            </w:r>
          </w:p>
        </w:tc>
        <w:tc>
          <w:tcPr>
            <w:tcW w:w="9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Backbone Hosting Solutions SAU</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1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Backbone Paraguay</w:t>
            </w:r>
          </w:p>
        </w:tc>
        <w:tc>
          <w:tcPr>
            <w:tcW w:w="9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Backbone Hosting Solutions Paraguay SA</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1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Backbone Mining</w:t>
            </w:r>
          </w:p>
        </w:tc>
        <w:tc>
          <w:tcPr>
            <w:tcW w:w="9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Backbone Mining Solutions LLC</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1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Backbone Yguazu</w:t>
            </w:r>
          </w:p>
        </w:tc>
        <w:tc>
          <w:tcPr>
            <w:tcW w:w="9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Zunz SA</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1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BTC</w:t>
            </w:r>
          </w:p>
        </w:tc>
        <w:tc>
          <w:tcPr>
            <w:tcW w:w="9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Bitcoin</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1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BVVE</w:t>
            </w:r>
          </w:p>
        </w:tc>
        <w:tc>
          <w:tcPr>
            <w:tcW w:w="9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Blockchain Verification and Validation Equipment (primarily Miners and mining-related equipment)</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1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MW</w:t>
            </w:r>
          </w:p>
        </w:tc>
        <w:tc>
          <w:tcPr>
            <w:tcW w:w="9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Megawatt</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1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CAD</w:t>
            </w:r>
          </w:p>
        </w:tc>
        <w:tc>
          <w:tcPr>
            <w:tcW w:w="9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Canadian dollars</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1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USD</w:t>
            </w:r>
          </w:p>
        </w:tc>
        <w:tc>
          <w:tcPr>
            <w:tcW w:w="9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dollars</w:t>
            </w:r>
          </w:p>
        </w:tc>
      </w:tr>
      <w:tr>
        <w:trPr>
          <w:trHeight w:val="241"/>
        </w:trPr>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12</w:t>
            </w:r>
          </w:p>
        </w:tc>
        <w:tc>
          <w:tcPr>
            <w:tcW w:w="1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ARS</w:t>
            </w:r>
          </w:p>
        </w:tc>
        <w:tc>
          <w:tcPr>
            <w:tcW w:w="90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Argentine pesos</w:t>
            </w:r>
          </w:p>
        </w:tc>
      </w:tr>
    </w:tbl>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2: LIQUIDITY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Bitfarms’ primary source of revenues is Bitcoin Mining, a highly volatile industry subject to significant inherent risk. Declines in the market prices of cryptocurrencies, an increase in the difficulty of BTC mining, delays in the delivery of Mining equipment, changes in the regulatory environment and adverse changes in other inherent risks can significantly and negatively impact the Company’s operations and cash flows and its ability to maintain sufficient liquidity to meet its financial obligations. Adverse changes to the factors mentioned above can impact the recoverability of the Company’s digital assets and property, plant and equipment (“PPE”), resulting in impairment losses being recorded.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operating cash flows are negative as the proceeds from the BTC sold from its mining operations are classified within investing activities. However, the Company’s current operating budget and future estimated cash flows (which includes planned proceeds from the sale of digital assets) combined with cash on hand indicate that the Company will have sufficient cash resources to meet its obligations exclusive of planned capital commitments for the buildout and development of HPC/AI infrastructure projects, during the twelve-month period following the date these interim condensed consolidated financial statements were authorized for issuance (the “twelve-month period”). These analyses are based on BTC market factors including price, difficulty and network hashrate for the twelve-month period.</w:t>
      </w:r>
    </w:p>
    <w:p>
      <w:pPr>
        <w:spacing w:after="0" w:line="187" w:lineRule="exact"/>
        <w:rPr>
          <w:sz w:val="20"/>
          <w:szCs w:val="20"/>
          <w:color w:val="auto"/>
        </w:rPr>
      </w:pPr>
    </w:p>
    <w:p>
      <w:pPr>
        <w:jc w:val="both"/>
        <w:ind w:left="20" w:hanging="4"/>
        <w:spacing w:after="0" w:line="266" w:lineRule="auto"/>
        <w:rPr>
          <w:sz w:val="20"/>
          <w:szCs w:val="20"/>
          <w:color w:val="auto"/>
        </w:rPr>
      </w:pPr>
      <w:r>
        <w:rPr>
          <w:rFonts w:ascii="Times New Roman" w:cs="Times New Roman" w:eastAsia="Times New Roman" w:hAnsi="Times New Roman"/>
          <w:sz w:val="18"/>
          <w:szCs w:val="18"/>
          <w:color w:val="auto"/>
        </w:rPr>
        <w:t>At current BTC prices, the Company’s existing cash resources and the forecasted cash flows from proceeds from sales of its BTC treasury and BTC earned are anticipated not to be sufficient to fund planned capital investments for the buildout and development of HPC/AI infrastructure projects. The Company therefore expects to need to raise additional funds from external sources to finance these planned capital investments.</w:t>
      </w:r>
    </w:p>
    <w:p>
      <w:pPr>
        <w:spacing w:after="0" w:line="176" w:lineRule="exact"/>
        <w:rPr>
          <w:sz w:val="20"/>
          <w:szCs w:val="20"/>
          <w:color w:val="auto"/>
        </w:rPr>
      </w:pPr>
    </w:p>
    <w:p>
      <w:pPr>
        <w:jc w:val="both"/>
        <w:ind w:left="20" w:hanging="4"/>
        <w:spacing w:after="0" w:line="258" w:lineRule="auto"/>
        <w:rPr>
          <w:sz w:val="20"/>
          <w:szCs w:val="20"/>
          <w:color w:val="auto"/>
        </w:rPr>
      </w:pPr>
      <w:r>
        <w:rPr>
          <w:rFonts w:ascii="Times New Roman" w:cs="Times New Roman" w:eastAsia="Times New Roman" w:hAnsi="Times New Roman"/>
          <w:sz w:val="18"/>
          <w:szCs w:val="18"/>
          <w:color w:val="auto"/>
        </w:rPr>
        <w:t>In April 2025, the Company secured a credit facility for up to $300,000 with Macquarie Equipment Capital, Inc. (“Macquarie”), of which $50,000 was drawn and outstanding as of September 30, 2025. Refer to Note 18 for more details. During October 2025, the Company drew an additional $50,000 from the Macquarie credit facility and offered a $588,000 aggregate principal amount of convertible senior notes including purchaser’s options of $88,000. During November 2025, the Company entered into a purchase commitment of $128,700 for HPC/AI infrastructure projects with a large publicly traded American multinational provider of critical infrastructure and services for data centers. Refer to Note 29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10660"/>
        <w:spacing w:after="0"/>
        <w:rPr>
          <w:sz w:val="20"/>
          <w:szCs w:val="20"/>
          <w:color w:val="auto"/>
        </w:rPr>
      </w:pPr>
      <w:r>
        <w:rPr>
          <w:rFonts w:ascii="Times New Roman" w:cs="Times New Roman" w:eastAsia="Times New Roman" w:hAnsi="Times New Roman"/>
          <w:sz w:val="18"/>
          <w:szCs w:val="18"/>
          <w:color w:val="auto"/>
        </w:rPr>
        <w:t>8  Page</w:t>
      </w:r>
    </w:p>
    <w:p>
      <w:pPr>
        <w:sectPr>
          <w:pgSz w:w="11900" w:h="16838" w:orient="portrait"/>
          <w:cols w:equalWidth="0" w:num="1">
            <w:col w:w="11240"/>
          </w:cols>
          <w:pgMar w:left="320" w:top="90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NOTE 2: LIQUIDITY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Company raises additional funds by issuing securities, existing shareholders’ ownership in the Company may be diluted. If the Company is unable to obtain financing, including from the issuance of securities, or if funds from operations are negatively impacted, or if the Company is in breach of its covenants, the Company may have difficulty meeting its payment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BASIS OF PRESENTATION AND MATERIAL ACCOUNTING POLICY INFORMATION</w:t>
      </w:r>
    </w:p>
    <w:p>
      <w:pPr>
        <w:spacing w:after="0" w:line="225" w:lineRule="exact"/>
        <w:rPr>
          <w:sz w:val="20"/>
          <w:szCs w:val="20"/>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 and measurement</w:t>
      </w:r>
    </w:p>
    <w:p>
      <w:pPr>
        <w:spacing w:after="0" w:line="229" w:lineRule="exact"/>
        <w:rPr>
          <w:sz w:val="20"/>
          <w:szCs w:val="20"/>
          <w:color w:val="auto"/>
        </w:rPr>
      </w:pPr>
    </w:p>
    <w:p>
      <w:pPr>
        <w:jc w:val="both"/>
        <w:ind w:left="20" w:hanging="4"/>
        <w:spacing w:after="0" w:line="258" w:lineRule="auto"/>
        <w:rPr>
          <w:sz w:val="20"/>
          <w:szCs w:val="20"/>
          <w:color w:val="auto"/>
        </w:rPr>
      </w:pPr>
      <w:r>
        <w:rPr>
          <w:rFonts w:ascii="Times New Roman" w:cs="Times New Roman" w:eastAsia="Times New Roman" w:hAnsi="Times New Roman"/>
          <w:sz w:val="18"/>
          <w:szCs w:val="18"/>
          <w:color w:val="auto"/>
        </w:rPr>
        <w:t xml:space="preserve">The interim condensed consolidated financial statements (“Financial Statements”) of the Company comprise the accounts of Bitfarms Ltd. and its wholly-owned subsidiaries. These Financial Statements have been prepared in accordance with International Financial Reporting Standards as issued by the International Accounting Standards Board (“IFRS Accounting Standards”) applicable to the preparation of interim financial statements, including International Accounting Standard 34, </w:t>
      </w:r>
      <w:r>
        <w:rPr>
          <w:rFonts w:ascii="Times New Roman" w:cs="Times New Roman" w:eastAsia="Times New Roman" w:hAnsi="Times New Roman"/>
          <w:sz w:val="18"/>
          <w:szCs w:val="18"/>
          <w:i w:val="1"/>
          <w:iCs w:val="1"/>
          <w:color w:val="auto"/>
        </w:rPr>
        <w:t>Interim Financial Reporting</w:t>
      </w:r>
      <w:r>
        <w:rPr>
          <w:rFonts w:ascii="Times New Roman" w:cs="Times New Roman" w:eastAsia="Times New Roman" w:hAnsi="Times New Roman"/>
          <w:sz w:val="18"/>
          <w:szCs w:val="18"/>
          <w:color w:val="auto"/>
        </w:rPr>
        <w:t>. These Financial Statements were approved by the Board of Directors (the “Board”) on November 12, 2025.</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Financial Statements do not include all the information required for full annual financial statements and should be read in conjunction with the audited annual consolidated financial statements of the Company and the notes thereto for the year ended December 31,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Financial Statements have been prepared on the historical cost basis, except for the revaluation of certain financial instruments and digital assets recorded at fair value, and assets held for sale measured at the lower of their carrying amount and fair value less costs to sell.</w:t>
      </w:r>
    </w:p>
    <w:p>
      <w:pPr>
        <w:spacing w:after="0" w:line="162" w:lineRule="exact"/>
        <w:rPr>
          <w:sz w:val="20"/>
          <w:szCs w:val="20"/>
          <w:color w:val="auto"/>
        </w:rPr>
      </w:pPr>
    </w:p>
    <w:p>
      <w:pPr>
        <w:jc w:val="both"/>
        <w:ind w:hanging="4"/>
        <w:spacing w:after="0" w:line="261" w:lineRule="auto"/>
        <w:rPr>
          <w:sz w:val="20"/>
          <w:szCs w:val="20"/>
          <w:color w:val="auto"/>
        </w:rPr>
      </w:pPr>
      <w:r>
        <w:rPr>
          <w:rFonts w:ascii="Times New Roman" w:cs="Times New Roman" w:eastAsia="Times New Roman" w:hAnsi="Times New Roman"/>
          <w:sz w:val="18"/>
          <w:szCs w:val="18"/>
          <w:color w:val="auto"/>
        </w:rPr>
        <w:t>These Financial Statements have been prepared under the same accounting policies used in the audited annual consolidated financial statements for the year ended December 31, 2024, except for material new accounting policies added during the three and nine months ended September 30, 2025, and new accounting standards issued and adopted by the Company which are described below. The accounting policies have been applied consistently by the Company’s entities and to all periods presented in these Financial Statements, unless otherwise indicated.</w:t>
      </w:r>
    </w:p>
    <w:p>
      <w:pPr>
        <w:spacing w:after="0" w:line="176"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new accounting policy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Business combinations are accounted for using the acquisition method. The cost of an acquisition is measured as the aggregate of the consideration transferred, which is measured at acquisition date at fair value, and the amount of any non-controlling interests in the acquiree. Acquisition-related costs are expensed as incurred and included in general and administrative expenses.</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determines that it has acquired a business when the acquired set of activities and assets include an input and a substantive process that together significantly contribute to the ability to create outputs.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ind w:left="10660"/>
        <w:spacing w:after="0"/>
        <w:rPr>
          <w:sz w:val="20"/>
          <w:szCs w:val="20"/>
          <w:color w:val="auto"/>
        </w:rPr>
      </w:pPr>
      <w:r>
        <w:rPr>
          <w:rFonts w:ascii="Times New Roman" w:cs="Times New Roman" w:eastAsia="Times New Roman" w:hAnsi="Times New Roman"/>
          <w:sz w:val="18"/>
          <w:szCs w:val="18"/>
          <w:color w:val="auto"/>
        </w:rPr>
        <w:t>9  Page</w:t>
      </w:r>
    </w:p>
    <w:p>
      <w:pPr>
        <w:sectPr>
          <w:pgSz w:w="11900" w:h="16838" w:orient="portrait"/>
          <w:cols w:equalWidth="0" w:num="1">
            <w:col w:w="11240"/>
          </w:cols>
          <w:pgMar w:left="320" w:top="9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BASIS OF PRESENTATION AND MATERIAL ACCOUNTING POLICY INFORMATION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Material new accounting policy information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costs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Transaction costs related to financial liabilities at amortized cost are deducted from the carrying value of the financial liability. They are then recognized over the expected life of the instrument using the effective interest method. Transaction costs include fees and commissions paid to agents, advisers, brokers and dealers; levies by regulatory agencies and securities exchanges; and transfer taxes and duties. Transaction costs do not include debt premiums or discounts, financing costs, internal administrative costs or holding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 and equity warrants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issues warrants which entitle the holder to buy the Company’s common shares at a predetermined exercise price within a certain time frame. The warrants may include a cashless exercise clause which would result in a variable number of shares being issued for a fixed price due to the unknown future price of the shares. The Company does not expect the warrants to be exercised on a cashless basis. Referred to as warrant liability, the Company records these warrants as a financial liability. Upon exercise, the Company records the exercised warrants at fair value immediately before settlement and records the gain or loss through the consolidated statements of profit or loss and comprehensive profit or loss. The Company subsequently measures the outstanding warrants at fair value at each reporting date and records the gain or loss through the consolidated statements of profit or loss and comprehensive profit or loss. Warrants issued which do not include a cashless exercise feature, referred to as equity warrants, are classified as equity instruments. Consideration received on the sale of a share and share purchase warrant is allocated using the fair value method.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Cryptocurrency Hosting Revenue</w:t>
      </w:r>
    </w:p>
    <w:p>
      <w:pPr>
        <w:spacing w:after="0" w:line="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has entered hosting contracts where it operates mining equipment on behalf of third parties within its facilities. Revenue from hosting contracts is measured as the Company meets its obligation of operating the hosted equipment over time.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 Revenue</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operates as a market participant through the Pennsylvania, New Jersey, Maryland Interconnection (“PJM”), a Regional Transmission Organization (“RTO”) that coordinates the movement of wholesale electricity. The Company sells energy from its Panther Creek and Scrubgrass generating plants in the open market in the PJM RTO in the real-time, location marginal pricing market. Revenues from the sale of energy are earned as the energy is delivered as a series of distinct units that are substantially the same and have the same pattern of transfer to the customer over time and are, therefore, accounted for as a distinct performance obligation. Revenue from the sale of energy is recognized over time as energy volumes are generated and delivered to the RTO (which is contemporaneous with generation), using the output method based on megawatt hours for measuring progress. The Company applies the “right to invoice” practical expedient in recognizing revenue from the sale of energy. Under this practical expedient, revenue from the sale of energy is recognized based on the invoiced amount which corresponds directly with the value provided to the customer for the Company’s performance obligation completed to date.</w:t>
      </w:r>
    </w:p>
    <w:p>
      <w:pPr>
        <w:spacing w:after="0" w:line="1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Reactive energy power is provided to PJM to maintain a continuous voltage level. Revenue from reactive power is recognized ratably over time as the Company stands ready to provide it if called upon by the PJM 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10  Page</w:t>
      </w:r>
    </w:p>
    <w:p>
      <w:pPr>
        <w:sectPr>
          <w:pgSz w:w="11900" w:h="16838" w:orient="portrait"/>
          <w:cols w:equalWidth="0" w:num="1">
            <w:col w:w="11240"/>
          </w:cols>
          <w:pgMar w:left="320" w:top="90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BASIS OF PRESENTATION AND MATERIAL ACCOUNTING POLICY INFORMATION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Material new accounting policy information </w:t>
      </w:r>
      <w:r>
        <w:rPr>
          <w:rFonts w:ascii="Times New Roman" w:cs="Times New Roman" w:eastAsia="Times New Roman" w:hAnsi="Times New Roman"/>
          <w:sz w:val="18"/>
          <w:szCs w:val="18"/>
          <w:color w:val="auto"/>
        </w:rPr>
        <w:t>(Continued)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are depreciated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 Class</w:t>
            </w:r>
          </w:p>
        </w:tc>
        <w:tc>
          <w:tcPr>
            <w:tcW w:w="31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Depreciation Method</w:t>
            </w:r>
          </w:p>
        </w:tc>
        <w:tc>
          <w:tcPr>
            <w:tcW w:w="518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Depreciation period</w:t>
            </w:r>
          </w:p>
        </w:tc>
      </w:tr>
      <w:tr>
        <w:trPr>
          <w:trHeight w:val="209"/>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BVVE</w:t>
            </w:r>
          </w:p>
        </w:tc>
        <w:tc>
          <w:tcPr>
            <w:tcW w:w="318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6"/>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Miners</w:t>
            </w:r>
          </w:p>
        </w:tc>
        <w:tc>
          <w:tcPr>
            <w:tcW w:w="31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Straight-line</w:t>
            </w:r>
          </w:p>
        </w:tc>
        <w:tc>
          <w:tcPr>
            <w:tcW w:w="5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Mining-related equipment</w:t>
            </w:r>
          </w:p>
        </w:tc>
        <w:tc>
          <w:tcPr>
            <w:tcW w:w="31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Straight-line</w:t>
            </w:r>
          </w:p>
        </w:tc>
        <w:tc>
          <w:tcPr>
            <w:tcW w:w="51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5 years</w:t>
            </w:r>
          </w:p>
        </w:tc>
      </w:tr>
      <w:tr>
        <w:trPr>
          <w:trHeight w:val="198"/>
        </w:trPr>
        <w:tc>
          <w:tcPr>
            <w:tcW w:w="2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Leasehold improvements</w:t>
            </w:r>
          </w:p>
        </w:tc>
        <w:tc>
          <w:tcPr>
            <w:tcW w:w="3180" w:type="dxa"/>
            <w:vAlign w:val="bottom"/>
            <w:shd w:val="clear" w:color="auto" w:fill="CCEEFF"/>
          </w:tcPr>
          <w:p>
            <w:pPr>
              <w:ind w:left="840"/>
              <w:spacing w:after="0" w:line="198" w:lineRule="exact"/>
              <w:rPr>
                <w:sz w:val="20"/>
                <w:szCs w:val="20"/>
                <w:color w:val="auto"/>
              </w:rPr>
            </w:pPr>
            <w:r>
              <w:rPr>
                <w:rFonts w:ascii="Times New Roman" w:cs="Times New Roman" w:eastAsia="Times New Roman" w:hAnsi="Times New Roman"/>
                <w:sz w:val="18"/>
                <w:szCs w:val="18"/>
                <w:color w:val="auto"/>
              </w:rPr>
              <w:t>Straight-line</w:t>
            </w:r>
          </w:p>
        </w:tc>
        <w:tc>
          <w:tcPr>
            <w:tcW w:w="5180" w:type="dxa"/>
            <w:vAlign w:val="bottom"/>
            <w:shd w:val="clear" w:color="auto" w:fill="CCEEFF"/>
          </w:tcPr>
          <w:p>
            <w:pPr>
              <w:ind w:left="700"/>
              <w:spacing w:after="0" w:line="198" w:lineRule="exact"/>
              <w:rPr>
                <w:sz w:val="20"/>
                <w:szCs w:val="20"/>
                <w:color w:val="auto"/>
              </w:rPr>
            </w:pPr>
            <w:r>
              <w:rPr>
                <w:rFonts w:ascii="Times New Roman" w:cs="Times New Roman" w:eastAsia="Times New Roman" w:hAnsi="Times New Roman"/>
                <w:sz w:val="18"/>
                <w:szCs w:val="18"/>
                <w:color w:val="auto"/>
              </w:rPr>
              <w:t>Shorter of the lease term and the expected life of the</w:t>
            </w:r>
          </w:p>
        </w:tc>
      </w:tr>
      <w:tr>
        <w:trPr>
          <w:trHeight w:val="234"/>
        </w:trPr>
        <w:tc>
          <w:tcPr>
            <w:tcW w:w="2880" w:type="dxa"/>
            <w:vAlign w:val="bottom"/>
            <w:shd w:val="clear" w:color="auto" w:fill="CCEEFF"/>
          </w:tcPr>
          <w:p>
            <w:pPr>
              <w:spacing w:after="0"/>
              <w:rPr>
                <w:sz w:val="20"/>
                <w:szCs w:val="20"/>
                <w:color w:val="auto"/>
              </w:rPr>
            </w:pPr>
          </w:p>
        </w:tc>
        <w:tc>
          <w:tcPr>
            <w:tcW w:w="3180" w:type="dxa"/>
            <w:vAlign w:val="bottom"/>
            <w:shd w:val="clear" w:color="auto" w:fill="CCEEFF"/>
          </w:tcPr>
          <w:p>
            <w:pPr>
              <w:spacing w:after="0"/>
              <w:rPr>
                <w:sz w:val="20"/>
                <w:szCs w:val="20"/>
                <w:color w:val="auto"/>
              </w:rPr>
            </w:pPr>
          </w:p>
        </w:tc>
        <w:tc>
          <w:tcPr>
            <w:tcW w:w="5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improvement</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31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Straight-line</w:t>
            </w:r>
          </w:p>
        </w:tc>
        <w:tc>
          <w:tcPr>
            <w:tcW w:w="51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5 to 20 years</w:t>
            </w: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retirement cost</w:t>
            </w:r>
          </w:p>
        </w:tc>
        <w:tc>
          <w:tcPr>
            <w:tcW w:w="31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Straight-line</w:t>
            </w:r>
          </w:p>
        </w:tc>
        <w:tc>
          <w:tcPr>
            <w:tcW w:w="5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Over the lease term or 10 to 30 years</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31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Declining balance</w:t>
            </w:r>
          </w:p>
        </w:tc>
        <w:tc>
          <w:tcPr>
            <w:tcW w:w="51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 plants</w:t>
            </w:r>
          </w:p>
        </w:tc>
        <w:tc>
          <w:tcPr>
            <w:tcW w:w="31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Declining balance</w:t>
            </w:r>
          </w:p>
        </w:tc>
        <w:tc>
          <w:tcPr>
            <w:tcW w:w="5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Vehicles</w:t>
            </w:r>
          </w:p>
        </w:tc>
        <w:tc>
          <w:tcPr>
            <w:tcW w:w="31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Declining balance</w:t>
            </w:r>
          </w:p>
        </w:tc>
        <w:tc>
          <w:tcPr>
            <w:tcW w:w="51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30%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Right-of-use (“ROU”) assets are depreciated over the shorter of the lease term and the estimated useful lives of the assets,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 Class</w:t>
            </w:r>
          </w:p>
        </w:tc>
        <w:tc>
          <w:tcPr>
            <w:tcW w:w="32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Depreciation Method</w:t>
            </w:r>
          </w:p>
        </w:tc>
        <w:tc>
          <w:tcPr>
            <w:tcW w:w="51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Depreciation period</w:t>
            </w:r>
          </w:p>
        </w:tc>
      </w:tr>
      <w:tr>
        <w:trPr>
          <w:trHeight w:val="237"/>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 premises</w:t>
            </w:r>
          </w:p>
        </w:tc>
        <w:tc>
          <w:tcPr>
            <w:tcW w:w="32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Straight-line</w:t>
            </w:r>
          </w:p>
        </w:tc>
        <w:tc>
          <w:tcPr>
            <w:tcW w:w="5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4-10 years</w:t>
            </w:r>
          </w:p>
        </w:tc>
      </w:tr>
      <w:tr>
        <w:trPr>
          <w:trHeight w:val="243"/>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32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Straight-line</w:t>
            </w:r>
          </w:p>
        </w:tc>
        <w:tc>
          <w:tcPr>
            <w:tcW w:w="51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3-4 years</w:t>
            </w:r>
          </w:p>
        </w:tc>
      </w:tr>
      <w:tr>
        <w:trPr>
          <w:trHeight w:val="243"/>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 and other</w:t>
            </w:r>
          </w:p>
        </w:tc>
        <w:tc>
          <w:tcPr>
            <w:tcW w:w="32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Straight-line</w:t>
            </w:r>
          </w:p>
        </w:tc>
        <w:tc>
          <w:tcPr>
            <w:tcW w:w="5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3-5 years</w:t>
            </w:r>
          </w:p>
        </w:tc>
      </w:tr>
      <w:tr>
        <w:trPr>
          <w:trHeight w:val="243"/>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BVVE</w:t>
            </w:r>
          </w:p>
        </w:tc>
        <w:tc>
          <w:tcPr>
            <w:tcW w:w="32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Straight-line</w:t>
            </w:r>
          </w:p>
        </w:tc>
        <w:tc>
          <w:tcPr>
            <w:tcW w:w="51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3 years</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BTC Redemption Options and redemption obligation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redemption obligation is recorded for the remaining BTC Redemption Options for which Miners have been shipped, reflecting the Company’s obligation to either redeem the BTC Pledged for cash or use the BTC Pledged for the purchase of the Miners. The redemption obligation amount represents the value of Miners shipped, for which BTC payments were made, and reduced by the value of the BTC redeemed. Refer to Note 8 and 10 for more details.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Associates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Associates are all entities over which the Company has significant influence but not control or joint control. Investments in associates are accounted for using the equity method of accounting. Under the equity method, the Company recognizes its share of profit and loss and other comprehensive income (loss) of the associates. Dividends received or receivable from associates are recognized as a reduction in the carrying amount of the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0580"/>
        <w:spacing w:after="0"/>
        <w:rPr>
          <w:sz w:val="20"/>
          <w:szCs w:val="20"/>
          <w:color w:val="auto"/>
        </w:rPr>
      </w:pPr>
      <w:r>
        <w:rPr>
          <w:rFonts w:ascii="Times New Roman" w:cs="Times New Roman" w:eastAsia="Times New Roman" w:hAnsi="Times New Roman"/>
          <w:sz w:val="18"/>
          <w:szCs w:val="18"/>
          <w:color w:val="auto"/>
        </w:rPr>
        <w:t>11  Page</w:t>
      </w:r>
    </w:p>
    <w:p>
      <w:pPr>
        <w:sectPr>
          <w:pgSz w:w="11900" w:h="16838" w:orient="portrait"/>
          <w:cols w:equalWidth="0" w:num="1">
            <w:col w:w="11240"/>
          </w:cols>
          <w:pgMar w:left="320" w:top="9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BASIS OF PRESENTATION AND MATERIAL ACCOUNTING POLICY INFORMATION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Material new accounting policy information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to Renewable Energy Credits and Waste Tax Credits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Company uses refuse, which is classified as a Tier II Alternative Energy Source under Pennsylvania law, to produce energy to sell to the Grid. Renewable energy credits (“RECs”) are generated from renewable sources (i.e., refuse) that can be sold or traded. Government grants related to waste tax credits (“WTCs”) are issued by the Commonwealth of Pennsylvania. Facilities that generate electricity by using refuse for power generation, control acid gases for emission control, and use the ash produced to reclaim mining-affected sites are eligible for such credits. The rights to RECs and WTCs are accounted for as intangible assets as per IAS 38,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xml:space="preserve"> Simultaneously, in accordance with IAS 20, </w:t>
      </w:r>
      <w:r>
        <w:rPr>
          <w:rFonts w:ascii="Times New Roman" w:cs="Times New Roman" w:eastAsia="Times New Roman" w:hAnsi="Times New Roman"/>
          <w:sz w:val="18"/>
          <w:szCs w:val="18"/>
          <w:i w:val="1"/>
          <w:iCs w:val="1"/>
          <w:color w:val="auto"/>
        </w:rPr>
        <w:t>Accounting for Government Grants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 of Government Assistance, </w:t>
      </w:r>
      <w:r>
        <w:rPr>
          <w:rFonts w:ascii="Times New Roman" w:cs="Times New Roman" w:eastAsia="Times New Roman" w:hAnsi="Times New Roman"/>
          <w:sz w:val="18"/>
          <w:szCs w:val="18"/>
          <w:color w:val="auto"/>
        </w:rPr>
        <w:t>a corresponding contra expense within cost of revenues is recorded to offset the fuel expenses (energy cost) incurred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produce energy.</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the government grants the RECs and WTCs, a third party acts as the benefactor, on behalf of the Company, in the open market and is invoiced as RECs and WTCs are sold. When these credits are sold, the corresponding asset for the rights to RECs and WTCs are credited. Gain or loss on disposal are recorded in the statements of profit and loss and other comprehensive income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discontinued operation is a component of an entity that has either been abandoned, sold or is classified as held for sale and represents: i) a distinct major business line or operational region, ii) is part of a coordinated plan to sell a distinct major business line or operational region, or iii) is a subsidiary acquired solely for resale.</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Discontinued operations are excluded from the results of continuing operations and are presented as a single amount as profit or loss after tax from discontinued operations in the consolidated statements of profit and loss and other comprehensive income (loss). Cash flows from discontinued operations are included in the consolidated statement of cash flows and are disclosed separately in Note 22.</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an operation is classified as a discontinued operation, the comparative consolidated statements of profit and loss and other comprehensive income (loss) are re-presented as if the operation had been discontinued from the beginning of the comparative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12  Page</w:t>
      </w:r>
    </w:p>
    <w:p>
      <w:pPr>
        <w:sectPr>
          <w:pgSz w:w="11900" w:h="16838" w:orient="portrait"/>
          <w:cols w:equalWidth="0" w:num="1">
            <w:col w:w="11240"/>
          </w:cols>
          <w:pgMar w:left="320" w:top="90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NOTE 3: BASIS OF PRESENTATION AND MATERIAL ACCOUNTING POLICY INFORMATION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Material new accounting policy information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 Units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grants Performance Share Units (“PSUs”) to senior management as part of its long-term incentive plan. PSUs entitle participants to receive a specified number of common shares of the Company, subject to the achievement of predetermined performance and service conditions over a defined vesting period.</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PSUs vest in a single tranche at the end of the performance cycle, contingent upon the attainment of certain corporate performance objectives. Upon vesting, each PSU converts into one common share of the Company, subject to a multiplier based on the level of achievement of the performance objectives. The actual number of shares awarded may be 0%, 50%, 100% or 200% of the target award.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PSUs is determined at the grant date using a Monte Carlo simulation model, which incorporates the probability of achieving market-based performance conditions. The grant date fair value is recognized as share-based payment expense over the vesting period, with a corresponding increase in contributed surplus. Market conditions shall be taken into account when estimating the fair value of the equity instruments at the grant date and shall not be subsequently remeasured. The expense is adjusted, when applicable, to reflect the number of awards expected to vest based on non-market performance and service conditions.</w:t>
      </w:r>
    </w:p>
    <w:p>
      <w:pPr>
        <w:spacing w:after="0" w:line="179"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amendments issued and adopted by the Company</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The following amendments to existing standards were adopted with no impact to the Company for its annual period beginning on January 1, 2025:</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Amendments to IAS 21, </w:t>
      </w:r>
      <w:r>
        <w:rPr>
          <w:rFonts w:ascii="Times New Roman" w:cs="Times New Roman" w:eastAsia="Times New Roman" w:hAnsi="Times New Roman"/>
          <w:sz w:val="18"/>
          <w:szCs w:val="18"/>
          <w:b w:val="1"/>
          <w:bCs w:val="1"/>
          <w:i w:val="1"/>
          <w:iCs w:val="1"/>
          <w:color w:val="auto"/>
        </w:rPr>
        <w:t>The Effects of Changes in Foreign Exchange Rates</w:t>
      </w:r>
      <w:r>
        <w:rPr>
          <w:rFonts w:ascii="Times New Roman" w:cs="Times New Roman" w:eastAsia="Times New Roman" w:hAnsi="Times New Roman"/>
          <w:sz w:val="18"/>
          <w:szCs w:val="18"/>
          <w:b w:val="1"/>
          <w:bCs w:val="1"/>
          <w:color w:val="auto"/>
        </w:rPr>
        <w:t xml:space="preserve"> (“IAS 21”)</w:t>
      </w:r>
    </w:p>
    <w:p>
      <w:pPr>
        <w:spacing w:after="0" w:line="31" w:lineRule="exact"/>
        <w:rPr>
          <w:sz w:val="20"/>
          <w:szCs w:val="20"/>
          <w:color w:val="auto"/>
        </w:rPr>
      </w:pPr>
    </w:p>
    <w:p>
      <w:pPr>
        <w:ind w:left="20" w:hanging="4"/>
        <w:spacing w:after="0" w:line="260" w:lineRule="auto"/>
        <w:rPr>
          <w:sz w:val="20"/>
          <w:szCs w:val="20"/>
          <w:color w:val="auto"/>
        </w:rPr>
      </w:pPr>
      <w:r>
        <w:rPr>
          <w:rFonts w:ascii="Times New Roman" w:cs="Times New Roman" w:eastAsia="Times New Roman" w:hAnsi="Times New Roman"/>
          <w:sz w:val="18"/>
          <w:szCs w:val="18"/>
          <w:color w:val="auto"/>
        </w:rPr>
        <w:t>Amendments to IAS 21 require an entity to apply a consistent approach in assessing whether a currency can be exchanged into another currency and, when it cannot, in determining the exchange rate to use and the disclosures to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13  Page</w:t>
      </w:r>
    </w:p>
    <w:p>
      <w:pPr>
        <w:sectPr>
          <w:pgSz w:w="11900" w:h="16838" w:orient="portrait"/>
          <w:cols w:equalWidth="0" w:num="1">
            <w:col w:w="11240"/>
          </w:cols>
          <w:pgMar w:left="320" w:top="90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NOTE 3: BASIS OF PRESENTATION AND MATERIAL ACCOUNTING POLICY INFORMATION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amendments and standards issued to be adopted at a later date</w:t>
      </w:r>
    </w:p>
    <w:p>
      <w:pPr>
        <w:spacing w:after="0" w:line="227" w:lineRule="exact"/>
        <w:rPr>
          <w:sz w:val="20"/>
          <w:szCs w:val="20"/>
          <w:color w:val="auto"/>
        </w:rPr>
      </w:pPr>
    </w:p>
    <w:p>
      <w:pPr>
        <w:jc w:val="both"/>
        <w:ind w:left="20" w:hanging="4"/>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amendments to existing standards have been issued and are applicable to the Company for its annual period beginning on January 1, 2026, with an earlier application permitted:</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Amendments to IFRS 9, </w:t>
      </w:r>
      <w:r>
        <w:rPr>
          <w:rFonts w:ascii="Times New Roman" w:cs="Times New Roman" w:eastAsia="Times New Roman" w:hAnsi="Times New Roman"/>
          <w:sz w:val="18"/>
          <w:szCs w:val="18"/>
          <w:b w:val="1"/>
          <w:bCs w:val="1"/>
          <w:i w:val="1"/>
          <w:iCs w:val="1"/>
          <w:color w:val="auto"/>
        </w:rPr>
        <w:t>Financial Instruments</w:t>
      </w:r>
      <w:r>
        <w:rPr>
          <w:rFonts w:ascii="Times New Roman" w:cs="Times New Roman" w:eastAsia="Times New Roman" w:hAnsi="Times New Roman"/>
          <w:sz w:val="18"/>
          <w:szCs w:val="18"/>
          <w:b w:val="1"/>
          <w:bCs w:val="1"/>
          <w:color w:val="auto"/>
        </w:rPr>
        <w:t xml:space="preserve"> (“IFRS 9”) and IFRS 7, </w:t>
      </w:r>
      <w:r>
        <w:rPr>
          <w:rFonts w:ascii="Times New Roman" w:cs="Times New Roman" w:eastAsia="Times New Roman" w:hAnsi="Times New Roman"/>
          <w:sz w:val="18"/>
          <w:szCs w:val="18"/>
          <w:b w:val="1"/>
          <w:bCs w:val="1"/>
          <w:i w:val="1"/>
          <w:iCs w:val="1"/>
          <w:color w:val="auto"/>
        </w:rPr>
        <w:t>Financial Instruments: Disclosures</w:t>
      </w:r>
      <w:r>
        <w:rPr>
          <w:rFonts w:ascii="Times New Roman" w:cs="Times New Roman" w:eastAsia="Times New Roman" w:hAnsi="Times New Roman"/>
          <w:sz w:val="18"/>
          <w:szCs w:val="18"/>
          <w:b w:val="1"/>
          <w:bCs w:val="1"/>
          <w:color w:val="auto"/>
        </w:rPr>
        <w:t xml:space="preserve"> (“IFRS 7)</w:t>
      </w:r>
    </w:p>
    <w:p>
      <w:pPr>
        <w:spacing w:after="0" w:line="31" w:lineRule="exact"/>
        <w:rPr>
          <w:sz w:val="20"/>
          <w:szCs w:val="20"/>
          <w:color w:val="auto"/>
        </w:rPr>
      </w:pPr>
    </w:p>
    <w:p>
      <w:pPr>
        <w:jc w:val="both"/>
        <w:ind w:left="20" w:hanging="4"/>
        <w:spacing w:after="0" w:line="255" w:lineRule="auto"/>
        <w:rPr>
          <w:sz w:val="20"/>
          <w:szCs w:val="20"/>
          <w:color w:val="auto"/>
        </w:rPr>
      </w:pPr>
      <w:r>
        <w:rPr>
          <w:rFonts w:ascii="Times New Roman" w:cs="Times New Roman" w:eastAsia="Times New Roman" w:hAnsi="Times New Roman"/>
          <w:sz w:val="18"/>
          <w:szCs w:val="18"/>
          <w:color w:val="auto"/>
        </w:rPr>
        <w:t>Amendments to IFRS 9 and IFRS 7 clarify that financial assets and financial liabilities are recognized and derecognized at settlement date except for regular way purchases or sales of financial assets and financial liabilities meeting conditions for the new exception. The new exception permits companies to elect to derecognize certain financial liabilities settled via electronic payment systems earlier than the settlement date.</w:t>
      </w:r>
    </w:p>
    <w:p>
      <w:pPr>
        <w:spacing w:after="0" w:line="186" w:lineRule="exact"/>
        <w:rPr>
          <w:sz w:val="20"/>
          <w:szCs w:val="20"/>
          <w:color w:val="auto"/>
        </w:rPr>
      </w:pPr>
    </w:p>
    <w:p>
      <w:pPr>
        <w:jc w:val="both"/>
        <w:ind w:left="20" w:hanging="4"/>
        <w:spacing w:after="0" w:line="282" w:lineRule="auto"/>
        <w:rPr>
          <w:sz w:val="20"/>
          <w:szCs w:val="20"/>
          <w:color w:val="auto"/>
        </w:rPr>
      </w:pPr>
      <w:r>
        <w:rPr>
          <w:rFonts w:ascii="Times New Roman" w:cs="Times New Roman" w:eastAsia="Times New Roman" w:hAnsi="Times New Roman"/>
          <w:sz w:val="18"/>
          <w:szCs w:val="18"/>
          <w:color w:val="auto"/>
        </w:rPr>
        <w:t>These amendments also provide guidelines to assess contractual cash flow characteristics of financial assets, which apply to all contingent cash flows, including those arising from environmental, social, and governance (ESG)-linked features.</w:t>
      </w:r>
    </w:p>
    <w:p>
      <w:pPr>
        <w:spacing w:after="0" w:line="162" w:lineRule="exact"/>
        <w:rPr>
          <w:sz w:val="20"/>
          <w:szCs w:val="20"/>
          <w:color w:val="auto"/>
        </w:rPr>
      </w:pPr>
    </w:p>
    <w:p>
      <w:pPr>
        <w:jc w:val="both"/>
        <w:ind w:left="20" w:hanging="4"/>
        <w:spacing w:after="0" w:line="261" w:lineRule="auto"/>
        <w:rPr>
          <w:sz w:val="20"/>
          <w:szCs w:val="20"/>
          <w:color w:val="auto"/>
        </w:rPr>
      </w:pPr>
      <w:r>
        <w:rPr>
          <w:rFonts w:ascii="Times New Roman" w:cs="Times New Roman" w:eastAsia="Times New Roman" w:hAnsi="Times New Roman"/>
          <w:sz w:val="18"/>
          <w:szCs w:val="18"/>
          <w:color w:val="auto"/>
        </w:rPr>
        <w:t>In addition, the amendments for investments in equity instruments reported at fair value through other comprehensive income require separately disclosing the fair value gain or loss for investments derecognized in the period and investments held. The amendments added disclosure requirements for financial instruments with contingent features that could change the timing or amount of contractual cash flows that do not relate directly to basic lending risks and costs.</w:t>
      </w:r>
    </w:p>
    <w:p>
      <w:pPr>
        <w:spacing w:after="0" w:line="180" w:lineRule="exact"/>
        <w:rPr>
          <w:sz w:val="20"/>
          <w:szCs w:val="20"/>
          <w:color w:val="auto"/>
        </w:rPr>
      </w:pPr>
    </w:p>
    <w:p>
      <w:pPr>
        <w:jc w:val="both"/>
        <w:ind w:left="20" w:hanging="4"/>
        <w:spacing w:after="0" w:line="282" w:lineRule="auto"/>
        <w:rPr>
          <w:sz w:val="20"/>
          <w:szCs w:val="20"/>
          <w:color w:val="auto"/>
        </w:rPr>
      </w:pPr>
      <w:r>
        <w:rPr>
          <w:rFonts w:ascii="Times New Roman" w:cs="Times New Roman" w:eastAsia="Times New Roman" w:hAnsi="Times New Roman"/>
          <w:sz w:val="18"/>
          <w:szCs w:val="18"/>
          <w:color w:val="auto"/>
        </w:rPr>
        <w:t>Furthermore, the amendments to IFRS 9 clarify: i) the requirements to account for an extinguishment of a lessee’s lease liability that results in a gain or loss recognized in net income; and ii) the definition of the term “transaction price”.</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Company is currently evaluating the impact of adopting the amendments on the Company’s Financial Statements.</w:t>
      </w:r>
    </w:p>
    <w:p>
      <w:pPr>
        <w:spacing w:after="0" w:line="223" w:lineRule="exact"/>
        <w:rPr>
          <w:sz w:val="20"/>
          <w:szCs w:val="20"/>
          <w:color w:val="auto"/>
        </w:rPr>
      </w:pPr>
    </w:p>
    <w:p>
      <w:pPr>
        <w:jc w:val="both"/>
        <w:ind w:left="20" w:hanging="4"/>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new standard has been issued and is applicable to the Company for its annual period beginning on January 1, 2027, with an earlier application permitted:</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IFRS 18, </w:t>
      </w:r>
      <w:r>
        <w:rPr>
          <w:rFonts w:ascii="Times New Roman" w:cs="Times New Roman" w:eastAsia="Times New Roman" w:hAnsi="Times New Roman"/>
          <w:sz w:val="18"/>
          <w:szCs w:val="18"/>
          <w:b w:val="1"/>
          <w:bCs w:val="1"/>
          <w:i w:val="1"/>
          <w:iCs w:val="1"/>
          <w:color w:val="auto"/>
        </w:rPr>
        <w:t>Presentation and Disclosure in Financial Statements</w:t>
      </w:r>
      <w:r>
        <w:rPr>
          <w:rFonts w:ascii="Times New Roman" w:cs="Times New Roman" w:eastAsia="Times New Roman" w:hAnsi="Times New Roman"/>
          <w:sz w:val="18"/>
          <w:szCs w:val="18"/>
          <w:b w:val="1"/>
          <w:bCs w:val="1"/>
          <w:color w:val="auto"/>
        </w:rPr>
        <w:t xml:space="preserve"> (“IFRS 18”)</w:t>
      </w:r>
    </w:p>
    <w:p>
      <w:pPr>
        <w:spacing w:after="0" w:line="31" w:lineRule="exact"/>
        <w:rPr>
          <w:sz w:val="20"/>
          <w:szCs w:val="20"/>
          <w:color w:val="auto"/>
        </w:rPr>
      </w:pPr>
    </w:p>
    <w:p>
      <w:pPr>
        <w:jc w:val="both"/>
        <w:ind w:left="20" w:hanging="4"/>
        <w:spacing w:after="0" w:line="260" w:lineRule="auto"/>
        <w:rPr>
          <w:sz w:val="20"/>
          <w:szCs w:val="20"/>
          <w:color w:val="auto"/>
        </w:rPr>
      </w:pPr>
      <w:r>
        <w:rPr>
          <w:rFonts w:ascii="Times New Roman" w:cs="Times New Roman" w:eastAsia="Times New Roman" w:hAnsi="Times New Roman"/>
          <w:sz w:val="18"/>
          <w:szCs w:val="18"/>
          <w:color w:val="auto"/>
        </w:rPr>
        <w:t>On April 9, 2024, the International Accounting Standards Board (“IASB”) issued IFRS 18, the new standard on presentation and disclosure in financial statements, which will replace IAS 1, with a focus on updates to the statement of profit or loss. The key new concepts introduced in IFRS 18 relate to:</w:t>
      </w:r>
    </w:p>
    <w:p>
      <w:pPr>
        <w:spacing w:after="0" w:line="181"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structure of the statement of profit or loss, including specified totals and subtotals;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disclosures in the financial statements for certain profit or loss performance measures that are reported outside an entity’s financial statements (i.e., Management-defined performance measures); and</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principles on aggregation and disaggregation which apply to the primary financial statements and notes in general.</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Company is currently evaluating the impact of adopting the new standard on the Company’s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14  Page</w:t>
      </w:r>
    </w:p>
    <w:p>
      <w:pPr>
        <w:sectPr>
          <w:pgSz w:w="11900" w:h="16838" w:orient="portrait"/>
          <w:cols w:equalWidth="0" w:num="1">
            <w:col w:w="11240"/>
          </w:cols>
          <w:pgMar w:left="320" w:top="90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SIGNIFICANT ACCOUNTING JUDGMENTS AND ESTIMATES</w:t>
      </w:r>
    </w:p>
    <w:p>
      <w:pPr>
        <w:spacing w:after="0" w:line="229" w:lineRule="exact"/>
        <w:rPr>
          <w:sz w:val="20"/>
          <w:szCs w:val="20"/>
          <w:color w:val="auto"/>
        </w:rPr>
      </w:pPr>
    </w:p>
    <w:p>
      <w:pPr>
        <w:jc w:val="both"/>
        <w:ind w:left="20" w:hanging="4"/>
        <w:spacing w:after="0" w:line="261" w:lineRule="auto"/>
        <w:rPr>
          <w:sz w:val="20"/>
          <w:szCs w:val="20"/>
          <w:color w:val="auto"/>
        </w:rPr>
      </w:pPr>
      <w:r>
        <w:rPr>
          <w:rFonts w:ascii="Times New Roman" w:cs="Times New Roman" w:eastAsia="Times New Roman" w:hAnsi="Times New Roman"/>
          <w:sz w:val="18"/>
          <w:szCs w:val="18"/>
          <w:color w:val="auto"/>
        </w:rPr>
        <w:t>The preparation of the Financial Statements requires Bitfarms’ management team (“Management”) to undertake judgments, estimates and assumptions about recognition and measurement of assets, liabilities, income and expenses. These estimates and judgments are based on Management’s best knowledge of the relevant events and circumstances and actions the Company may take in the future. The actual results may differ from these assumptions and estimates.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estimates and underlying assumptions are reviewed on an ongoing basis. Revisions to assumptions and estimates are recognized in the period in which the assumption or estimate is revised if the revision affects only that period or in the period of the revision and future periods if the revision affects both current and future periods.</w:t>
      </w:r>
    </w:p>
    <w:p>
      <w:pPr>
        <w:spacing w:after="0" w:line="176" w:lineRule="exact"/>
        <w:rPr>
          <w:sz w:val="20"/>
          <w:szCs w:val="20"/>
          <w:color w:val="auto"/>
        </w:rPr>
      </w:pPr>
    </w:p>
    <w:p>
      <w:pPr>
        <w:jc w:val="both"/>
        <w:ind w:left="20" w:hanging="4"/>
        <w:spacing w:after="0" w:line="282" w:lineRule="auto"/>
        <w:rPr>
          <w:sz w:val="20"/>
          <w:szCs w:val="20"/>
          <w:color w:val="auto"/>
        </w:rPr>
      </w:pPr>
      <w:r>
        <w:rPr>
          <w:rFonts w:ascii="Times New Roman" w:cs="Times New Roman" w:eastAsia="Times New Roman" w:hAnsi="Times New Roman"/>
          <w:sz w:val="18"/>
          <w:szCs w:val="18"/>
          <w:color w:val="auto"/>
        </w:rPr>
        <w:t>The significant judgements made by Management in applying the Company’s accounting policies and the key sources of estimation uncertainty were the same as those described in the audited annual consolidated financial statements for year ended December 31, 2024, except for the following:</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Significant business combinations require judgements and estimates to be made at the date of acquisition in relation to determining the relative fair value of the allocation of the purchase consideration over the fair value of the assets. The information necessary to measure the fair values as at the acquisition date requires Management to make certain judgements and estimates about future events, including but not limited to forecasted revenues, operating costs and capital expenditures, future digital currency prices and income tax rates.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 Units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Management exercises significant judgment to assess the probability of meeting performance conditions tied to PSUs. The Company applies the Monte Carlo simulation method, which evaluates both market-based and non-market-based targets. This method requires various assumptions including share price volatility, risk-free interest rates, dividend yield, and the probability of meeting performance goals. Volatility and other inputs are estimated using historical and relevant market information. Changes in these assumptions or in Management’s expectations regarding the achievement of performance and service conditions can materially impact the valuation and the amount of the expense recognized. The final number of PSUs that vest is subject to a performance multiplier, which is based on Management’s best estimate of future outcomes and is inherently uncertain.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Significant judgment is required to determine if a disposal qualifies as discontinued operations, which is a component of a business that is being sold or is held for sale and represents a distinct major business line or operational region that has a major impact on the Company. Key judgments include assessing whether a component is a distinct major line of business or geographic area, evaluating the significance of the impact of the disposal on future financial results and whether the sale is highly probable. For the disposal group to be abandoned, Management also exercises judgment the business is being abandoned (not sold) and when the abandonment event has triggered the classification of the component as discontinued.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15  Page</w:t>
      </w:r>
    </w:p>
    <w:p>
      <w:pPr>
        <w:sectPr>
          <w:pgSz w:w="11900" w:h="16838" w:orient="portrait"/>
          <w:cols w:equalWidth="0" w:num="1">
            <w:col w:w="11240"/>
          </w:cols>
          <w:pgMar w:left="320" w:top="90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BUSINESS COMBINATION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14, 2025 (the “Acquisition Date”), the Company acquired 100% of the issued share capital of Stronghold in a stock-for-stock merger transaction. Under the terms of the merger agreement, each Stronghold shareholder received 2.52 shares of Bitfarms for each Stronghold share they owned. A total of 59,866,609 common shares and 12,893,650 warrants were issued. In addition, the Company paid $51,060 on closing to retire Stronghold’s outstanding loans and other closing costs.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result of the business combination, the pre-existing hosting agreements between the Company and Stronghold were effectively settled. A gain of $945 was recognized on the settlement of the Refundable Hosting Deposits. Refer to Note 14 and Note 21 for more details.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Stronghold is a vertically integrated power generation and data center company focused on environmental remediation and reclamation services in Pennsylvania, United States. The Stronghold Transaction is aligned with the Company’s strategic objectives to diversify its operations and expand its presence in the United States through vertical integration of power generation and energy arbitrage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9"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16  Page</w:t>
      </w:r>
    </w:p>
    <w:p>
      <w:pPr>
        <w:sectPr>
          <w:pgSz w:w="11900" w:h="16838" w:orient="portrait"/>
          <w:cols w:equalWidth="0" w:num="1">
            <w:col w:w="11240"/>
          </w:cols>
          <w:pgMar w:left="320" w:top="90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BUSINESS COMBINATION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purchase price allocation* and the fair value of the net assets acquired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706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14,</w:t>
            </w:r>
          </w:p>
        </w:tc>
      </w:tr>
      <w:tr>
        <w:trPr>
          <w:trHeight w:val="223"/>
        </w:trPr>
        <w:tc>
          <w:tcPr>
            <w:tcW w:w="706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426"/>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Purchase consideration</w:t>
            </w:r>
          </w:p>
        </w:tc>
        <w:tc>
          <w:tcPr>
            <w:tcW w:w="30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through repayment of debts</w:t>
            </w:r>
          </w:p>
        </w:tc>
        <w:tc>
          <w:tcPr>
            <w:tcW w:w="30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44,982</w:t>
            </w:r>
          </w:p>
        </w:tc>
      </w:tr>
      <w:tr>
        <w:trPr>
          <w:trHeight w:val="216"/>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Reimbursement of Stronghold’s acquisition-related costs</w:t>
            </w:r>
          </w:p>
        </w:tc>
        <w:tc>
          <w:tcPr>
            <w:tcW w:w="30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6,078</w:t>
            </w:r>
          </w:p>
        </w:tc>
      </w:tr>
      <w:tr>
        <w:trPr>
          <w:trHeight w:val="216"/>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shares issued**</w:t>
            </w:r>
          </w:p>
        </w:tc>
        <w:tc>
          <w:tcPr>
            <w:tcW w:w="3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66,452</w:t>
            </w:r>
          </w:p>
        </w:tc>
      </w:tr>
      <w:tr>
        <w:trPr>
          <w:trHeight w:val="216"/>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of warrants issued</w:t>
            </w:r>
          </w:p>
        </w:tc>
        <w:tc>
          <w:tcPr>
            <w:tcW w:w="3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11,477</w:t>
            </w:r>
          </w:p>
        </w:tc>
      </w:tr>
      <w:tr>
        <w:trPr>
          <w:trHeight w:val="216"/>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replacement share-based payment</w:t>
            </w:r>
          </w:p>
        </w:tc>
        <w:tc>
          <w:tcPr>
            <w:tcW w:w="3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w:t>
            </w:r>
          </w:p>
        </w:tc>
      </w:tr>
      <w:tr>
        <w:trPr>
          <w:trHeight w:val="229"/>
        </w:trPr>
        <w:tc>
          <w:tcPr>
            <w:tcW w:w="70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Settlement of Refundable Hosting Deposits</w:t>
            </w:r>
          </w:p>
        </w:tc>
        <w:tc>
          <w:tcPr>
            <w:tcW w:w="3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14, 21</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15,474</w:t>
            </w:r>
          </w:p>
        </w:tc>
      </w:tr>
      <w:tr>
        <w:trPr>
          <w:trHeight w:val="223"/>
        </w:trPr>
        <w:tc>
          <w:tcPr>
            <w:tcW w:w="7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consideration transferred</w:t>
            </w:r>
          </w:p>
        </w:tc>
        <w:tc>
          <w:tcPr>
            <w:tcW w:w="30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144,695</w:t>
            </w:r>
          </w:p>
        </w:tc>
      </w:tr>
      <w:tr>
        <w:trPr>
          <w:trHeight w:val="209"/>
        </w:trPr>
        <w:tc>
          <w:tcPr>
            <w:tcW w:w="70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identifiable assets acquired</w:t>
            </w:r>
          </w:p>
        </w:tc>
        <w:tc>
          <w:tcPr>
            <w:tcW w:w="30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2,976</w:t>
            </w:r>
          </w:p>
        </w:tc>
      </w:tr>
      <w:tr>
        <w:trPr>
          <w:trHeight w:val="216"/>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30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1,095</w:t>
            </w:r>
          </w:p>
        </w:tc>
      </w:tr>
      <w:tr>
        <w:trPr>
          <w:trHeight w:val="216"/>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prepaid deposits</w:t>
            </w:r>
          </w:p>
        </w:tc>
        <w:tc>
          <w:tcPr>
            <w:tcW w:w="30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1,732</w:t>
            </w:r>
          </w:p>
        </w:tc>
      </w:tr>
      <w:tr>
        <w:trPr>
          <w:trHeight w:val="216"/>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 (current)</w:t>
            </w:r>
          </w:p>
        </w:tc>
        <w:tc>
          <w:tcPr>
            <w:tcW w:w="30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Rights to energy credits and waste tax credits (current portion)</w:t>
            </w:r>
          </w:p>
        </w:tc>
        <w:tc>
          <w:tcPr>
            <w:tcW w:w="3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7,395</w:t>
            </w:r>
          </w:p>
        </w:tc>
      </w:tr>
      <w:tr>
        <w:trPr>
          <w:trHeight w:val="216"/>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Rights to waste tax credits (non-current portion)</w:t>
            </w:r>
          </w:p>
        </w:tc>
        <w:tc>
          <w:tcPr>
            <w:tcW w:w="3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1,594</w:t>
            </w:r>
          </w:p>
        </w:tc>
      </w:tr>
      <w:tr>
        <w:trPr>
          <w:trHeight w:val="216"/>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3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3,269</w:t>
            </w:r>
          </w:p>
        </w:tc>
      </w:tr>
      <w:tr>
        <w:trPr>
          <w:trHeight w:val="216"/>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152,264</w:t>
            </w:r>
          </w:p>
        </w:tc>
      </w:tr>
      <w:tr>
        <w:trPr>
          <w:trHeight w:val="216"/>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30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30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1,594</w:t>
            </w:r>
          </w:p>
        </w:tc>
      </w:tr>
      <w:tr>
        <w:trPr>
          <w:trHeight w:val="216"/>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30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1,550</w:t>
            </w:r>
          </w:p>
        </w:tc>
      </w:tr>
      <w:tr>
        <w:trPr>
          <w:trHeight w:val="216"/>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(23,488)</w:t>
            </w:r>
          </w:p>
        </w:tc>
      </w:tr>
      <w:tr>
        <w:trPr>
          <w:trHeight w:val="216"/>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16"/>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30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3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16"/>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30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r>
      <w:tr>
        <w:trPr>
          <w:trHeight w:val="216"/>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retirement provision</w:t>
            </w:r>
          </w:p>
        </w:tc>
        <w:tc>
          <w:tcPr>
            <w:tcW w:w="30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w:t>
            </w:r>
          </w:p>
        </w:tc>
      </w:tr>
      <w:tr>
        <w:trPr>
          <w:trHeight w:val="230"/>
        </w:trPr>
        <w:tc>
          <w:tcPr>
            <w:tcW w:w="70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r>
      <w:tr>
        <w:trPr>
          <w:trHeight w:val="230"/>
        </w:trPr>
        <w:tc>
          <w:tcPr>
            <w:tcW w:w="7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net identifiable assets acquired</w:t>
            </w:r>
          </w:p>
        </w:tc>
        <w:tc>
          <w:tcPr>
            <w:tcW w:w="30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144,695</w:t>
            </w:r>
          </w:p>
        </w:tc>
      </w:tr>
    </w:tbl>
    <w:p>
      <w:pPr>
        <w:spacing w:after="0" w:line="223" w:lineRule="exact"/>
        <w:rPr>
          <w:sz w:val="20"/>
          <w:szCs w:val="20"/>
          <w:color w:val="auto"/>
        </w:rPr>
      </w:pPr>
    </w:p>
    <w:p>
      <w:pPr>
        <w:jc w:val="both"/>
        <w:ind w:firstLine="8"/>
        <w:spacing w:after="0" w:line="255" w:lineRule="auto"/>
        <w:tabs>
          <w:tab w:leader="none" w:pos="17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purchase price allocation for the acquisition reflects fair value estimates which are subject to change within the measurement period. As of November 12, 2025, the Company has substantially determined the fair values of most net assets except for property, plant and equipment and accounts payable and accrued liabilities. The fair values of certain tangible assets remain preliminary and are subject to change as the Company continues to assess the condition and useful lives of the assets. Accounts payable and accrued liabilities remain subject to change pending final confirmation of completeness. Measurement period adjustments that the Company determines to be material will be applied retrospectively to the period of acquisition in the Company’s consolidated financial statements and, depending on the nature of the adjustments, other periods subsequent to the period of acquisition could also be affected. During the nine months ended September 30, 2025, the Company recognized minor measurement period adjustments, which have been reflected retrospectively in the consolidated financial statements. See below for details of measurement period adjustments.</w:t>
      </w:r>
    </w:p>
    <w:p>
      <w:pPr>
        <w:spacing w:after="0" w:line="185" w:lineRule="exact"/>
        <w:rPr>
          <w:sz w:val="20"/>
          <w:szCs w:val="20"/>
          <w:color w:val="auto"/>
        </w:rPr>
      </w:pPr>
    </w:p>
    <w:p>
      <w:pPr>
        <w:ind w:right="20" w:firstLine="8"/>
        <w:spacing w:after="0" w:line="284" w:lineRule="auto"/>
        <w:tabs>
          <w:tab w:leader="none" w:pos="236"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fair value of the 59,866,609 shares issued as part of the consideration paid for Stronghold was based on the published share price on March 14, 2025 of $1.11 per share. Issuance costs of $196, which were directly attributable to the issuance of the shares, were netted against the deemed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713232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3"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17  Page</w:t>
      </w:r>
    </w:p>
    <w:p>
      <w:pPr>
        <w:sectPr>
          <w:pgSz w:w="11900" w:h="16838" w:orient="portrait"/>
          <w:cols w:equalWidth="0" w:num="1">
            <w:col w:w="11240"/>
          </w:cols>
          <w:pgMar w:left="320" w:top="90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NOTE 5: BUSINESS COMBINATION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ind w:left="20" w:hanging="9"/>
        <w:spacing w:after="0" w:line="266" w:lineRule="auto"/>
        <w:rPr>
          <w:sz w:val="20"/>
          <w:szCs w:val="20"/>
          <w:color w:val="auto"/>
        </w:rPr>
      </w:pPr>
      <w:r>
        <w:rPr>
          <w:rFonts w:ascii="Times New Roman" w:cs="Times New Roman" w:eastAsia="Times New Roman" w:hAnsi="Times New Roman"/>
          <w:sz w:val="18"/>
          <w:szCs w:val="18"/>
          <w:color w:val="auto"/>
        </w:rPr>
        <w:t>Total acquisition-related costs that were not directly attributable to the issuance of shares amounted to $7,081, of which $1,571 were incurred during the first quarter of 2025, and $5,510 were incurred during the year ended December 31, 2024. These amounts were included in general and administrative expenses in the consolidated statements of profit or loss and comprehensive profit or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and profit and loss contribution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financial information presents the contributed revenue and profit and loss of the Company as if the closing of the Transaction occurred as of January 1, 2025 (“Proforma”). The contributed revenue and profit and loss of Stronghold since the Acquisition Date (“Actual Contribution”) are presented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Actual</w:t>
            </w:r>
          </w:p>
        </w:tc>
      </w:tr>
      <w:tr>
        <w:trPr>
          <w:trHeight w:val="238"/>
        </w:trPr>
        <w:tc>
          <w:tcPr>
            <w:tcW w:w="572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8"/>
              </w:rPr>
              <w:t>Proforma</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Contribution</w:t>
            </w:r>
          </w:p>
        </w:tc>
      </w:tr>
      <w:tr>
        <w:trPr>
          <w:trHeight w:val="187"/>
        </w:trPr>
        <w:tc>
          <w:tcPr>
            <w:tcW w:w="5720" w:type="dxa"/>
            <w:vAlign w:val="bottom"/>
          </w:tcPr>
          <w:p>
            <w:pPr>
              <w:spacing w:after="0"/>
              <w:rPr>
                <w:sz w:val="16"/>
                <w:szCs w:val="16"/>
                <w:color w:val="auto"/>
              </w:rPr>
            </w:pPr>
          </w:p>
        </w:tc>
        <w:tc>
          <w:tcPr>
            <w:tcW w:w="3840" w:type="dxa"/>
            <w:vAlign w:val="bottom"/>
          </w:tcPr>
          <w:p>
            <w:pPr>
              <w:jc w:val="center"/>
              <w:ind w:left="19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From January 1 to</w:t>
            </w:r>
          </w:p>
        </w:tc>
        <w:tc>
          <w:tcPr>
            <w:tcW w:w="16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From March 15 to</w:t>
            </w:r>
          </w:p>
        </w:tc>
      </w:tr>
      <w:tr>
        <w:trPr>
          <w:trHeight w:val="238"/>
        </w:trPr>
        <w:tc>
          <w:tcPr>
            <w:tcW w:w="572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r>
      <w:tr>
        <w:trPr>
          <w:trHeight w:val="209"/>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continuing operations</w:t>
            </w:r>
          </w:p>
        </w:tc>
        <w:tc>
          <w:tcPr>
            <w:tcW w:w="3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190,843</w:t>
            </w: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55,244</w:t>
            </w:r>
          </w:p>
        </w:tc>
      </w:tr>
      <w:tr>
        <w:trPr>
          <w:trHeight w:val="237"/>
        </w:trPr>
        <w:tc>
          <w:tcPr>
            <w:tcW w:w="5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(loss) income from continuing operations</w:t>
            </w:r>
          </w:p>
        </w:tc>
        <w:tc>
          <w:tcPr>
            <w:tcW w:w="3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(82,468)</w:t>
            </w:r>
          </w:p>
        </w:tc>
        <w:tc>
          <w:tcPr>
            <w:tcW w:w="1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6,424</w:t>
            </w:r>
          </w:p>
        </w:tc>
      </w:tr>
      <w:tr>
        <w:trPr>
          <w:trHeight w:val="432"/>
        </w:trPr>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Purchase consideration - cash outflow</w:t>
            </w:r>
          </w:p>
        </w:tc>
        <w:tc>
          <w:tcPr>
            <w:tcW w:w="38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10"/>
        </w:trPr>
        <w:tc>
          <w:tcPr>
            <w:tcW w:w="57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572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572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outflow, net of cash acquired</w:t>
            </w:r>
          </w:p>
        </w:tc>
        <w:tc>
          <w:tcPr>
            <w:tcW w:w="38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5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consideration</w:t>
            </w:r>
          </w:p>
        </w:tc>
        <w:tc>
          <w:tcPr>
            <w:tcW w:w="384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51,060</w:t>
            </w:r>
          </w:p>
        </w:tc>
      </w:tr>
      <w:tr>
        <w:trPr>
          <w:trHeight w:val="229"/>
        </w:trPr>
        <w:tc>
          <w:tcPr>
            <w:tcW w:w="57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Less: cash balances acquired</w:t>
            </w:r>
          </w:p>
        </w:tc>
        <w:tc>
          <w:tcPr>
            <w:tcW w:w="38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(2,976)</w:t>
            </w:r>
          </w:p>
        </w:tc>
      </w:tr>
      <w:tr>
        <w:trPr>
          <w:trHeight w:val="230"/>
        </w:trPr>
        <w:tc>
          <w:tcPr>
            <w:tcW w:w="5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outflow related to investing activities</w:t>
            </w:r>
          </w:p>
        </w:tc>
        <w:tc>
          <w:tcPr>
            <w:tcW w:w="384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48,084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Measurement period adjustments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Company obtained new information about amounts and the related facts and circumstances that existed at the Acquisition Date that should have been recognized as of the Acquisition Date.</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second quarter of 2025, adjustments to record additional accrued liabilities and rights to energy credits of $1,500 and $3,102, respectively, were recorded with a corresponding net decrease of $1,602 in property, plant and equipment.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an adjustment to recognize WTCs that existed as of the Acquisition Date of $5,885 was recorded with a corresponding decrease in property, plant and equipment. In addition, other adjustments of $1,462 were recorded with a corresponding increase in property, plant and equipment.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measurement period adjustments are reflected in the purchase price allocation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18  Page</w:t>
      </w:r>
    </w:p>
    <w:p>
      <w:pPr>
        <w:sectPr>
          <w:pgSz w:w="11900" w:h="16838" w:orient="portrait"/>
          <w:cols w:equalWidth="0" w:num="1">
            <w:col w:w="11240"/>
          </w:cols>
          <w:pgMar w:left="320" w:top="90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SALE OF THE YGUAZU MINING SITE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17, 2025, the Company completed the sale of its development 200 MW site in Yguazu, Paraguay to HIVE Digital Technologies Ltd. (“HIVE”) pursuant to a binding letter of Intent (“LOI”) originally signed on January 24, 2025, which was superseded by a share purchase agreement dated as of March 17, 2025. The transaction involved the sale of the Company’s 100% ownership stake in the Yguazu, Paraguay Bitcoin data center. The total consideration of $63,260 and the transaction details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March 17</w:t>
            </w:r>
          </w:p>
        </w:tc>
      </w:tr>
      <w:tr>
        <w:trPr>
          <w:trHeight w:val="223"/>
        </w:trPr>
        <w:tc>
          <w:tcPr>
            <w:tcW w:w="730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426"/>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25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6"/>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Advance received in January 2025 upon signing the LOI</w:t>
            </w:r>
          </w:p>
        </w:tc>
        <w:tc>
          <w:tcPr>
            <w:tcW w:w="25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received upon closing</w:t>
            </w:r>
          </w:p>
        </w:tc>
        <w:tc>
          <w:tcPr>
            <w:tcW w:w="25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12,038</w:t>
            </w:r>
          </w:p>
        </w:tc>
      </w:tr>
      <w:tr>
        <w:trPr>
          <w:trHeight w:val="216"/>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 over 6 equal monthly payments following the closing date*</w:t>
            </w:r>
          </w:p>
        </w:tc>
        <w:tc>
          <w:tcPr>
            <w:tcW w:w="25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31,000</w:t>
            </w:r>
          </w:p>
        </w:tc>
      </w:tr>
      <w:tr>
        <w:trPr>
          <w:trHeight w:val="229"/>
        </w:trPr>
        <w:tc>
          <w:tcPr>
            <w:tcW w:w="73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Other costs assumed by HIVE</w:t>
            </w:r>
          </w:p>
        </w:tc>
        <w:tc>
          <w:tcPr>
            <w:tcW w:w="25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222</w:t>
            </w:r>
          </w:p>
        </w:tc>
      </w:tr>
      <w:tr>
        <w:trPr>
          <w:trHeight w:val="223"/>
        </w:trPr>
        <w:tc>
          <w:tcPr>
            <w:tcW w:w="7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25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63,260</w:t>
            </w:r>
          </w:p>
        </w:tc>
      </w:tr>
      <w:tr>
        <w:trPr>
          <w:trHeight w:val="209"/>
        </w:trPr>
        <w:tc>
          <w:tcPr>
            <w:tcW w:w="73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 transferred</w:t>
            </w:r>
          </w:p>
        </w:tc>
        <w:tc>
          <w:tcPr>
            <w:tcW w:w="25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25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2,590</w:t>
            </w:r>
          </w:p>
        </w:tc>
      </w:tr>
      <w:tr>
        <w:trPr>
          <w:trHeight w:val="216"/>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34,006</w:t>
            </w:r>
          </w:p>
        </w:tc>
      </w:tr>
      <w:tr>
        <w:trPr>
          <w:trHeight w:val="216"/>
        </w:trPr>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w:t>
            </w:r>
          </w:p>
        </w:tc>
        <w:tc>
          <w:tcPr>
            <w:tcW w:w="25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w:t>
            </w:r>
          </w:p>
        </w:tc>
      </w:tr>
      <w:tr>
        <w:trPr>
          <w:trHeight w:val="216"/>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deposits and equipment prepayments</w:t>
            </w:r>
          </w:p>
        </w:tc>
        <w:tc>
          <w:tcPr>
            <w:tcW w:w="2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18,321</w:t>
            </w:r>
          </w:p>
        </w:tc>
      </w:tr>
      <w:tr>
        <w:trPr>
          <w:trHeight w:val="229"/>
        </w:trPr>
        <w:tc>
          <w:tcPr>
            <w:tcW w:w="73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Security deposit for energy</w:t>
            </w:r>
          </w:p>
        </w:tc>
        <w:tc>
          <w:tcPr>
            <w:tcW w:w="2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2,809</w:t>
            </w:r>
          </w:p>
        </w:tc>
      </w:tr>
      <w:tr>
        <w:trPr>
          <w:trHeight w:val="223"/>
        </w:trPr>
        <w:tc>
          <w:tcPr>
            <w:tcW w:w="7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assets transferred</w:t>
            </w:r>
          </w:p>
        </w:tc>
        <w:tc>
          <w:tcPr>
            <w:tcW w:w="25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58,035</w:t>
            </w:r>
          </w:p>
        </w:tc>
      </w:tr>
      <w:tr>
        <w:trPr>
          <w:trHeight w:val="209"/>
        </w:trPr>
        <w:tc>
          <w:tcPr>
            <w:tcW w:w="73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7"/>
        </w:trPr>
        <w:tc>
          <w:tcPr>
            <w:tcW w:w="7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disposal of subsidiary</w:t>
            </w:r>
          </w:p>
        </w:tc>
        <w:tc>
          <w:tcPr>
            <w:tcW w:w="25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5,225</w:t>
            </w:r>
          </w:p>
        </w:tc>
      </w:tr>
    </w:tbl>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As of September 30, 2025, the $31,000 interest-free receivable was fully collected.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RIGHTS TO RENEWABLE ENERGY CREDITS AND WASTE TAX CREDITS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4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September 30,</w:t>
            </w:r>
          </w:p>
        </w:tc>
      </w:tr>
      <w:tr>
        <w:trPr>
          <w:trHeight w:val="223"/>
        </w:trPr>
        <w:tc>
          <w:tcPr>
            <w:tcW w:w="48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48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nine-month period</w:t>
            </w:r>
          </w:p>
        </w:tc>
      </w:tr>
      <w:tr>
        <w:trPr>
          <w:trHeight w:val="187"/>
        </w:trPr>
        <w:tc>
          <w:tcPr>
            <w:tcW w:w="48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440" w:type="dxa"/>
            <w:vAlign w:val="bottom"/>
          </w:tcPr>
          <w:p>
            <w:pPr>
              <w:jc w:val="right"/>
              <w:ind w:right="270"/>
              <w:spacing w:after="0" w:line="188" w:lineRule="exact"/>
              <w:rPr>
                <w:sz w:val="20"/>
                <w:szCs w:val="20"/>
                <w:color w:val="auto"/>
              </w:rPr>
            </w:pPr>
            <w:r>
              <w:rPr>
                <w:rFonts w:ascii="Times New Roman" w:cs="Times New Roman" w:eastAsia="Times New Roman" w:hAnsi="Times New Roman"/>
                <w:sz w:val="18"/>
                <w:szCs w:val="18"/>
                <w:b w:val="1"/>
                <w:bCs w:val="1"/>
                <w:color w:val="auto"/>
              </w:rPr>
              <w:t>Rights to</w:t>
            </w:r>
          </w:p>
        </w:tc>
        <w:tc>
          <w:tcPr>
            <w:tcW w:w="1380" w:type="dxa"/>
            <w:vAlign w:val="bottom"/>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Rights to</w:t>
            </w:r>
          </w:p>
        </w:tc>
        <w:tc>
          <w:tcPr>
            <w:tcW w:w="1020" w:type="dxa"/>
            <w:vAlign w:val="bottom"/>
          </w:tcPr>
          <w:p>
            <w:pPr>
              <w:spacing w:after="0"/>
              <w:rPr>
                <w:sz w:val="16"/>
                <w:szCs w:val="16"/>
                <w:color w:val="auto"/>
              </w:rPr>
            </w:pPr>
          </w:p>
        </w:tc>
      </w:tr>
      <w:tr>
        <w:trPr>
          <w:trHeight w:val="216"/>
        </w:trPr>
        <w:tc>
          <w:tcPr>
            <w:tcW w:w="48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renewable</w:t>
            </w: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waste</w:t>
            </w:r>
          </w:p>
        </w:tc>
        <w:tc>
          <w:tcPr>
            <w:tcW w:w="1020" w:type="dxa"/>
            <w:vAlign w:val="bottom"/>
          </w:tcPr>
          <w:p>
            <w:pPr>
              <w:spacing w:after="0"/>
              <w:rPr>
                <w:sz w:val="18"/>
                <w:szCs w:val="18"/>
                <w:color w:val="auto"/>
              </w:rPr>
            </w:pPr>
          </w:p>
        </w:tc>
      </w:tr>
      <w:tr>
        <w:trPr>
          <w:trHeight w:val="216"/>
        </w:trPr>
        <w:tc>
          <w:tcPr>
            <w:tcW w:w="48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energy</w:t>
            </w: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tax</w:t>
            </w:r>
          </w:p>
        </w:tc>
        <w:tc>
          <w:tcPr>
            <w:tcW w:w="1020" w:type="dxa"/>
            <w:vAlign w:val="bottom"/>
          </w:tcPr>
          <w:p>
            <w:pPr>
              <w:spacing w:after="0"/>
              <w:rPr>
                <w:sz w:val="18"/>
                <w:szCs w:val="18"/>
                <w:color w:val="auto"/>
              </w:rPr>
            </w:pPr>
          </w:p>
        </w:tc>
      </w:tr>
      <w:tr>
        <w:trPr>
          <w:trHeight w:val="238"/>
        </w:trPr>
        <w:tc>
          <w:tcPr>
            <w:tcW w:w="48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credits</w:t>
            </w:r>
          </w:p>
        </w:tc>
        <w:tc>
          <w:tcPr>
            <w:tcW w:w="13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credits</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25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Addition related to business combination</w:t>
            </w:r>
          </w:p>
        </w:tc>
        <w:tc>
          <w:tcPr>
            <w:tcW w:w="25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w:t>
            </w: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3,104</w:t>
            </w: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5,885</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8,989</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during the period</w:t>
            </w:r>
          </w:p>
        </w:tc>
        <w:tc>
          <w:tcPr>
            <w:tcW w:w="25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25</w:t>
            </w:r>
          </w:p>
        </w:tc>
        <w:tc>
          <w:tcPr>
            <w:tcW w:w="14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12,997</w:t>
            </w:r>
          </w:p>
        </w:tc>
        <w:tc>
          <w:tcPr>
            <w:tcW w:w="13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4,003</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17,000</w:t>
            </w:r>
          </w:p>
        </w:tc>
      </w:tr>
      <w:tr>
        <w:trPr>
          <w:trHeight w:val="230"/>
        </w:trPr>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disposal of credits to third parties</w:t>
            </w:r>
          </w:p>
        </w:tc>
        <w:tc>
          <w:tcPr>
            <w:tcW w:w="25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(11,022)</w:t>
            </w:r>
          </w:p>
        </w:tc>
        <w:tc>
          <w:tcPr>
            <w:tcW w:w="13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(11,022)</w:t>
            </w:r>
          </w:p>
        </w:tc>
      </w:tr>
      <w:tr>
        <w:trPr>
          <w:trHeight w:val="223"/>
        </w:trPr>
        <w:tc>
          <w:tcPr>
            <w:tcW w:w="4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period end</w:t>
            </w:r>
          </w:p>
        </w:tc>
        <w:tc>
          <w:tcPr>
            <w:tcW w:w="25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5,079</w:t>
            </w:r>
          </w:p>
        </w:tc>
        <w:tc>
          <w:tcPr>
            <w:tcW w:w="13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9,888</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14,967</w:t>
            </w:r>
          </w:p>
        </w:tc>
      </w:tr>
      <w:tr>
        <w:trPr>
          <w:trHeight w:val="223"/>
        </w:trPr>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Current portion</w:t>
            </w:r>
          </w:p>
        </w:tc>
        <w:tc>
          <w:tcPr>
            <w:tcW w:w="25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(5,079)</w:t>
            </w:r>
          </w:p>
        </w:tc>
        <w:tc>
          <w:tcPr>
            <w:tcW w:w="13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(4,291)</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(9,370)</w:t>
            </w:r>
          </w:p>
        </w:tc>
      </w:tr>
      <w:tr>
        <w:trPr>
          <w:trHeight w:val="230"/>
        </w:trPr>
        <w:tc>
          <w:tcPr>
            <w:tcW w:w="4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portion</w:t>
            </w:r>
          </w:p>
        </w:tc>
        <w:tc>
          <w:tcPr>
            <w:tcW w:w="258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5,597</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5,597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19  Page</w:t>
      </w:r>
    </w:p>
    <w:p>
      <w:pPr>
        <w:sectPr>
          <w:pgSz w:w="11900" w:h="16838" w:orient="portrait"/>
          <w:cols w:equalWidth="0" w:num="1">
            <w:col w:w="11240"/>
          </w:cols>
          <w:pgMar w:left="320" w:top="90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DIGITAL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BTC transactions and the corresponding values for the three and nine months ended September 30, 2025 and 2024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1040" w:type="dxa"/>
            <w:vAlign w:val="bottom"/>
            <w:tcBorders>
              <w:bottom w:val="single" w:sz="8" w:color="auto"/>
            </w:tcBorders>
          </w:tcPr>
          <w:p>
            <w:pPr>
              <w:spacing w:after="0"/>
              <w:rPr>
                <w:sz w:val="20"/>
                <w:szCs w:val="20"/>
                <w:color w:val="auto"/>
              </w:rPr>
            </w:pPr>
          </w:p>
        </w:tc>
      </w:tr>
      <w:tr>
        <w:trPr>
          <w:trHeight w:val="237"/>
        </w:trPr>
        <w:tc>
          <w:tcPr>
            <w:tcW w:w="57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37"/>
        </w:trPr>
        <w:tc>
          <w:tcPr>
            <w:tcW w:w="57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16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Value ($)</w:t>
            </w:r>
          </w:p>
        </w:tc>
        <w:tc>
          <w:tcPr>
            <w:tcW w:w="13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Quantity</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Value ($)</w:t>
            </w:r>
          </w:p>
        </w:tc>
      </w:tr>
      <w:tr>
        <w:trPr>
          <w:trHeight w:val="236"/>
        </w:trPr>
        <w:tc>
          <w:tcPr>
            <w:tcW w:w="5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of digital assets including restricted digital assets as of July 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1,176</w:t>
            </w:r>
          </w:p>
        </w:tc>
        <w:tc>
          <w:tcPr>
            <w:tcW w:w="16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125,951</w:t>
            </w:r>
          </w:p>
        </w:tc>
        <w:tc>
          <w:tcPr>
            <w:tcW w:w="13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905</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56,748</w:t>
            </w:r>
          </w:p>
        </w:tc>
      </w:tr>
      <w:tr>
        <w:trPr>
          <w:trHeight w:val="21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BTC earned*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520</w:t>
            </w:r>
          </w:p>
        </w:tc>
        <w:tc>
          <w:tcPr>
            <w:tcW w:w="16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59,417</w:t>
            </w: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414</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25,057</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earned from discontinued operations (Note 22)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16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14,416</w:t>
            </w:r>
          </w:p>
        </w:tc>
        <w:tc>
          <w:tcPr>
            <w:tcW w:w="13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289</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17,781</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Hosting revenue received in BTC</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6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1,722</w:t>
            </w: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received in advance for goods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6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741</w:t>
            </w:r>
          </w:p>
        </w:tc>
        <w:tc>
          <w:tcPr>
            <w:tcW w:w="13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Change in BTC earned, not received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6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140</w:t>
            </w: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exchanged for cash</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w:t>
            </w:r>
          </w:p>
        </w:tc>
        <w:tc>
          <w:tcPr>
            <w:tcW w:w="16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(21,561)</w:t>
            </w:r>
          </w:p>
        </w:tc>
        <w:tc>
          <w:tcPr>
            <w:tcW w:w="13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(461)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(27,938)</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Realized gain on disposition of digital assets**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4,484</w:t>
            </w: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769</w:t>
            </w:r>
          </w:p>
        </w:tc>
      </w:tr>
      <w:tr>
        <w:trPr>
          <w:trHeight w:val="243"/>
        </w:trPr>
        <w:tc>
          <w:tcPr>
            <w:tcW w:w="5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unrealized gain on revaluation of digital assets**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3,901</w:t>
            </w:r>
          </w:p>
        </w:tc>
        <w:tc>
          <w:tcPr>
            <w:tcW w:w="13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w:t>
            </w:r>
          </w:p>
        </w:tc>
      </w:tr>
      <w:tr>
        <w:trPr>
          <w:trHeight w:val="187"/>
        </w:trPr>
        <w:tc>
          <w:tcPr>
            <w:tcW w:w="57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of digital assets including restricted digital assets as of</w:t>
            </w:r>
          </w:p>
        </w:tc>
        <w:tc>
          <w:tcPr>
            <w:tcW w:w="14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8"/>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1,658</w:t>
            </w:r>
          </w:p>
        </w:tc>
        <w:tc>
          <w:tcPr>
            <w:tcW w:w="16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189,211</w:t>
            </w: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1,147</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72,629</w:t>
            </w:r>
          </w:p>
        </w:tc>
      </w:tr>
      <w:tr>
        <w:trPr>
          <w:trHeight w:val="243"/>
        </w:trPr>
        <w:tc>
          <w:tcPr>
            <w:tcW w:w="5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Restricted digital assets as of September 30, ***</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c>
          <w:tcPr>
            <w:tcW w:w="16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(17,933)</w:t>
            </w:r>
          </w:p>
        </w:tc>
        <w:tc>
          <w:tcPr>
            <w:tcW w:w="13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87"/>
        </w:trPr>
        <w:tc>
          <w:tcPr>
            <w:tcW w:w="57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of digital assets excluding restricted digital assets as of</w:t>
            </w:r>
          </w:p>
        </w:tc>
        <w:tc>
          <w:tcPr>
            <w:tcW w:w="14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72"/>
        </w:trPr>
        <w:tc>
          <w:tcPr>
            <w:tcW w:w="5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1,501</w:t>
            </w:r>
          </w:p>
        </w:tc>
        <w:tc>
          <w:tcPr>
            <w:tcW w:w="16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171,278</w:t>
            </w:r>
          </w:p>
        </w:tc>
        <w:tc>
          <w:tcPr>
            <w:tcW w:w="13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1,147</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72,629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20  Page</w:t>
      </w:r>
    </w:p>
    <w:p>
      <w:pPr>
        <w:sectPr>
          <w:pgSz w:w="11900" w:h="16838" w:orient="portrait"/>
          <w:cols w:equalWidth="0" w:num="1">
            <w:col w:w="11240"/>
          </w:cols>
          <w:pgMar w:left="320" w:top="90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NOTE 8: DIGITAL ASSETS </w:t>
      </w:r>
      <w:r>
        <w:rPr>
          <w:rFonts w:ascii="Times New Roman" w:cs="Times New Roman" w:eastAsia="Times New Roman" w:hAnsi="Times New Roman"/>
          <w:sz w:val="18"/>
          <w:szCs w:val="18"/>
          <w:color w:val="auto"/>
        </w:rPr>
        <w:t>(Continued)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080" w:type="dxa"/>
            <w:vAlign w:val="bottom"/>
            <w:tcBorders>
              <w:bottom w:val="single" w:sz="8" w:color="auto"/>
            </w:tcBorders>
          </w:tcPr>
          <w:p>
            <w:pPr>
              <w:spacing w:after="0"/>
              <w:rPr>
                <w:sz w:val="20"/>
                <w:szCs w:val="20"/>
                <w:color w:val="auto"/>
              </w:rPr>
            </w:pPr>
          </w:p>
        </w:tc>
      </w:tr>
      <w:tr>
        <w:trPr>
          <w:trHeight w:val="237"/>
        </w:trPr>
        <w:tc>
          <w:tcPr>
            <w:tcW w:w="58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36"/>
        </w:trPr>
        <w:tc>
          <w:tcPr>
            <w:tcW w:w="58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16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Value ($)</w:t>
            </w:r>
          </w:p>
        </w:tc>
        <w:tc>
          <w:tcPr>
            <w:tcW w:w="13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Quantity</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Value ($)</w:t>
            </w:r>
          </w:p>
        </w:tc>
      </w:tr>
      <w:tr>
        <w:trPr>
          <w:trHeight w:val="237"/>
        </w:trPr>
        <w:tc>
          <w:tcPr>
            <w:tcW w:w="5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of digital assets including restricted digital assets as of January 1,</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1,285</w:t>
            </w:r>
          </w:p>
        </w:tc>
        <w:tc>
          <w:tcPr>
            <w:tcW w:w="16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120,124</w:t>
            </w:r>
          </w:p>
        </w:tc>
        <w:tc>
          <w:tcPr>
            <w:tcW w:w="13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804</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33,971</w:t>
            </w:r>
          </w:p>
        </w:tc>
      </w:tr>
      <w:tr>
        <w:trPr>
          <w:trHeight w:val="209"/>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BTC earned*</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1,570</w:t>
            </w:r>
          </w:p>
        </w:tc>
        <w:tc>
          <w:tcPr>
            <w:tcW w:w="16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158,979</w:t>
            </w:r>
          </w:p>
        </w:tc>
        <w:tc>
          <w:tcPr>
            <w:tcW w:w="13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1,562</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91,448</w:t>
            </w: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earned from discontinued operations (Note 22)</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485</w:t>
            </w:r>
          </w:p>
        </w:tc>
        <w:tc>
          <w:tcPr>
            <w:tcW w:w="16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49,259</w:t>
            </w:r>
          </w:p>
        </w:tc>
        <w:tc>
          <w:tcPr>
            <w:tcW w:w="13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698</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41,196</w:t>
            </w: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Hosting revenue received in BTC</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w:t>
            </w:r>
          </w:p>
        </w:tc>
        <w:tc>
          <w:tcPr>
            <w:tcW w:w="16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3,690</w:t>
            </w:r>
          </w:p>
        </w:tc>
        <w:tc>
          <w:tcPr>
            <w:tcW w:w="13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received in advance for goods</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16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922</w:t>
            </w:r>
          </w:p>
        </w:tc>
        <w:tc>
          <w:tcPr>
            <w:tcW w:w="13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BTC earned, not received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6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(714)</w:t>
            </w:r>
          </w:p>
        </w:tc>
        <w:tc>
          <w:tcPr>
            <w:tcW w:w="13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exchanged for cash</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(1,665)</w:t>
            </w:r>
          </w:p>
        </w:tc>
        <w:tc>
          <w:tcPr>
            <w:tcW w:w="16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(159,295)</w:t>
            </w:r>
          </w:p>
        </w:tc>
        <w:tc>
          <w:tcPr>
            <w:tcW w:w="13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(1,917)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(111,264)</w:t>
            </w: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BTC exchanged for services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16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(5,178)</w:t>
            </w:r>
          </w:p>
        </w:tc>
        <w:tc>
          <w:tcPr>
            <w:tcW w:w="13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gain on disposition of digital assets**</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25,237</w:t>
            </w:r>
          </w:p>
        </w:tc>
        <w:tc>
          <w:tcPr>
            <w:tcW w:w="13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17,635</w:t>
            </w:r>
          </w:p>
        </w:tc>
      </w:tr>
      <w:tr>
        <w:trPr>
          <w:trHeight w:val="243"/>
        </w:trPr>
        <w:tc>
          <w:tcPr>
            <w:tcW w:w="5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Change in unrealized loss on revaluation of digital assets**</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(3,813)</w:t>
            </w:r>
          </w:p>
        </w:tc>
        <w:tc>
          <w:tcPr>
            <w:tcW w:w="13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187"/>
        </w:trPr>
        <w:tc>
          <w:tcPr>
            <w:tcW w:w="588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of digital assets including restricted digital assets as of</w:t>
            </w:r>
          </w:p>
        </w:tc>
        <w:tc>
          <w:tcPr>
            <w:tcW w:w="132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38"/>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1,658</w:t>
            </w:r>
          </w:p>
        </w:tc>
        <w:tc>
          <w:tcPr>
            <w:tcW w:w="16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189,211</w:t>
            </w:r>
          </w:p>
        </w:tc>
        <w:tc>
          <w:tcPr>
            <w:tcW w:w="13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1,147</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72,629</w:t>
            </w:r>
          </w:p>
        </w:tc>
      </w:tr>
      <w:tr>
        <w:trPr>
          <w:trHeight w:val="243"/>
        </w:trPr>
        <w:tc>
          <w:tcPr>
            <w:tcW w:w="5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Restricted digital assets as of September 30,***</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c>
          <w:tcPr>
            <w:tcW w:w="16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(17,933)</w:t>
            </w:r>
          </w:p>
        </w:tc>
        <w:tc>
          <w:tcPr>
            <w:tcW w:w="13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87"/>
        </w:trPr>
        <w:tc>
          <w:tcPr>
            <w:tcW w:w="588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of digital assets excluding restricted digital assets as of</w:t>
            </w:r>
          </w:p>
        </w:tc>
        <w:tc>
          <w:tcPr>
            <w:tcW w:w="132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72"/>
        </w:trPr>
        <w:tc>
          <w:tcPr>
            <w:tcW w:w="58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1,501</w:t>
            </w:r>
          </w:p>
        </w:tc>
        <w:tc>
          <w:tcPr>
            <w:tcW w:w="16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171,278</w:t>
            </w:r>
          </w:p>
        </w:tc>
        <w:tc>
          <w:tcPr>
            <w:tcW w:w="13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1,147</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72,629</w:t>
            </w:r>
          </w:p>
        </w:tc>
      </w:tr>
    </w:tbl>
    <w:p>
      <w:pPr>
        <w:spacing w:after="0" w:line="196" w:lineRule="exact"/>
        <w:rPr>
          <w:sz w:val="20"/>
          <w:szCs w:val="20"/>
          <w:color w:val="auto"/>
        </w:rPr>
      </w:pPr>
    </w:p>
    <w:p>
      <w:pPr>
        <w:jc w:val="both"/>
        <w:ind w:firstLine="8"/>
        <w:spacing w:after="0" w:line="267" w:lineRule="auto"/>
        <w:tabs>
          <w:tab w:leader="none" w:pos="16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Management estimates the fair value of BTC earned on a daily basis as the quantity of cryptocurrency received multiplied by the price quoted on Coinbase Prime on the day it was received. Management considers the prices quoted on Coinbase Prime to be a level 1 input under IFRS 13, Fair Value Measurement.</w:t>
      </w:r>
    </w:p>
    <w:p>
      <w:pPr>
        <w:spacing w:after="0" w:line="173" w:lineRule="exact"/>
        <w:rPr>
          <w:sz w:val="20"/>
          <w:szCs w:val="20"/>
          <w:color w:val="auto"/>
        </w:rPr>
      </w:pPr>
    </w:p>
    <w:p>
      <w:pPr>
        <w:jc w:val="both"/>
        <w:ind w:left="20" w:hanging="12"/>
        <w:spacing w:after="0" w:line="258" w:lineRule="auto"/>
        <w:tabs>
          <w:tab w:leader="none" w:pos="249"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 portion of the realized gain on disposition of digital assets and the change in unrealized gain (loss) on revaluation of digital assets is presented in other comprehensive income after reversing previously recorded revaluation loss on digital assets in the statement of profit or loss. For the three and nine months ended September 30, 2025, a gain of $6,395, net of $2,279 of deferred income tax expense, and again of $15,977, net of $5,736 deferred income tax expense, respectively, were presented in other comprehensive income (three and nine months ended September 30, 2024: a gain of $721, net of $260 of deferred income tax expense, and a gain of $12,699, net of $4,579 of deferred income tax expense, respectively).</w:t>
      </w:r>
    </w:p>
    <w:p>
      <w:pPr>
        <w:spacing w:after="0" w:line="183" w:lineRule="exact"/>
        <w:rPr>
          <w:rFonts w:ascii="Times New Roman" w:cs="Times New Roman" w:eastAsia="Times New Roman" w:hAnsi="Times New Roman"/>
          <w:sz w:val="18"/>
          <w:szCs w:val="18"/>
          <w:i w:val="1"/>
          <w:iCs w:val="1"/>
          <w:color w:val="auto"/>
        </w:rPr>
      </w:pPr>
    </w:p>
    <w:p>
      <w:pPr>
        <w:jc w:val="both"/>
        <w:ind w:left="20" w:hanging="12"/>
        <w:spacing w:after="0" w:line="267" w:lineRule="auto"/>
        <w:tabs>
          <w:tab w:leader="none" w:pos="337"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Restricted digital assets comprise of 157 BTC for the BTC payment (“BTC Pledged”) to a third party as deposits for Miners presented as restricted digital assets. As the Company has the right to redeem the BTC Pledged, the ability of the third party to control the asset is limited, and the BTC Pledged does not meet the definition of a sale. Refer to Note 10, 13 and 21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8"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21  Page</w:t>
      </w:r>
    </w:p>
    <w:p>
      <w:pPr>
        <w:sectPr>
          <w:pgSz w:w="11900" w:h="16838" w:orient="portrait"/>
          <w:cols w:equalWidth="0" w:num="1">
            <w:col w:w="11240"/>
          </w:cols>
          <w:pgMar w:left="320" w:top="90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INVENTORIES</w:t>
            </w:r>
          </w:p>
        </w:tc>
        <w:tc>
          <w:tcPr>
            <w:tcW w:w="4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10"/>
        </w:trPr>
        <w:tc>
          <w:tcPr>
            <w:tcW w:w="5780" w:type="dxa"/>
            <w:vAlign w:val="bottom"/>
          </w:tcPr>
          <w:p>
            <w:pPr>
              <w:spacing w:after="0"/>
              <w:rPr>
                <w:sz w:val="24"/>
                <w:szCs w:val="24"/>
                <w:color w:val="auto"/>
              </w:rPr>
            </w:pPr>
          </w:p>
        </w:tc>
        <w:tc>
          <w:tcPr>
            <w:tcW w:w="41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As of</w:t>
            </w:r>
          </w:p>
        </w:tc>
      </w:tr>
      <w:tr>
        <w:trPr>
          <w:trHeight w:val="238"/>
        </w:trPr>
        <w:tc>
          <w:tcPr>
            <w:tcW w:w="578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r>
      <w:tr>
        <w:trPr>
          <w:trHeight w:val="223"/>
        </w:trPr>
        <w:tc>
          <w:tcPr>
            <w:tcW w:w="5780" w:type="dxa"/>
            <w:vAlign w:val="bottom"/>
            <w:tcBorders>
              <w:bottom w:val="single" w:sz="8" w:color="auto"/>
            </w:tcBorders>
          </w:tcPr>
          <w:p>
            <w:pPr>
              <w:spacing w:after="0"/>
              <w:rPr>
                <w:sz w:val="19"/>
                <w:szCs w:val="19"/>
                <w:color w:val="auto"/>
              </w:rPr>
            </w:pPr>
          </w:p>
        </w:tc>
        <w:tc>
          <w:tcPr>
            <w:tcW w:w="4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Waste, limestone and fuel oil*</w:t>
            </w:r>
          </w:p>
        </w:tc>
        <w:tc>
          <w:tcPr>
            <w:tcW w:w="4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4,538</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Electronic and networking components</w:t>
            </w:r>
          </w:p>
        </w:tc>
        <w:tc>
          <w:tcPr>
            <w:tcW w:w="4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2,441</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1,180</w:t>
            </w:r>
          </w:p>
        </w:tc>
      </w:tr>
      <w:tr>
        <w:trPr>
          <w:trHeight w:val="230"/>
        </w:trPr>
        <w:tc>
          <w:tcPr>
            <w:tcW w:w="5780" w:type="dxa"/>
            <w:vAlign w:val="bottom"/>
            <w:tcBorders>
              <w:bottom w:val="single" w:sz="8" w:color="auto"/>
            </w:tcBorders>
            <w:shd w:val="clear" w:color="auto" w:fill="CCEEFF"/>
          </w:tcPr>
          <w:p>
            <w:pPr>
              <w:spacing w:after="0"/>
              <w:rPr>
                <w:sz w:val="20"/>
                <w:szCs w:val="20"/>
                <w:color w:val="auto"/>
              </w:rPr>
            </w:pPr>
          </w:p>
        </w:tc>
        <w:tc>
          <w:tcPr>
            <w:tcW w:w="41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6,979</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1,180</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On the Acquisition Date, additions from the Stronghold business combination amounted to $3,269 for inventories. Refer to Note 5 for more details.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DERIVATIVE ASSETS AND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BTC option and selling contracts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Starting in the first quarter of 2023, the Company purchased BTC option contracts that gave it the right, but not the obligation, to sell digital assets at a fixed price. Option contracts are used to reduce the risk of BTC price volatility and reduce the variability of cash flows generated from future sales of digital assets. The Company also entered into contracts and earned premiums by agreeing to sell BTC if the BTC price reached specific targets. The Company does not apply hedge accounting to these option contracts.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BTC redemption options and redemption obligations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Starting in November 2024, the Company entered into purchase orders of Miners with a supplier which allows the Company to pay for the Miners in cash, BTC or a combination of both. In the event that the Company elects to pay using BTC (BTC Pledged, as defined in Note 8) either in full or partially, the Company has the option to redeem the BTC Pledged at the price originally pledged in four quarterly installments (“BTC Installments”) within 12 months after the redemption period starts. The redemption period starts when the Miners are shipped. If the Company elects not to redeem one of the BTC Installments, the Company forfeits the right to redeem the remaining BTC Installments. The right to redeem the BTC (“BTC Redemption Option”) meets the definition of an embedded derivative.</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redemption obligation was recorded for the remaining BTC Redemption Options for which Miners have been shipped, reflecting the Company’s obligation to either redeem the BTC Pledged for cash or use the BTC Pledged for the purchase of the Miners. As of September 30, 2025, the redemption obligation amounted to $15,339, which represented the value of Miners delivered, for which BTC payments were made, and reduced by the value of the BTC redeemed.</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redemption obligation was recorded as of December 31, 2024, as the Miners ordered, for which the deposit payment in BTC was made, had not yet been shipped.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22  Page</w:t>
      </w:r>
    </w:p>
    <w:p>
      <w:pPr>
        <w:sectPr>
          <w:pgSz w:w="11900" w:h="16838" w:orient="portrait"/>
          <w:cols w:equalWidth="0" w:num="1">
            <w:col w:w="11240"/>
          </w:cols>
          <w:pgMar w:left="320" w:top="90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NOTE 10: DERIVATIVE ASSETS AND LIABILITIES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BTC redemption options and redemption obligations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BTC Redemption Options: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As of September 30,</w:t>
            </w:r>
          </w:p>
        </w:tc>
      </w:tr>
      <w:tr>
        <w:trPr>
          <w:trHeight w:val="223"/>
        </w:trPr>
        <w:tc>
          <w:tcPr>
            <w:tcW w:w="4960" w:type="dxa"/>
            <w:vAlign w:val="bottom"/>
            <w:tcBorders>
              <w:bottom w:val="single" w:sz="8" w:color="auto"/>
            </w:tcBorders>
          </w:tcPr>
          <w:p>
            <w:pPr>
              <w:spacing w:after="0"/>
              <w:rPr>
                <w:sz w:val="19"/>
                <w:szCs w:val="19"/>
                <w:color w:val="auto"/>
              </w:rPr>
            </w:pPr>
          </w:p>
        </w:tc>
        <w:tc>
          <w:tcPr>
            <w:tcW w:w="36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00" w:type="dxa"/>
            <w:vAlign w:val="bottom"/>
            <w:tcBorders>
              <w:bottom w:val="single" w:sz="8" w:color="auto"/>
            </w:tcBorders>
          </w:tcPr>
          <w:p>
            <w:pPr>
              <w:spacing w:after="0"/>
              <w:rPr>
                <w:sz w:val="19"/>
                <w:szCs w:val="19"/>
                <w:color w:val="auto"/>
              </w:rPr>
            </w:pPr>
          </w:p>
        </w:tc>
      </w:tr>
      <w:tr>
        <w:trPr>
          <w:trHeight w:val="187"/>
        </w:trPr>
        <w:tc>
          <w:tcPr>
            <w:tcW w:w="49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540" w:type="dxa"/>
            <w:vAlign w:val="bottom"/>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Quantity of</w:t>
            </w:r>
          </w:p>
        </w:tc>
        <w:tc>
          <w:tcPr>
            <w:tcW w:w="110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Redemption</w:t>
            </w:r>
          </w:p>
        </w:tc>
      </w:tr>
      <w:tr>
        <w:trPr>
          <w:trHeight w:val="238"/>
        </w:trPr>
        <w:tc>
          <w:tcPr>
            <w:tcW w:w="496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5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restricted BTC</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Obligation</w:t>
            </w:r>
          </w:p>
        </w:tc>
      </w:tr>
      <w:tr>
        <w:trPr>
          <w:trHeight w:val="209"/>
        </w:trPr>
        <w:tc>
          <w:tcPr>
            <w:tcW w:w="4960" w:type="dxa"/>
            <w:vAlign w:val="bottom"/>
            <w:shd w:val="clear" w:color="auto" w:fill="CCEEFF"/>
          </w:tcPr>
          <w:p>
            <w:pPr>
              <w:jc w:val="right"/>
              <w:ind w:right="3230"/>
              <w:spacing w:after="0"/>
              <w:rPr>
                <w:sz w:val="20"/>
                <w:szCs w:val="20"/>
                <w:color w:val="auto"/>
              </w:rPr>
            </w:pPr>
            <w:r>
              <w:rPr>
                <w:rFonts w:ascii="Times New Roman" w:cs="Times New Roman" w:eastAsia="Times New Roman" w:hAnsi="Times New Roman"/>
                <w:sz w:val="18"/>
                <w:szCs w:val="18"/>
                <w:color w:val="auto"/>
                <w:w w:val="99"/>
              </w:rPr>
              <w:t>November 2024 Order</w:t>
            </w:r>
          </w:p>
        </w:tc>
        <w:tc>
          <w:tcPr>
            <w:tcW w:w="3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i.</w:t>
            </w:r>
          </w:p>
        </w:tc>
        <w:tc>
          <w:tcPr>
            <w:tcW w:w="1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351</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33,230</w:t>
            </w:r>
          </w:p>
        </w:tc>
      </w:tr>
      <w:tr>
        <w:trPr>
          <w:trHeight w:val="216"/>
        </w:trPr>
        <w:tc>
          <w:tcPr>
            <w:tcW w:w="4960" w:type="dxa"/>
            <w:vAlign w:val="bottom"/>
          </w:tcPr>
          <w:p>
            <w:pPr>
              <w:jc w:val="right"/>
              <w:ind w:right="3230"/>
              <w:spacing w:after="0"/>
              <w:rPr>
                <w:sz w:val="20"/>
                <w:szCs w:val="20"/>
                <w:color w:val="auto"/>
              </w:rPr>
            </w:pPr>
            <w:r>
              <w:rPr>
                <w:rFonts w:ascii="Times New Roman" w:cs="Times New Roman" w:eastAsia="Times New Roman" w:hAnsi="Times New Roman"/>
                <w:sz w:val="18"/>
                <w:szCs w:val="18"/>
                <w:color w:val="auto"/>
              </w:rPr>
              <w:t>Redemption of BTC</w:t>
            </w:r>
          </w:p>
        </w:tc>
        <w:tc>
          <w:tcPr>
            <w:tcW w:w="3640" w:type="dxa"/>
            <w:vAlign w:val="bottom"/>
          </w:tcPr>
          <w:p>
            <w:pPr>
              <w:spacing w:after="0"/>
              <w:rPr>
                <w:sz w:val="18"/>
                <w:szCs w:val="18"/>
                <w:color w:val="auto"/>
              </w:rPr>
            </w:pPr>
          </w:p>
        </w:tc>
        <w:tc>
          <w:tcPr>
            <w:tcW w:w="15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(262)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(24,923)</w:t>
            </w:r>
          </w:p>
        </w:tc>
      </w:tr>
      <w:tr>
        <w:trPr>
          <w:trHeight w:val="216"/>
        </w:trPr>
        <w:tc>
          <w:tcPr>
            <w:tcW w:w="4960" w:type="dxa"/>
            <w:vAlign w:val="bottom"/>
            <w:shd w:val="clear" w:color="auto" w:fill="CCEEFF"/>
          </w:tcPr>
          <w:p>
            <w:pPr>
              <w:jc w:val="right"/>
              <w:ind w:right="3070"/>
              <w:spacing w:after="0"/>
              <w:rPr>
                <w:sz w:val="20"/>
                <w:szCs w:val="20"/>
                <w:color w:val="auto"/>
              </w:rPr>
            </w:pPr>
            <w:r>
              <w:rPr>
                <w:rFonts w:ascii="Times New Roman" w:cs="Times New Roman" w:eastAsia="Times New Roman" w:hAnsi="Times New Roman"/>
                <w:sz w:val="18"/>
                <w:szCs w:val="18"/>
                <w:color w:val="auto"/>
                <w:w w:val="99"/>
              </w:rPr>
              <w:t>March 2025 Swap Order</w:t>
            </w:r>
          </w:p>
        </w:tc>
        <w:tc>
          <w:tcPr>
            <w:tcW w:w="3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ii.</w:t>
            </w:r>
          </w:p>
        </w:tc>
        <w:tc>
          <w:tcPr>
            <w:tcW w:w="1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29</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2,374</w:t>
            </w:r>
          </w:p>
        </w:tc>
      </w:tr>
      <w:tr>
        <w:trPr>
          <w:trHeight w:val="216"/>
        </w:trPr>
        <w:tc>
          <w:tcPr>
            <w:tcW w:w="4960" w:type="dxa"/>
            <w:vAlign w:val="bottom"/>
          </w:tcPr>
          <w:p>
            <w:pPr>
              <w:jc w:val="right"/>
              <w:ind w:right="3230"/>
              <w:spacing w:after="0"/>
              <w:rPr>
                <w:sz w:val="20"/>
                <w:szCs w:val="20"/>
                <w:color w:val="auto"/>
              </w:rPr>
            </w:pPr>
            <w:r>
              <w:rPr>
                <w:rFonts w:ascii="Times New Roman" w:cs="Times New Roman" w:eastAsia="Times New Roman" w:hAnsi="Times New Roman"/>
                <w:sz w:val="18"/>
                <w:szCs w:val="18"/>
                <w:color w:val="auto"/>
              </w:rPr>
              <w:t>Redemption of BTC</w:t>
            </w:r>
          </w:p>
        </w:tc>
        <w:tc>
          <w:tcPr>
            <w:tcW w:w="3640" w:type="dxa"/>
            <w:vAlign w:val="bottom"/>
          </w:tcPr>
          <w:p>
            <w:pPr>
              <w:spacing w:after="0"/>
              <w:rPr>
                <w:sz w:val="18"/>
                <w:szCs w:val="18"/>
                <w:color w:val="auto"/>
              </w:rPr>
            </w:pPr>
          </w:p>
        </w:tc>
        <w:tc>
          <w:tcPr>
            <w:tcW w:w="15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(1,187)</w:t>
            </w:r>
          </w:p>
        </w:tc>
      </w:tr>
      <w:tr>
        <w:trPr>
          <w:trHeight w:val="216"/>
        </w:trPr>
        <w:tc>
          <w:tcPr>
            <w:tcW w:w="4960" w:type="dxa"/>
            <w:vAlign w:val="bottom"/>
            <w:shd w:val="clear" w:color="auto" w:fill="CCEEFF"/>
          </w:tcPr>
          <w:p>
            <w:pPr>
              <w:jc w:val="right"/>
              <w:ind w:right="3250"/>
              <w:spacing w:after="0"/>
              <w:rPr>
                <w:sz w:val="20"/>
                <w:szCs w:val="20"/>
                <w:color w:val="auto"/>
              </w:rPr>
            </w:pPr>
            <w:r>
              <w:rPr>
                <w:rFonts w:ascii="Times New Roman" w:cs="Times New Roman" w:eastAsia="Times New Roman" w:hAnsi="Times New Roman"/>
                <w:sz w:val="18"/>
                <w:szCs w:val="18"/>
                <w:color w:val="auto"/>
                <w:w w:val="99"/>
              </w:rPr>
              <w:t>July 2025 Swap Order</w:t>
            </w:r>
          </w:p>
        </w:tc>
        <w:tc>
          <w:tcPr>
            <w:tcW w:w="3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iii.</w:t>
            </w:r>
          </w:p>
        </w:tc>
        <w:tc>
          <w:tcPr>
            <w:tcW w:w="1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54</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5,845</w:t>
            </w:r>
          </w:p>
        </w:tc>
      </w:tr>
      <w:tr>
        <w:trPr>
          <w:trHeight w:val="229"/>
        </w:trPr>
        <w:tc>
          <w:tcPr>
            <w:tcW w:w="4960" w:type="dxa"/>
            <w:vAlign w:val="bottom"/>
            <w:tcBorders>
              <w:bottom w:val="single" w:sz="8" w:color="auto"/>
            </w:tcBorders>
          </w:tcPr>
          <w:p>
            <w:pPr>
              <w:jc w:val="right"/>
              <w:ind w:right="3230"/>
              <w:spacing w:after="0"/>
              <w:rPr>
                <w:sz w:val="20"/>
                <w:szCs w:val="20"/>
                <w:color w:val="auto"/>
              </w:rPr>
            </w:pPr>
            <w:r>
              <w:rPr>
                <w:rFonts w:ascii="Times New Roman" w:cs="Times New Roman" w:eastAsia="Times New Roman" w:hAnsi="Times New Roman"/>
                <w:sz w:val="18"/>
                <w:szCs w:val="18"/>
                <w:color w:val="auto"/>
              </w:rPr>
              <w:t>Redemption of BTC</w:t>
            </w:r>
          </w:p>
        </w:tc>
        <w:tc>
          <w:tcPr>
            <w:tcW w:w="36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4960" w:type="dxa"/>
            <w:vAlign w:val="bottom"/>
            <w:tcBorders>
              <w:bottom w:val="single" w:sz="8" w:color="auto"/>
            </w:tcBorders>
            <w:shd w:val="clear" w:color="auto" w:fill="CCEEFF"/>
          </w:tcPr>
          <w:p>
            <w:pPr>
              <w:spacing w:after="0"/>
              <w:rPr>
                <w:sz w:val="20"/>
                <w:szCs w:val="20"/>
                <w:color w:val="auto"/>
              </w:rPr>
            </w:pPr>
          </w:p>
        </w:tc>
        <w:tc>
          <w:tcPr>
            <w:tcW w:w="364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157</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15,339</w:t>
            </w:r>
          </w:p>
        </w:tc>
      </w:tr>
    </w:tbl>
    <w:p>
      <w:pPr>
        <w:spacing w:after="0" w:line="225" w:lineRule="exact"/>
        <w:rPr>
          <w:sz w:val="20"/>
          <w:szCs w:val="20"/>
          <w:color w:val="auto"/>
        </w:rPr>
      </w:pPr>
    </w:p>
    <w:p>
      <w:pPr>
        <w:jc w:val="both"/>
        <w:ind w:left="660" w:hanging="328"/>
        <w:spacing w:after="0" w:line="258"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2024, the Company paid for the Miners ordered (“November 2024 Order”) using 351 BTC valued at $33,230 (i.e., 351 BTC Pledged). On initial recognition, the Company recorded a derivative asset of $1,349 with a corresponding reduction in long-term deposits and equipment prepayments as the Miners were not yet shipped. During the nine months ended September 30, 2025, the Company exercised its option to redeem the first three installments of the BTC pledged and redeemed an aggregate 262 BTC for $24,923. Subsequently, in October 2025, the Company exercised the fourth and last BTC Installment of the November 2024 Order. Refer to Note 29 for more details.</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2025, an exchange agreement (“March 2025 Swap Order”) was entered into to exchange Miners for which the Company paid $2,374 in BTC which can be redeemed on a quarterly basis (i.e., 29 BTC Pledged). On initial recognition, the Company recorded a derivative asset of $393 with a corresponding reduction in long-term deposits and equipment prepayments as the Miners had not yet been shipped. During the nine months ended September 30, 2025, the Company exercised its option to redeem the first and second installments of the BTC Pledged and redeemed 15 BTC for $1,187. Subsequently, in October 2025, the Company exercised the third and fourth BTC Installments of the March 2025 Swap Order. Refer to Note 29 for more details.</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2025, an exchange agreement (“July 2025 Swap Order”) was entered into to exchange Miners for which the Company paid $5,966 in BTC which can be redeemed on a quarterly basis (i.e., 54 BTC Pledged). On initial recognition, the Company recorded a derivative asset of $679 with a corresponding reduction in assets held for sale. During the three and nine months ended September 30, 2025, no option to redeem BTC was exercised. Subsequently, in October 2025, the Company exercised the first BTC Installment of the July 2025 Swap Order. Refer to Note 29 for more details.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8, Note 21 and Note 29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23  Page</w:t>
      </w:r>
    </w:p>
    <w:p>
      <w:pPr>
        <w:sectPr>
          <w:pgSz w:w="11900" w:h="16838" w:orient="portrait"/>
          <w:cols w:equalWidth="0" w:num="1">
            <w:col w:w="11240"/>
          </w:cols>
          <w:pgMar w:left="320" w:top="90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NOTE 10: DERIVATIVE ASSETS AND LIABILITIES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assets of private company</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During the second quarter of 2025, the Company acquired warrants of a privately held Canadian company (“PHCC”) to purchase preferred shares. Refer to Note 15 for more details.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derivatives and reconciles the fair value measurement (Level 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As of September 30,</w:t>
            </w:r>
          </w:p>
        </w:tc>
        <w:tc>
          <w:tcPr>
            <w:tcW w:w="11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9"/>
              </w:rPr>
              <w:t>As of December 31,</w:t>
            </w:r>
          </w:p>
        </w:tc>
        <w:tc>
          <w:tcPr>
            <w:tcW w:w="940" w:type="dxa"/>
            <w:vAlign w:val="bottom"/>
            <w:tcBorders>
              <w:bottom w:val="single" w:sz="8" w:color="auto"/>
            </w:tcBorders>
          </w:tcPr>
          <w:p>
            <w:pPr>
              <w:spacing w:after="0"/>
              <w:rPr>
                <w:sz w:val="20"/>
                <w:szCs w:val="20"/>
                <w:color w:val="auto"/>
              </w:rPr>
            </w:pPr>
          </w:p>
        </w:tc>
      </w:tr>
      <w:tr>
        <w:trPr>
          <w:trHeight w:val="223"/>
        </w:trPr>
        <w:tc>
          <w:tcPr>
            <w:tcW w:w="3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2024</w:t>
            </w:r>
          </w:p>
        </w:tc>
        <w:tc>
          <w:tcPr>
            <w:tcW w:w="940" w:type="dxa"/>
            <w:vAlign w:val="bottom"/>
            <w:tcBorders>
              <w:bottom w:val="single" w:sz="8" w:color="auto"/>
            </w:tcBorders>
          </w:tcPr>
          <w:p>
            <w:pPr>
              <w:spacing w:after="0"/>
              <w:rPr>
                <w:sz w:val="19"/>
                <w:szCs w:val="19"/>
                <w:color w:val="auto"/>
              </w:rPr>
            </w:pPr>
          </w:p>
        </w:tc>
      </w:tr>
      <w:tr>
        <w:trPr>
          <w:trHeight w:val="223"/>
        </w:trPr>
        <w:tc>
          <w:tcPr>
            <w:tcW w:w="3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nine-month period</w:t>
            </w:r>
          </w:p>
        </w:tc>
        <w:tc>
          <w:tcPr>
            <w:tcW w:w="110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twelve-month period</w:t>
            </w:r>
          </w:p>
        </w:tc>
      </w:tr>
      <w:tr>
        <w:trPr>
          <w:trHeight w:val="187"/>
        </w:trPr>
        <w:tc>
          <w:tcPr>
            <w:tcW w:w="3420" w:type="dxa"/>
            <w:vAlign w:val="bottom"/>
          </w:tcPr>
          <w:p>
            <w:pPr>
              <w:spacing w:after="0"/>
              <w:rPr>
                <w:sz w:val="16"/>
                <w:szCs w:val="16"/>
                <w:color w:val="auto"/>
              </w:rPr>
            </w:pPr>
          </w:p>
        </w:tc>
        <w:tc>
          <w:tcPr>
            <w:tcW w:w="11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Warrants</w:t>
            </w:r>
          </w:p>
        </w:tc>
        <w:tc>
          <w:tcPr>
            <w:tcW w:w="12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BTC</w:t>
            </w: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color w:val="auto"/>
                <w:w w:val="96"/>
              </w:rPr>
              <w:t>BTC</w:t>
            </w:r>
          </w:p>
        </w:tc>
        <w:tc>
          <w:tcPr>
            <w:tcW w:w="1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6"/>
        </w:trPr>
        <w:tc>
          <w:tcPr>
            <w:tcW w:w="34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private</w:t>
            </w: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Redemption</w:t>
            </w:r>
          </w:p>
        </w:tc>
        <w:tc>
          <w:tcPr>
            <w:tcW w:w="21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BTC option and selling</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Redemption</w:t>
            </w:r>
          </w:p>
        </w:tc>
        <w:tc>
          <w:tcPr>
            <w:tcW w:w="21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BTC option and selling</w:t>
            </w:r>
          </w:p>
        </w:tc>
      </w:tr>
      <w:tr>
        <w:trPr>
          <w:trHeight w:val="238"/>
        </w:trPr>
        <w:tc>
          <w:tcPr>
            <w:tcW w:w="3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company</w:t>
            </w:r>
          </w:p>
        </w:tc>
        <w:tc>
          <w:tcPr>
            <w:tcW w:w="12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2120" w:type="dxa"/>
            <w:vAlign w:val="bottom"/>
            <w:tcBorders>
              <w:bottom w:val="single" w:sz="8" w:color="auto"/>
            </w:tcBorders>
            <w:gridSpan w:val="2"/>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contracts</w:t>
            </w:r>
          </w:p>
        </w:tc>
        <w:tc>
          <w:tcPr>
            <w:tcW w:w="11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Option</w:t>
            </w:r>
          </w:p>
        </w:tc>
        <w:tc>
          <w:tcPr>
            <w:tcW w:w="2160" w:type="dxa"/>
            <w:vAlign w:val="bottom"/>
            <w:tcBorders>
              <w:bottom w:val="single" w:sz="8" w:color="auto"/>
            </w:tcBorders>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contracts</w:t>
            </w:r>
          </w:p>
        </w:tc>
      </w:tr>
      <w:tr>
        <w:trPr>
          <w:trHeight w:val="187"/>
        </w:trPr>
        <w:tc>
          <w:tcPr>
            <w:tcW w:w="3420" w:type="dxa"/>
            <w:vAlign w:val="bottom"/>
          </w:tcPr>
          <w:p>
            <w:pPr>
              <w:spacing w:after="0"/>
              <w:rPr>
                <w:sz w:val="16"/>
                <w:szCs w:val="16"/>
                <w:color w:val="auto"/>
              </w:rPr>
            </w:pPr>
          </w:p>
        </w:tc>
        <w:tc>
          <w:tcPr>
            <w:tcW w:w="11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Derivative</w:t>
            </w:r>
          </w:p>
        </w:tc>
        <w:tc>
          <w:tcPr>
            <w:tcW w:w="126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Derivative</w:t>
            </w:r>
          </w:p>
        </w:tc>
        <w:tc>
          <w:tcPr>
            <w:tcW w:w="102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Derivative</w:t>
            </w:r>
          </w:p>
        </w:tc>
        <w:tc>
          <w:tcPr>
            <w:tcW w:w="110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Derivative</w:t>
            </w: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Derivative</w:t>
            </w:r>
          </w:p>
        </w:tc>
        <w:tc>
          <w:tcPr>
            <w:tcW w:w="122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color w:val="auto"/>
                <w:w w:val="99"/>
              </w:rPr>
              <w:t>Derivative</w:t>
            </w:r>
          </w:p>
        </w:tc>
        <w:tc>
          <w:tcPr>
            <w:tcW w:w="94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color w:val="auto"/>
                <w:w w:val="97"/>
              </w:rPr>
              <w:t>Derivative</w:t>
            </w:r>
          </w:p>
        </w:tc>
      </w:tr>
      <w:tr>
        <w:trPr>
          <w:trHeight w:val="238"/>
        </w:trPr>
        <w:tc>
          <w:tcPr>
            <w:tcW w:w="3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0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1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7"/>
              </w:rPr>
              <w:t>Assets</w:t>
            </w:r>
          </w:p>
        </w:tc>
        <w:tc>
          <w:tcPr>
            <w:tcW w:w="12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Assets</w:t>
            </w:r>
          </w:p>
        </w:tc>
        <w:tc>
          <w:tcPr>
            <w:tcW w:w="9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Liabilities</w:t>
            </w:r>
          </w:p>
        </w:tc>
      </w:tr>
      <w:tr>
        <w:trPr>
          <w:trHeight w:val="210"/>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3,418</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1,281</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Initial recognition</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1,072</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1,349</w:t>
            </w:r>
          </w:p>
        </w:tc>
        <w:tc>
          <w:tcPr>
            <w:tcW w:w="12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374</w:t>
            </w:r>
          </w:p>
        </w:tc>
        <w:tc>
          <w:tcPr>
            <w:tcW w:w="12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85,898</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64,795</w:t>
            </w: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13,610</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351</w:t>
            </w:r>
          </w:p>
        </w:tc>
      </w:tr>
      <w:tr>
        <w:trPr>
          <w:trHeight w:val="216"/>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(73,659)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(90,708)</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(30,762)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198"/>
        </w:trPr>
        <w:tc>
          <w:tcPr>
            <w:tcW w:w="34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Remeasurement recognized in statement of</w:t>
            </w:r>
          </w:p>
        </w:tc>
        <w:tc>
          <w:tcPr>
            <w:tcW w:w="1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48"/>
        </w:trPr>
        <w:tc>
          <w:tcPr>
            <w:tcW w:w="34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profit or loss</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(84)</w:t>
            </w: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(1,557)</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(12,239)</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26,041</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2,069</w:t>
            </w:r>
          </w:p>
        </w:tc>
        <w:tc>
          <w:tcPr>
            <w:tcW w:w="12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15,871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3"/>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as of period end</w:t>
            </w: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290</w:t>
            </w:r>
          </w:p>
        </w:tc>
        <w:tc>
          <w:tcPr>
            <w:tcW w:w="12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2,933</w:t>
            </w: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3,418</w:t>
            </w:r>
          </w:p>
        </w:tc>
        <w:tc>
          <w:tcPr>
            <w:tcW w:w="12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09"/>
        </w:trPr>
        <w:tc>
          <w:tcPr>
            <w:tcW w:w="3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Total derivative assets</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3,223</w:t>
            </w: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3,418</w:t>
            </w: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6"/>
        </w:trPr>
        <w:tc>
          <w:tcPr>
            <w:tcW w:w="3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derivative liabilities</w:t>
            </w:r>
          </w:p>
        </w:tc>
        <w:tc>
          <w:tcPr>
            <w:tcW w:w="11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w:t>
            </w:r>
          </w:p>
        </w:tc>
        <w:tc>
          <w:tcPr>
            <w:tcW w:w="12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24  Page</w:t>
      </w:r>
    </w:p>
    <w:p>
      <w:pPr>
        <w:sectPr>
          <w:pgSz w:w="11900" w:h="16838" w:orient="portrait"/>
          <w:cols w:equalWidth="0" w:num="1">
            <w:col w:w="11240"/>
          </w:cols>
          <w:pgMar w:left="320" w:top="90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10: DERIVATIVE ASSETS AND LIABILITIES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Warrant assets of private company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following gain or loss on derivatives are recognized in Net financial (expenses) income in the consolidated statements of profit or loss and comprehensive profit or loss: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80" w:type="dxa"/>
            <w:vAlign w:val="bottom"/>
          </w:tcPr>
          <w:p>
            <w:pPr>
              <w:spacing w:after="0"/>
              <w:rPr>
                <w:sz w:val="18"/>
                <w:szCs w:val="18"/>
                <w:color w:val="auto"/>
              </w:rPr>
            </w:pPr>
          </w:p>
        </w:tc>
        <w:tc>
          <w:tcPr>
            <w:tcW w:w="262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2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2"/>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522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2024</w:t>
            </w:r>
          </w:p>
        </w:tc>
        <w:tc>
          <w:tcPr>
            <w:tcW w:w="1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Gain (loss) on BTC options and selling contracts</w:t>
            </w:r>
          </w:p>
        </w:tc>
        <w:tc>
          <w:tcPr>
            <w:tcW w:w="2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change in fair value of outstanding contracts</w:t>
            </w:r>
          </w:p>
        </w:tc>
        <w:tc>
          <w:tcPr>
            <w:tcW w:w="282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(458)</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(230)</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r>
      <w:tr>
        <w:trPr>
          <w:trHeight w:val="229"/>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Realized gain (loss) on settled contracts</w:t>
            </w:r>
          </w:p>
        </w:tc>
        <w:tc>
          <w:tcPr>
            <w:tcW w:w="28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13,807</w:t>
            </w:r>
          </w:p>
        </w:tc>
        <w:tc>
          <w:tcPr>
            <w:tcW w:w="5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654</w:t>
            </w:r>
          </w:p>
        </w:tc>
        <w:tc>
          <w:tcPr>
            <w:tcW w:w="1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14,032</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1,305</w:t>
            </w:r>
          </w:p>
        </w:tc>
      </w:tr>
      <w:tr>
        <w:trPr>
          <w:trHeight w:val="223"/>
        </w:trPr>
        <w:tc>
          <w:tcPr>
            <w:tcW w:w="5220" w:type="dxa"/>
            <w:vAlign w:val="bottom"/>
            <w:tcBorders>
              <w:bottom w:val="single" w:sz="8" w:color="auto"/>
            </w:tcBorders>
            <w:shd w:val="clear" w:color="auto" w:fill="CCEEFF"/>
          </w:tcPr>
          <w:p>
            <w:pPr>
              <w:spacing w:after="0"/>
              <w:rPr>
                <w:sz w:val="19"/>
                <w:szCs w:val="19"/>
                <w:color w:val="auto"/>
              </w:rPr>
            </w:pPr>
          </w:p>
        </w:tc>
        <w:tc>
          <w:tcPr>
            <w:tcW w:w="282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13,349</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13,802</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w:t>
            </w:r>
          </w:p>
        </w:tc>
      </w:tr>
      <w:tr>
        <w:trPr>
          <w:trHeight w:val="209"/>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Gain (loss) on BTC Redemption Option</w:t>
            </w:r>
          </w:p>
        </w:tc>
        <w:tc>
          <w:tcPr>
            <w:tcW w:w="2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change in fair value</w:t>
            </w:r>
          </w:p>
        </w:tc>
        <w:tc>
          <w:tcPr>
            <w:tcW w:w="282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(3,498)</w:t>
            </w:r>
          </w:p>
        </w:tc>
        <w:tc>
          <w:tcPr>
            <w:tcW w:w="5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(5,006)</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Realized gain on settled options</w:t>
            </w:r>
          </w:p>
        </w:tc>
        <w:tc>
          <w:tcPr>
            <w:tcW w:w="28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2,324</w:t>
            </w:r>
          </w:p>
        </w:tc>
        <w:tc>
          <w:tcPr>
            <w:tcW w:w="5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3,449</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20" w:type="dxa"/>
            <w:vAlign w:val="bottom"/>
            <w:tcBorders>
              <w:bottom w:val="single" w:sz="8" w:color="auto"/>
            </w:tcBorders>
            <w:shd w:val="clear" w:color="auto" w:fill="CCEEFF"/>
          </w:tcPr>
          <w:p>
            <w:pPr>
              <w:spacing w:after="0"/>
              <w:rPr>
                <w:sz w:val="19"/>
                <w:szCs w:val="19"/>
                <w:color w:val="auto"/>
              </w:rPr>
            </w:pPr>
          </w:p>
        </w:tc>
        <w:tc>
          <w:tcPr>
            <w:tcW w:w="282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(1,174)</w:t>
            </w:r>
          </w:p>
        </w:tc>
        <w:tc>
          <w:tcPr>
            <w:tcW w:w="5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(1,557)</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Loss on warrants of private company</w:t>
            </w:r>
          </w:p>
        </w:tc>
        <w:tc>
          <w:tcPr>
            <w:tcW w:w="28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223"/>
        </w:trPr>
        <w:tc>
          <w:tcPr>
            <w:tcW w:w="5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change in fair value</w:t>
            </w:r>
          </w:p>
        </w:tc>
        <w:tc>
          <w:tcPr>
            <w:tcW w:w="282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(40)</w:t>
            </w:r>
          </w:p>
        </w:tc>
        <w:tc>
          <w:tcPr>
            <w:tcW w:w="5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(84)</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2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6"/>
        </w:trPr>
        <w:tc>
          <w:tcPr>
            <w:tcW w:w="5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gain (loss)</w:t>
            </w:r>
          </w:p>
        </w:tc>
        <w:tc>
          <w:tcPr>
            <w:tcW w:w="282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12,135</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12,161</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w:t>
            </w:r>
          </w:p>
        </w:tc>
      </w:tr>
      <w:tr>
        <w:trPr>
          <w:trHeight w:val="432"/>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ASSETS HELD FOR SALE</w:t>
            </w:r>
          </w:p>
        </w:tc>
        <w:tc>
          <w:tcPr>
            <w:tcW w:w="2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of September 30, 2025 and December 31, 2024, assets held for sale* consisted of the following:</w:t>
            </w: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10"/>
        </w:trPr>
        <w:tc>
          <w:tcPr>
            <w:tcW w:w="5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As of</w:t>
            </w:r>
          </w:p>
        </w:tc>
      </w:tr>
      <w:tr>
        <w:trPr>
          <w:trHeight w:val="238"/>
        </w:trPr>
        <w:tc>
          <w:tcPr>
            <w:tcW w:w="52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r>
      <w:tr>
        <w:trPr>
          <w:trHeight w:val="237"/>
        </w:trPr>
        <w:tc>
          <w:tcPr>
            <w:tcW w:w="52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Miners</w:t>
            </w:r>
          </w:p>
        </w:tc>
        <w:tc>
          <w:tcPr>
            <w:tcW w:w="28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i.</w:t>
            </w:r>
          </w:p>
        </w:tc>
        <w:tc>
          <w:tcPr>
            <w:tcW w:w="1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21,184</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4,806</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Mining electrical components</w:t>
            </w:r>
          </w:p>
        </w:tc>
        <w:tc>
          <w:tcPr>
            <w:tcW w:w="2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3,624</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1,117</w:t>
            </w:r>
          </w:p>
        </w:tc>
      </w:tr>
      <w:tr>
        <w:trPr>
          <w:trHeight w:val="243"/>
        </w:trPr>
        <w:tc>
          <w:tcPr>
            <w:tcW w:w="5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of disposal group classified as held for sale**</w:t>
            </w:r>
          </w:p>
        </w:tc>
        <w:tc>
          <w:tcPr>
            <w:tcW w:w="28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22</w:t>
            </w:r>
          </w:p>
        </w:tc>
        <w:tc>
          <w:tcPr>
            <w:tcW w:w="1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39,931</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522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64,739</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5,923</w:t>
            </w:r>
          </w:p>
        </w:tc>
      </w:tr>
    </w:tbl>
    <w:p>
      <w:pPr>
        <w:spacing w:after="0" w:line="196" w:lineRule="exact"/>
        <w:rPr>
          <w:sz w:val="20"/>
          <w:szCs w:val="20"/>
          <w:color w:val="auto"/>
        </w:rPr>
      </w:pPr>
    </w:p>
    <w:p>
      <w:pPr>
        <w:jc w:val="both"/>
        <w:ind w:firstLine="8"/>
        <w:spacing w:after="0" w:line="261" w:lineRule="auto"/>
        <w:tabs>
          <w:tab w:leader="none" w:pos="138"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Assets held for sale were measured at the lower of their carrying amount and fair value less costs to sell at the time of the reclassification. The fair value of the asset was determined using the latest sale approach, which is based on recent sales price concluded by the Company. It is a level 3 measurement under the fair value hierarchy and is a non-recurring measurement. The key assumption used by Management to determine the fair value is the most recent amount invoiced to a third party for a Miner sold.</w:t>
      </w:r>
    </w:p>
    <w:p>
      <w:pPr>
        <w:spacing w:after="0" w:line="179" w:lineRule="exact"/>
        <w:rPr>
          <w:rFonts w:ascii="Times New Roman" w:cs="Times New Roman" w:eastAsia="Times New Roman" w:hAnsi="Times New Roman"/>
          <w:sz w:val="18"/>
          <w:szCs w:val="18"/>
          <w:i w:val="1"/>
          <w:iCs w:val="1"/>
          <w:color w:val="auto"/>
        </w:rPr>
      </w:pPr>
    </w:p>
    <w:p>
      <w:pPr>
        <w:ind w:left="20" w:firstLine="3"/>
        <w:spacing w:after="0" w:line="284" w:lineRule="auto"/>
        <w:tabs>
          <w:tab w:leader="none" w:pos="247" w:val="left"/>
        </w:tabs>
        <w:numPr>
          <w:ilvl w:val="1"/>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Assets of disposal group classified as held for sale relate to the assets of the Company’s Paso Pe, Paraguay, Bitcoin data center operations, which are classified as discontinued operations. Refer to Note 22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713232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3"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25  Page</w:t>
      </w:r>
    </w:p>
    <w:p>
      <w:pPr>
        <w:sectPr>
          <w:pgSz w:w="11900" w:h="16838" w:orient="portrait"/>
          <w:cols w:equalWidth="0" w:num="1">
            <w:col w:w="11240"/>
          </w:cols>
          <w:pgMar w:left="320" w:top="90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11: ASSETS HELD FOR SALE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Miners held for sale</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summarizes the movement of Miners held for sale: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164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MicroBT</w:t>
            </w:r>
          </w:p>
        </w:tc>
        <w:tc>
          <w:tcPr>
            <w:tcW w:w="164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Bitmain S19j</w:t>
            </w: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Gain</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64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WhatsMiner</w:t>
            </w:r>
          </w:p>
        </w:tc>
        <w:tc>
          <w:tcPr>
            <w:tcW w:w="90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8"/>
              </w:rPr>
              <w:t>Pro,</w:t>
            </w: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64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M30, M31 &amp;</w:t>
            </w:r>
          </w:p>
        </w:tc>
        <w:tc>
          <w:tcPr>
            <w:tcW w:w="164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S19j Pro +</w:t>
            </w:r>
          </w:p>
        </w:tc>
        <w:tc>
          <w:tcPr>
            <w:tcW w:w="168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Bitmain S21+</w:t>
            </w:r>
          </w:p>
        </w:tc>
        <w:tc>
          <w:tcPr>
            <w:tcW w:w="16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Bitmain T21</w:t>
            </w: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Proceeds</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on</w:t>
            </w:r>
          </w:p>
        </w:tc>
        <w:tc>
          <w:tcPr>
            <w:tcW w:w="0" w:type="dxa"/>
            <w:vAlign w:val="bottom"/>
          </w:tcPr>
          <w:p>
            <w:pPr>
              <w:spacing w:after="0"/>
              <w:rPr>
                <w:sz w:val="1"/>
                <w:szCs w:val="1"/>
                <w:color w:val="auto"/>
              </w:rPr>
            </w:pPr>
          </w:p>
        </w:tc>
      </w:tr>
      <w:tr>
        <w:trPr>
          <w:trHeight w:val="238"/>
        </w:trPr>
        <w:tc>
          <w:tcPr>
            <w:tcW w:w="1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M50</w:t>
            </w:r>
          </w:p>
        </w:tc>
        <w:tc>
          <w:tcPr>
            <w:tcW w:w="7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Miners</w:t>
            </w:r>
          </w:p>
        </w:tc>
        <w:tc>
          <w:tcPr>
            <w:tcW w:w="1680" w:type="dxa"/>
            <w:vAlign w:val="bottom"/>
            <w:tcBorders>
              <w:bottom w:val="single" w:sz="8" w:color="auto"/>
            </w:tcBorders>
            <w:gridSpan w:val="2"/>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Miners</w:t>
            </w:r>
          </w:p>
        </w:tc>
        <w:tc>
          <w:tcPr>
            <w:tcW w:w="1680" w:type="dxa"/>
            <w:vAlign w:val="bottom"/>
            <w:tcBorders>
              <w:bottom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Miners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of sale</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sale</w:t>
            </w:r>
          </w:p>
        </w:tc>
        <w:tc>
          <w:tcPr>
            <w:tcW w:w="0" w:type="dxa"/>
            <w:vAlign w:val="bottom"/>
          </w:tcPr>
          <w:p>
            <w:pPr>
              <w:spacing w:after="0"/>
              <w:rPr>
                <w:sz w:val="1"/>
                <w:szCs w:val="1"/>
                <w:color w:val="auto"/>
              </w:rPr>
            </w:pPr>
          </w:p>
        </w:tc>
      </w:tr>
      <w:tr>
        <w:trPr>
          <w:trHeight w:val="237"/>
        </w:trPr>
        <w:tc>
          <w:tcPr>
            <w:tcW w:w="1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Qty</w:t>
            </w:r>
          </w:p>
        </w:tc>
        <w:tc>
          <w:tcPr>
            <w:tcW w:w="7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Qty</w:t>
            </w:r>
          </w:p>
        </w:tc>
        <w:tc>
          <w:tcPr>
            <w:tcW w:w="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Qty</w:t>
            </w: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Qty</w:t>
            </w:r>
          </w:p>
        </w:tc>
        <w:tc>
          <w:tcPr>
            <w:tcW w:w="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Qty</w:t>
            </w:r>
          </w:p>
        </w:tc>
        <w:tc>
          <w:tcPr>
            <w:tcW w:w="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191"/>
        </w:trPr>
        <w:tc>
          <w:tcPr>
            <w:tcW w:w="14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Balance as of</w:t>
            </w:r>
          </w:p>
        </w:tc>
        <w:tc>
          <w:tcPr>
            <w:tcW w:w="9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w:t>
            </w:r>
          </w:p>
        </w:tc>
        <w:tc>
          <w:tcPr>
            <w:tcW w:w="9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0" w:type="dxa"/>
            <w:vAlign w:val="bottom"/>
          </w:tcPr>
          <w:p>
            <w:pPr>
              <w:spacing w:after="0"/>
              <w:rPr>
                <w:sz w:val="1"/>
                <w:szCs w:val="1"/>
                <w:color w:val="auto"/>
              </w:rPr>
            </w:pPr>
          </w:p>
        </w:tc>
      </w:tr>
      <w:tr>
        <w:trPr>
          <w:trHeight w:val="261"/>
        </w:trPr>
        <w:tc>
          <w:tcPr>
            <w:tcW w:w="14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24,927</w:t>
            </w:r>
          </w:p>
        </w:tc>
        <w:tc>
          <w:tcPr>
            <w:tcW w:w="7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2,752</w:t>
            </w:r>
          </w:p>
        </w:tc>
        <w:tc>
          <w:tcPr>
            <w:tcW w:w="9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7,996</w:t>
            </w:r>
          </w:p>
        </w:tc>
        <w:tc>
          <w:tcPr>
            <w:tcW w:w="7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2,054</w:t>
            </w: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32,923</w:t>
            </w: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4,806</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2,547</w:t>
            </w:r>
          </w:p>
        </w:tc>
        <w:tc>
          <w:tcPr>
            <w:tcW w:w="62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7,673</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2,739</w:t>
            </w: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7,673</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2,739</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(11,177)</w:t>
            </w: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(1,283)</w:t>
            </w:r>
          </w:p>
        </w:tc>
        <w:tc>
          <w:tcPr>
            <w:tcW w:w="9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(11,177)</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(1,283)</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1,578</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w:t>
            </w:r>
          </w:p>
        </w:tc>
        <w:tc>
          <w:tcPr>
            <w:tcW w:w="0" w:type="dxa"/>
            <w:vAlign w:val="bottom"/>
          </w:tcPr>
          <w:p>
            <w:pPr>
              <w:spacing w:after="0"/>
              <w:rPr>
                <w:sz w:val="1"/>
                <w:szCs w:val="1"/>
                <w:color w:val="auto"/>
              </w:rPr>
            </w:pPr>
          </w:p>
        </w:tc>
      </w:tr>
      <w:tr>
        <w:trPr>
          <w:trHeight w:val="198"/>
        </w:trPr>
        <w:tc>
          <w:tcPr>
            <w:tcW w:w="1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Impairment -</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discontinued</w:t>
            </w:r>
          </w:p>
        </w:tc>
        <w:tc>
          <w:tcPr>
            <w:tcW w:w="940" w:type="dxa"/>
            <w:vAlign w:val="bottom"/>
          </w:tcPr>
          <w:p>
            <w:pPr>
              <w:spacing w:after="0"/>
              <w:rPr>
                <w:sz w:val="18"/>
                <w:szCs w:val="18"/>
                <w:color w:val="auto"/>
              </w:rPr>
            </w:pPr>
          </w:p>
        </w:tc>
        <w:tc>
          <w:tcPr>
            <w:tcW w:w="7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(1,320)</w:t>
            </w: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(1,320)</w:t>
            </w: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4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vMerge w:val="continue"/>
          </w:tcPr>
          <w:p>
            <w:pPr>
              <w:spacing w:after="0"/>
              <w:rPr>
                <w:sz w:val="22"/>
                <w:szCs w:val="22"/>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vMerge w:val="continue"/>
          </w:tcPr>
          <w:p>
            <w:pPr>
              <w:spacing w:after="0"/>
              <w:rPr>
                <w:sz w:val="22"/>
                <w:szCs w:val="22"/>
                <w:color w:val="auto"/>
              </w:rPr>
            </w:pP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1"/>
        </w:trPr>
        <w:tc>
          <w:tcPr>
            <w:tcW w:w="14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Balance as of</w:t>
            </w:r>
          </w:p>
        </w:tc>
        <w:tc>
          <w:tcPr>
            <w:tcW w:w="9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14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March 31, 2025</w:t>
            </w:r>
          </w:p>
        </w:tc>
        <w:tc>
          <w:tcPr>
            <w:tcW w:w="9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21,423</w:t>
            </w:r>
          </w:p>
        </w:tc>
        <w:tc>
          <w:tcPr>
            <w:tcW w:w="7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2,888</w:t>
            </w:r>
          </w:p>
        </w:tc>
        <w:tc>
          <w:tcPr>
            <w:tcW w:w="9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7,996</w:t>
            </w:r>
          </w:p>
        </w:tc>
        <w:tc>
          <w:tcPr>
            <w:tcW w:w="7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2,054</w:t>
            </w: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29,419</w:t>
            </w: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4,942</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1,578</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w:t>
            </w:r>
          </w:p>
        </w:tc>
        <w:tc>
          <w:tcPr>
            <w:tcW w:w="0" w:type="dxa"/>
            <w:vAlign w:val="bottom"/>
          </w:tcPr>
          <w:p>
            <w:pPr>
              <w:spacing w:after="0"/>
              <w:rPr>
                <w:sz w:val="1"/>
                <w:szCs w:val="1"/>
                <w:color w:val="auto"/>
              </w:rPr>
            </w:pPr>
          </w:p>
        </w:tc>
      </w:tr>
      <w:tr>
        <w:trPr>
          <w:trHeight w:val="21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2,900</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363</w:t>
            </w: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2,900</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363</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9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(5,999)</w:t>
            </w: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(686)</w:t>
            </w: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(500)</w:t>
            </w:r>
          </w:p>
        </w:tc>
        <w:tc>
          <w:tcPr>
            <w:tcW w:w="7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(100)</w:t>
            </w: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(6,499)</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(786)</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873</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0" w:type="dxa"/>
            <w:vAlign w:val="bottom"/>
          </w:tcPr>
          <w:p>
            <w:pPr>
              <w:spacing w:after="0"/>
              <w:rPr>
                <w:sz w:val="1"/>
                <w:szCs w:val="1"/>
                <w:color w:val="auto"/>
              </w:rPr>
            </w:pPr>
          </w:p>
        </w:tc>
      </w:tr>
      <w:tr>
        <w:trPr>
          <w:trHeight w:val="191"/>
        </w:trPr>
        <w:tc>
          <w:tcPr>
            <w:tcW w:w="14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Balance as of</w:t>
            </w: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14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June 30, 2025</w:t>
            </w: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18,324</w:t>
            </w:r>
          </w:p>
        </w:tc>
        <w:tc>
          <w:tcPr>
            <w:tcW w:w="7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2,565</w:t>
            </w: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7,496</w:t>
            </w:r>
          </w:p>
        </w:tc>
        <w:tc>
          <w:tcPr>
            <w:tcW w:w="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1,954</w:t>
            </w:r>
          </w:p>
        </w:tc>
        <w:tc>
          <w:tcPr>
            <w:tcW w:w="8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25,820</w:t>
            </w:r>
          </w:p>
        </w:tc>
        <w:tc>
          <w:tcPr>
            <w:tcW w:w="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4,519</w:t>
            </w: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2,451</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382</w:t>
            </w:r>
          </w:p>
        </w:tc>
        <w:tc>
          <w:tcPr>
            <w:tcW w:w="0" w:type="dxa"/>
            <w:vAlign w:val="bottom"/>
          </w:tcPr>
          <w:p>
            <w:pPr>
              <w:spacing w:after="0"/>
              <w:rPr>
                <w:sz w:val="1"/>
                <w:szCs w:val="1"/>
                <w:color w:val="auto"/>
              </w:rPr>
            </w:pPr>
          </w:p>
        </w:tc>
      </w:tr>
      <w:tr>
        <w:trPr>
          <w:trHeight w:val="210"/>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9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256</w:t>
            </w:r>
          </w:p>
        </w:tc>
        <w:tc>
          <w:tcPr>
            <w:tcW w:w="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102</w:t>
            </w:r>
          </w:p>
        </w:tc>
        <w:tc>
          <w:tcPr>
            <w:tcW w:w="9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6,409</w:t>
            </w:r>
          </w:p>
        </w:tc>
        <w:tc>
          <w:tcPr>
            <w:tcW w:w="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2,137</w:t>
            </w:r>
          </w:p>
        </w:tc>
        <w:tc>
          <w:tcPr>
            <w:tcW w:w="8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8,585</w:t>
            </w:r>
          </w:p>
        </w:tc>
        <w:tc>
          <w:tcPr>
            <w:tcW w:w="8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34,739</w:t>
            </w: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10,469</w:t>
            </w: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21,990</w:t>
            </w:r>
          </w:p>
        </w:tc>
        <w:tc>
          <w:tcPr>
            <w:tcW w:w="10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25,719</w:t>
            </w: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58,968</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8"/>
        </w:trPr>
        <w:tc>
          <w:tcPr>
            <w:tcW w:w="1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Reclassification</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disposal</w:t>
            </w: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group as assets</w:t>
            </w:r>
          </w:p>
        </w:tc>
        <w:tc>
          <w:tcPr>
            <w:tcW w:w="9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(2,900)</w:t>
            </w:r>
          </w:p>
        </w:tc>
        <w:tc>
          <w:tcPr>
            <w:tcW w:w="7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(363)</w:t>
            </w: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(1,600)</w:t>
            </w:r>
          </w:p>
        </w:tc>
        <w:tc>
          <w:tcPr>
            <w:tcW w:w="8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(3,648)</w:t>
            </w:r>
          </w:p>
        </w:tc>
        <w:tc>
          <w:tcPr>
            <w:tcW w:w="10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(4,500)</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(4,011)</w:t>
            </w:r>
          </w:p>
        </w:tc>
        <w:tc>
          <w:tcPr>
            <w:tcW w:w="8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held for sale*</w:t>
            </w:r>
          </w:p>
        </w:tc>
        <w:tc>
          <w:tcPr>
            <w:tcW w:w="94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(9,628)</w:t>
            </w: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(1,400)</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(2,298)</w:t>
            </w:r>
          </w:p>
        </w:tc>
        <w:tc>
          <w:tcPr>
            <w:tcW w:w="7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(778)</w:t>
            </w: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(3,432)</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(10,693)</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(6,469)</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(14,749)</w:t>
            </w:r>
          </w:p>
        </w:tc>
        <w:tc>
          <w:tcPr>
            <w:tcW w:w="10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(21,827)</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(27,620)</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27,552</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0" w:type="dxa"/>
            <w:vAlign w:val="bottom"/>
          </w:tcPr>
          <w:p>
            <w:pPr>
              <w:spacing w:after="0"/>
              <w:rPr>
                <w:sz w:val="1"/>
                <w:szCs w:val="1"/>
                <w:color w:val="auto"/>
              </w:rPr>
            </w:pPr>
          </w:p>
        </w:tc>
      </w:tr>
      <w:tr>
        <w:trPr>
          <w:trHeight w:val="198"/>
        </w:trPr>
        <w:tc>
          <w:tcPr>
            <w:tcW w:w="1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Transfer to</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w:t>
            </w:r>
          </w:p>
        </w:tc>
        <w:tc>
          <w:tcPr>
            <w:tcW w:w="9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(6,277)</w:t>
            </w:r>
          </w:p>
        </w:tc>
        <w:tc>
          <w:tcPr>
            <w:tcW w:w="7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(1,570)</w:t>
            </w:r>
          </w:p>
        </w:tc>
        <w:tc>
          <w:tcPr>
            <w:tcW w:w="8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(6,277)</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(1,570)</w:t>
            </w:r>
          </w:p>
        </w:tc>
        <w:tc>
          <w:tcPr>
            <w:tcW w:w="8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Equipment</w:t>
            </w:r>
          </w:p>
        </w:tc>
        <w:tc>
          <w:tcPr>
            <w:tcW w:w="94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w:t>
            </w:r>
          </w:p>
        </w:tc>
        <w:tc>
          <w:tcPr>
            <w:tcW w:w="9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(9,102)</w:t>
            </w:r>
          </w:p>
        </w:tc>
        <w:tc>
          <w:tcPr>
            <w:tcW w:w="8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(9,102)</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7"/>
        </w:trPr>
        <w:tc>
          <w:tcPr>
            <w:tcW w:w="14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14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6,052</w:t>
            </w:r>
          </w:p>
        </w:tc>
        <w:tc>
          <w:tcPr>
            <w:tcW w:w="7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904</w:t>
            </w: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5,330</w:t>
            </w:r>
          </w:p>
        </w:tc>
        <w:tc>
          <w:tcPr>
            <w:tcW w:w="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1,743</w:t>
            </w:r>
          </w:p>
        </w:tc>
        <w:tc>
          <w:tcPr>
            <w:tcW w:w="8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5,153</w:t>
            </w: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14,944</w:t>
            </w:r>
          </w:p>
        </w:tc>
        <w:tc>
          <w:tcPr>
            <w:tcW w:w="8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2,400</w:t>
            </w:r>
          </w:p>
        </w:tc>
        <w:tc>
          <w:tcPr>
            <w:tcW w:w="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3,593</w:t>
            </w: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18,935</w:t>
            </w:r>
          </w:p>
        </w:tc>
        <w:tc>
          <w:tcPr>
            <w:tcW w:w="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21,184</w:t>
            </w: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30,003</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313</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firstLine="8"/>
        <w:spacing w:after="0" w:line="267" w:lineRule="auto"/>
        <w:tabs>
          <w:tab w:leader="none" w:pos="142"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Reclassification to disposal group as assets held for sale relates to the Miners of the Company’s Paso Pe, Paraguay, Bitcoin data center operations that were previously included in assets held for sale prior to becoming a disposal group held for sale and discontinued operations. Refer to Note 22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8"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26  Page</w:t>
      </w:r>
    </w:p>
    <w:p>
      <w:pPr>
        <w:sectPr>
          <w:pgSz w:w="11900" w:h="16838" w:orient="portrait"/>
          <w:cols w:equalWidth="0" w:num="1">
            <w:col w:w="11240"/>
          </w:cols>
          <w:pgMar w:left="320" w:top="90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11: ASSETS HELD FOR SALE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Miners held for sale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198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MicroBT</w:t>
            </w:r>
          </w:p>
        </w:tc>
        <w:tc>
          <w:tcPr>
            <w:tcW w:w="112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8"/>
              </w:rPr>
              <w:t>MicroBT</w:t>
            </w: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Gain</w:t>
            </w:r>
          </w:p>
        </w:tc>
      </w:tr>
      <w:tr>
        <w:trPr>
          <w:trHeight w:val="216"/>
        </w:trPr>
        <w:tc>
          <w:tcPr>
            <w:tcW w:w="2320" w:type="dxa"/>
            <w:vAlign w:val="bottom"/>
          </w:tcPr>
          <w:p>
            <w:pPr>
              <w:spacing w:after="0"/>
              <w:rPr>
                <w:sz w:val="18"/>
                <w:szCs w:val="18"/>
                <w:color w:val="auto"/>
              </w:rPr>
            </w:pPr>
          </w:p>
        </w:tc>
        <w:tc>
          <w:tcPr>
            <w:tcW w:w="198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WhatsMiner M30,</w:t>
            </w:r>
          </w:p>
        </w:tc>
        <w:tc>
          <w:tcPr>
            <w:tcW w:w="172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WhatsMiner</w:t>
            </w:r>
          </w:p>
        </w:tc>
        <w:tc>
          <w:tcPr>
            <w:tcW w:w="18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Bitmain S19j Pro,</w:t>
            </w: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Proceeds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(loss) on</w:t>
            </w:r>
          </w:p>
        </w:tc>
      </w:tr>
      <w:tr>
        <w:trPr>
          <w:trHeight w:val="238"/>
        </w:trPr>
        <w:tc>
          <w:tcPr>
            <w:tcW w:w="2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M31</w:t>
            </w:r>
          </w:p>
        </w:tc>
        <w:tc>
          <w:tcPr>
            <w:tcW w:w="1200" w:type="dxa"/>
            <w:vAlign w:val="bottom"/>
            <w:tcBorders>
              <w:bottom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99"/>
              </w:rPr>
              <w:t>&amp; M50</w:t>
            </w:r>
          </w:p>
        </w:tc>
        <w:tc>
          <w:tcPr>
            <w:tcW w:w="112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M20S</w:t>
            </w:r>
          </w:p>
        </w:tc>
        <w:tc>
          <w:tcPr>
            <w:tcW w:w="6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S19j Pro + Miners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of sale</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sale</w:t>
            </w:r>
          </w:p>
        </w:tc>
      </w:tr>
      <w:tr>
        <w:trPr>
          <w:trHeight w:val="223"/>
        </w:trPr>
        <w:tc>
          <w:tcPr>
            <w:tcW w:w="2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Qty</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Qty</w:t>
            </w:r>
          </w:p>
        </w:tc>
        <w:tc>
          <w:tcPr>
            <w:tcW w:w="6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Qty</w:t>
            </w: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Qty</w:t>
            </w:r>
          </w:p>
        </w:tc>
        <w:tc>
          <w:tcPr>
            <w:tcW w:w="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23"/>
        </w:trPr>
        <w:tc>
          <w:tcPr>
            <w:tcW w:w="2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731</w:t>
            </w:r>
          </w:p>
        </w:tc>
        <w:tc>
          <w:tcPr>
            <w:tcW w:w="6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316</w:t>
            </w:r>
          </w:p>
        </w:tc>
        <w:tc>
          <w:tcPr>
            <w:tcW w:w="9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300</w:t>
            </w:r>
          </w:p>
        </w:tc>
        <w:tc>
          <w:tcPr>
            <w:tcW w:w="8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205</w:t>
            </w:r>
          </w:p>
        </w:tc>
        <w:tc>
          <w:tcPr>
            <w:tcW w:w="10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1,031</w:t>
            </w:r>
          </w:p>
        </w:tc>
        <w:tc>
          <w:tcPr>
            <w:tcW w:w="6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521</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7,696</w:t>
            </w:r>
          </w:p>
        </w:tc>
        <w:tc>
          <w:tcPr>
            <w:tcW w:w="240" w:type="dxa"/>
            <w:vAlign w:val="bottom"/>
          </w:tcPr>
          <w:p>
            <w:pPr>
              <w:spacing w:after="0"/>
              <w:rPr>
                <w:sz w:val="18"/>
                <w:szCs w:val="18"/>
                <w:color w:val="auto"/>
              </w:rPr>
            </w:pPr>
          </w:p>
        </w:tc>
        <w:tc>
          <w:tcPr>
            <w:tcW w:w="9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1,363</w:t>
            </w:r>
          </w:p>
        </w:tc>
        <w:tc>
          <w:tcPr>
            <w:tcW w:w="11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7,696</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1,363</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(258)</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(300)</w:t>
            </w: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(205)</w:t>
            </w:r>
          </w:p>
        </w:tc>
        <w:tc>
          <w:tcPr>
            <w:tcW w:w="10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(558)</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239</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3"/>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7,696</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1,363</w:t>
            </w: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473</w:t>
            </w:r>
          </w:p>
        </w:tc>
        <w:tc>
          <w:tcPr>
            <w:tcW w:w="6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208</w:t>
            </w: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8,169</w:t>
            </w:r>
          </w:p>
        </w:tc>
        <w:tc>
          <w:tcPr>
            <w:tcW w:w="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1,571</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239</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09"/>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30,606</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6,565</w:t>
            </w:r>
          </w:p>
        </w:tc>
        <w:tc>
          <w:tcPr>
            <w:tcW w:w="11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2,609</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822</w:t>
            </w:r>
          </w:p>
        </w:tc>
        <w:tc>
          <w:tcPr>
            <w:tcW w:w="10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33,215</w:t>
            </w:r>
          </w:p>
        </w:tc>
        <w:tc>
          <w:tcPr>
            <w:tcW w:w="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7,387</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10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(1,140)</w:t>
            </w: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(251)</w:t>
            </w: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(1,140)</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289</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2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37,162</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7,677</w:t>
            </w:r>
          </w:p>
        </w:tc>
        <w:tc>
          <w:tcPr>
            <w:tcW w:w="112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473</w:t>
            </w:r>
          </w:p>
        </w:tc>
        <w:tc>
          <w:tcPr>
            <w:tcW w:w="6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208</w:t>
            </w:r>
          </w:p>
        </w:tc>
        <w:tc>
          <w:tcPr>
            <w:tcW w:w="9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2,609</w:t>
            </w:r>
          </w:p>
        </w:tc>
        <w:tc>
          <w:tcPr>
            <w:tcW w:w="8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822</w:t>
            </w:r>
          </w:p>
        </w:tc>
        <w:tc>
          <w:tcPr>
            <w:tcW w:w="10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40,244</w:t>
            </w:r>
          </w:p>
        </w:tc>
        <w:tc>
          <w:tcPr>
            <w:tcW w:w="6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8,707</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528</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0"/>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40" w:type="dxa"/>
            <w:vAlign w:val="bottom"/>
          </w:tcPr>
          <w:p>
            <w:pPr>
              <w:spacing w:after="0"/>
              <w:rPr>
                <w:sz w:val="18"/>
                <w:szCs w:val="18"/>
                <w:color w:val="auto"/>
              </w:rPr>
            </w:pPr>
          </w:p>
        </w:tc>
        <w:tc>
          <w:tcPr>
            <w:tcW w:w="9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62</w:t>
            </w:r>
          </w:p>
        </w:tc>
        <w:tc>
          <w:tcPr>
            <w:tcW w:w="11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5,786</w:t>
            </w: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1,587</w:t>
            </w:r>
          </w:p>
        </w:tc>
        <w:tc>
          <w:tcPr>
            <w:tcW w:w="10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6,063</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1,649</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10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(4,620)</w:t>
            </w:r>
          </w:p>
        </w:tc>
        <w:tc>
          <w:tcPr>
            <w:tcW w:w="9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(1,022)</w:t>
            </w:r>
          </w:p>
        </w:tc>
        <w:tc>
          <w:tcPr>
            <w:tcW w:w="11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(4,620)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1,049</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Impairment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(3,120)</w:t>
            </w:r>
          </w:p>
        </w:tc>
        <w:tc>
          <w:tcPr>
            <w:tcW w:w="1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(473)</w:t>
            </w: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(208)</w:t>
            </w: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(300)</w:t>
            </w: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(473)</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23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Balance as of September 30,</w:t>
            </w: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48"/>
        </w:trPr>
        <w:tc>
          <w:tcPr>
            <w:tcW w:w="23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32,819</w:t>
            </w:r>
          </w:p>
        </w:tc>
        <w:tc>
          <w:tcPr>
            <w:tcW w:w="2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3,597</w:t>
            </w:r>
          </w:p>
        </w:tc>
        <w:tc>
          <w:tcPr>
            <w:tcW w:w="112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8,395</w:t>
            </w:r>
          </w:p>
        </w:tc>
        <w:tc>
          <w:tcPr>
            <w:tcW w:w="8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2,109</w:t>
            </w:r>
          </w:p>
        </w:tc>
        <w:tc>
          <w:tcPr>
            <w:tcW w:w="10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41,214</w:t>
            </w:r>
          </w:p>
        </w:tc>
        <w:tc>
          <w:tcPr>
            <w:tcW w:w="6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5,706</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1,577</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9"/>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240" w:type="dxa"/>
            <w:vAlign w:val="bottom"/>
          </w:tcPr>
          <w:p>
            <w:pPr>
              <w:spacing w:after="0"/>
              <w:rPr>
                <w:sz w:val="18"/>
                <w:szCs w:val="18"/>
                <w:color w:val="auto"/>
              </w:rPr>
            </w:pPr>
          </w:p>
        </w:tc>
        <w:tc>
          <w:tcPr>
            <w:tcW w:w="9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181</w:t>
            </w:r>
          </w:p>
        </w:tc>
        <w:tc>
          <w:tcPr>
            <w:tcW w:w="11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1,447</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181</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102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(9,339)</w:t>
            </w:r>
          </w:p>
        </w:tc>
        <w:tc>
          <w:tcPr>
            <w:tcW w:w="9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(1,026)</w:t>
            </w:r>
          </w:p>
        </w:tc>
        <w:tc>
          <w:tcPr>
            <w:tcW w:w="112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(399)</w:t>
            </w: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(55)</w:t>
            </w:r>
          </w:p>
        </w:tc>
        <w:tc>
          <w:tcPr>
            <w:tcW w:w="10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(9,738)</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970</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191"/>
        </w:trPr>
        <w:tc>
          <w:tcPr>
            <w:tcW w:w="23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Balance as of December 31,</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5"/>
        </w:trPr>
        <w:tc>
          <w:tcPr>
            <w:tcW w:w="23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2,752</w:t>
            </w: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7,996</w:t>
            </w: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2,054</w:t>
            </w:r>
          </w:p>
        </w:tc>
        <w:tc>
          <w:tcPr>
            <w:tcW w:w="10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32,923</w:t>
            </w:r>
          </w:p>
        </w:tc>
        <w:tc>
          <w:tcPr>
            <w:tcW w:w="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4,806</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2,547</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27  Page</w:t>
      </w:r>
    </w:p>
    <w:p>
      <w:pPr>
        <w:sectPr>
          <w:pgSz w:w="11900" w:h="16838" w:orient="portrait"/>
          <w:cols w:equalWidth="0" w:num="1">
            <w:col w:w="11240"/>
          </w:cols>
          <w:pgMar w:left="320" w:top="90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NOTE 12: PROPERTY, PLANT AND EQUIPMENT</w:t>
            </w:r>
          </w:p>
        </w:tc>
        <w:tc>
          <w:tcPr>
            <w:tcW w:w="8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10"/>
        </w:trPr>
        <w:tc>
          <w:tcPr>
            <w:tcW w:w="3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Machinery</w:t>
            </w: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3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Land and</w:t>
            </w: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Power</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tc>
        <w:tc>
          <w:tcPr>
            <w:tcW w:w="13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Leasehold</w:t>
            </w: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8"/>
        </w:trPr>
        <w:tc>
          <w:tcPr>
            <w:tcW w:w="3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BVVE</w:t>
            </w:r>
          </w:p>
        </w:tc>
        <w:tc>
          <w:tcPr>
            <w:tcW w:w="1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buildings</w:t>
            </w: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plants</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Equipment</w:t>
            </w:r>
          </w:p>
        </w:tc>
        <w:tc>
          <w:tcPr>
            <w:tcW w:w="1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improvements</w:t>
            </w:r>
          </w:p>
        </w:tc>
        <w:tc>
          <w:tcPr>
            <w:tcW w:w="10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Vehicles</w:t>
            </w:r>
          </w:p>
        </w:tc>
        <w:tc>
          <w:tcPr>
            <w:tcW w:w="9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7"/>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9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r>
        <w:trPr>
          <w:trHeight w:val="237"/>
        </w:trPr>
        <w:tc>
          <w:tcPr>
            <w:tcW w:w="3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2025</w:t>
            </w:r>
          </w:p>
        </w:tc>
        <w:tc>
          <w:tcPr>
            <w:tcW w:w="9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425,447</w:t>
            </w: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34,426</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59,827</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1,748</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521,448</w:t>
            </w:r>
          </w:p>
        </w:tc>
      </w:tr>
      <w:tr>
        <w:trPr>
          <w:trHeight w:val="20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98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110,969</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538</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168</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4,949</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1,060</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117,708</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through business combination</w:t>
            </w:r>
          </w:p>
        </w:tc>
        <w:tc>
          <w:tcPr>
            <w:tcW w:w="9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5</w:t>
            </w:r>
          </w:p>
        </w:tc>
        <w:tc>
          <w:tcPr>
            <w:tcW w:w="8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30,845</w:t>
            </w: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5,937</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101,450</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10,890</w:t>
            </w:r>
          </w:p>
        </w:tc>
        <w:tc>
          <w:tcPr>
            <w:tcW w:w="1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3,142</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152,264</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(29,259)</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(15,611)</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(1,234)</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(46,171)</w:t>
            </w:r>
          </w:p>
        </w:tc>
      </w:tr>
      <w:tr>
        <w:trPr>
          <w:trHeight w:val="243"/>
        </w:trPr>
        <w:tc>
          <w:tcPr>
            <w:tcW w:w="3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to assets held for sale</w:t>
            </w:r>
          </w:p>
        </w:tc>
        <w:tc>
          <w:tcPr>
            <w:tcW w:w="9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11, 22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(187,824)</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(13,882)</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(40,605)</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(493)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(242,804)</w:t>
            </w:r>
          </w:p>
        </w:tc>
      </w:tr>
      <w:tr>
        <w:trPr>
          <w:trHeight w:val="237"/>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2025</w:t>
            </w:r>
          </w:p>
        </w:tc>
        <w:tc>
          <w:tcPr>
            <w:tcW w:w="9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350,178</w:t>
            </w:r>
          </w:p>
        </w:tc>
        <w:tc>
          <w:tcPr>
            <w:tcW w:w="1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11,408</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101,474</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11,058</w:t>
            </w:r>
          </w:p>
        </w:tc>
        <w:tc>
          <w:tcPr>
            <w:tcW w:w="1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22,937</w:t>
            </w: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5,390</w:t>
            </w: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502,445</w:t>
            </w:r>
          </w:p>
        </w:tc>
      </w:tr>
      <w:tr>
        <w:trPr>
          <w:trHeight w:val="209"/>
        </w:trPr>
        <w:tc>
          <w:tcPr>
            <w:tcW w:w="3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41"/>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9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r>
        <w:trPr>
          <w:trHeight w:val="21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2025</w:t>
            </w: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141,878</w:t>
            </w: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819</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29,377</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849</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172,923</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25, 27</w:t>
            </w: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88,567</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535</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2,199</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1,211</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3,153</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906</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96,571</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(2,322)</w:t>
            </w: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(1,191)</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(3,563)</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Transfer to assets held for sale</w:t>
            </w: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11, 22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(135,155)</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(7,565)</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(40,132)</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(354)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(183,206)</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 discontinued operations</w:t>
            </w:r>
          </w:p>
        </w:tc>
        <w:tc>
          <w:tcPr>
            <w:tcW w:w="9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22</w:t>
            </w:r>
          </w:p>
        </w:tc>
        <w:tc>
          <w:tcPr>
            <w:tcW w:w="8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37,326</w:t>
            </w: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6,911</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15,304</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165</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59,706</w:t>
            </w:r>
          </w:p>
        </w:tc>
      </w:tr>
      <w:tr>
        <w:trPr>
          <w:trHeight w:val="243"/>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Impairment - deposits transferred to PPE</w:t>
            </w:r>
          </w:p>
        </w:tc>
        <w:tc>
          <w:tcPr>
            <w:tcW w:w="9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107</w:t>
            </w:r>
          </w:p>
        </w:tc>
        <w:tc>
          <w:tcPr>
            <w:tcW w:w="1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37</w:t>
            </w: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144</w:t>
            </w:r>
          </w:p>
        </w:tc>
      </w:tr>
      <w:tr>
        <w:trPr>
          <w:trHeight w:val="237"/>
        </w:trPr>
        <w:tc>
          <w:tcPr>
            <w:tcW w:w="3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2025</w:t>
            </w:r>
          </w:p>
        </w:tc>
        <w:tc>
          <w:tcPr>
            <w:tcW w:w="9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130,401</w:t>
            </w: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700</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2,199</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1,211</w:t>
            </w: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6,548</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1,516</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142,575</w:t>
            </w:r>
          </w:p>
        </w:tc>
      </w:tr>
      <w:tr>
        <w:trPr>
          <w:trHeight w:val="237"/>
        </w:trPr>
        <w:tc>
          <w:tcPr>
            <w:tcW w:w="3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194"/>
        </w:trPr>
        <w:tc>
          <w:tcPr>
            <w:tcW w:w="31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book value as of September 30,</w:t>
            </w:r>
          </w:p>
        </w:tc>
        <w:tc>
          <w:tcPr>
            <w:tcW w:w="9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72"/>
        </w:trPr>
        <w:tc>
          <w:tcPr>
            <w:tcW w:w="31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219,777</w:t>
            </w: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10,708</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99,275</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9,847</w:t>
            </w: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16,389</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3,874</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359,870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28  Page</w:t>
      </w:r>
    </w:p>
    <w:p>
      <w:pPr>
        <w:sectPr>
          <w:pgSz w:w="11900" w:h="16838" w:orient="portrait"/>
          <w:cols w:equalWidth="0" w:num="1">
            <w:col w:w="11240"/>
          </w:cols>
          <w:pgMar w:left="320" w:top="90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12: PROPERTY, PLANT AND EQUIPMENT </w:t>
            </w:r>
            <w:r>
              <w:rPr>
                <w:rFonts w:ascii="Times New Roman" w:cs="Times New Roman" w:eastAsia="Times New Roman" w:hAnsi="Times New Roman"/>
                <w:sz w:val="18"/>
                <w:szCs w:val="18"/>
                <w:color w:val="auto"/>
              </w:rPr>
              <w:t>(Continued)</w:t>
            </w:r>
          </w:p>
        </w:tc>
        <w:tc>
          <w:tcPr>
            <w:tcW w:w="1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10"/>
        </w:trPr>
        <w:tc>
          <w:tcPr>
            <w:tcW w:w="3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Land and</w:t>
            </w:r>
          </w:p>
        </w:tc>
        <w:tc>
          <w:tcPr>
            <w:tcW w:w="14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Leasehold</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8"/>
        </w:trPr>
        <w:tc>
          <w:tcPr>
            <w:tcW w:w="38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BVVE</w:t>
            </w: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buildings</w:t>
            </w:r>
          </w:p>
        </w:tc>
        <w:tc>
          <w:tcPr>
            <w:tcW w:w="1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improvements</w:t>
            </w:r>
          </w:p>
        </w:tc>
        <w:tc>
          <w:tcPr>
            <w:tcW w:w="12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Vehicles</w:t>
            </w: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223"/>
        </w:trPr>
        <w:tc>
          <w:tcPr>
            <w:tcW w:w="3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1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354,803</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5,740</w:t>
            </w: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50,728</w:t>
            </w:r>
          </w:p>
        </w:tc>
        <w:tc>
          <w:tcPr>
            <w:tcW w:w="12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1,262</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412,533</w:t>
            </w:r>
          </w:p>
        </w:tc>
      </w:tr>
      <w:tr>
        <w:trPr>
          <w:trHeight w:val="209"/>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40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294,311</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29,114</w:t>
            </w: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10,228</w:t>
            </w: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529</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334,182</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1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(433)</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(560)</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Transfer to assets held for sale</w:t>
            </w: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(208,471)</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(208,471)</w:t>
            </w:r>
          </w:p>
        </w:tc>
      </w:tr>
      <w:tr>
        <w:trPr>
          <w:trHeight w:val="198"/>
        </w:trPr>
        <w:tc>
          <w:tcPr>
            <w:tcW w:w="3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discount rate in asset retirement</w:t>
            </w:r>
          </w:p>
        </w:tc>
        <w:tc>
          <w:tcPr>
            <w:tcW w:w="1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4"/>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w:t>
            </w:r>
          </w:p>
        </w:tc>
        <w:tc>
          <w:tcPr>
            <w:tcW w:w="14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88</w:t>
            </w: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w:t>
            </w:r>
          </w:p>
        </w:tc>
      </w:tr>
      <w:tr>
        <w:trPr>
          <w:trHeight w:val="229"/>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Sales tax recovery</w:t>
            </w:r>
          </w:p>
        </w:tc>
        <w:tc>
          <w:tcPr>
            <w:tcW w:w="1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25</w:t>
            </w: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(14,763)</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(657)</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(15,866)</w:t>
            </w:r>
          </w:p>
        </w:tc>
      </w:tr>
      <w:tr>
        <w:trPr>
          <w:trHeight w:val="223"/>
        </w:trPr>
        <w:tc>
          <w:tcPr>
            <w:tcW w:w="3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425,447</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34,426</w:t>
            </w: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59,827</w:t>
            </w:r>
          </w:p>
        </w:tc>
        <w:tc>
          <w:tcPr>
            <w:tcW w:w="12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1,748</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521,448</w:t>
            </w:r>
          </w:p>
        </w:tc>
      </w:tr>
      <w:tr>
        <w:trPr>
          <w:trHeight w:val="209"/>
        </w:trPr>
        <w:tc>
          <w:tcPr>
            <w:tcW w:w="38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3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r>
      <w:tr>
        <w:trPr>
          <w:trHeight w:val="223"/>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1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199,794</w:t>
            </w: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424</w:t>
            </w:r>
          </w:p>
        </w:tc>
        <w:tc>
          <w:tcPr>
            <w:tcW w:w="1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25,656</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647</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226,521</w:t>
            </w:r>
          </w:p>
        </w:tc>
      </w:tr>
      <w:tr>
        <w:trPr>
          <w:trHeight w:val="21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25, 27</w:t>
            </w: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141,219</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423</w:t>
            </w:r>
          </w:p>
        </w:tc>
        <w:tc>
          <w:tcPr>
            <w:tcW w:w="1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4,166</w:t>
            </w: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222</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146,030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Sales tax recovery - depreciation</w:t>
            </w: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25, 27</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(8,624)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(104)</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(8,760)</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1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(423)</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Transfer to assets held for sale</w:t>
            </w: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(197,199)</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(197,199)</w:t>
            </w:r>
          </w:p>
        </w:tc>
      </w:tr>
      <w:tr>
        <w:trPr>
          <w:trHeight w:val="230"/>
        </w:trPr>
        <w:tc>
          <w:tcPr>
            <w:tcW w:w="3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on deposits transferred to PPE</w:t>
            </w:r>
          </w:p>
        </w:tc>
        <w:tc>
          <w:tcPr>
            <w:tcW w:w="1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6,750</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82</w:t>
            </w:r>
          </w:p>
        </w:tc>
        <w:tc>
          <w:tcPr>
            <w:tcW w:w="12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6,832</w:t>
            </w:r>
          </w:p>
        </w:tc>
      </w:tr>
      <w:tr>
        <w:trPr>
          <w:trHeight w:val="223"/>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141,878</w:t>
            </w: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819</w:t>
            </w:r>
          </w:p>
        </w:tc>
        <w:tc>
          <w:tcPr>
            <w:tcW w:w="1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29,377</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849</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172,923</w:t>
            </w:r>
          </w:p>
        </w:tc>
      </w:tr>
      <w:tr>
        <w:trPr>
          <w:trHeight w:val="223"/>
        </w:trPr>
        <w:tc>
          <w:tcPr>
            <w:tcW w:w="38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r>
      <w:tr>
        <w:trPr>
          <w:trHeight w:val="230"/>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book value as of December 31, 2024</w:t>
            </w:r>
          </w:p>
        </w:tc>
        <w:tc>
          <w:tcPr>
            <w:tcW w:w="1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283,569</w:t>
            </w: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33,607</w:t>
            </w:r>
          </w:p>
        </w:tc>
        <w:tc>
          <w:tcPr>
            <w:tcW w:w="1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30,450</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899</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348,525</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not subject to depreciation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property, plant and equipment that are not yet placed into service amounted to $3,485 and are not yet subject to depreciation.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Dispositions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Through the sale of the Yguazu Mining Site during the first quarter of 2025, the Company sold $34,006 of property, plant and equipment to HIVE, comprising $18,395 of BVVE and $15,611 attributed to land and building asset. Refer to Note 6 for more details.</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in connection with the March 2025 Swap Order, dispositions included the Miners returned to the supplier as of September 30, 2025 with a cost $11,928 and accumulated depreciation of $4,201. Refer to Notes 10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29  Page</w:t>
      </w:r>
    </w:p>
    <w:p>
      <w:pPr>
        <w:sectPr>
          <w:pgSz w:w="11900" w:h="16838" w:orient="portrait"/>
          <w:cols w:equalWidth="0" w:num="1">
            <w:col w:w="11240"/>
          </w:cols>
          <w:pgMar w:left="320" w:top="90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13: LONG-TERM DEPOSITS AND EQUIPMENT PREPAYMENTS</w:t>
            </w:r>
          </w:p>
        </w:tc>
        <w:tc>
          <w:tcPr>
            <w:tcW w:w="16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10"/>
        </w:trPr>
        <w:tc>
          <w:tcPr>
            <w:tcW w:w="70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As of</w:t>
            </w:r>
          </w:p>
        </w:tc>
      </w:tr>
      <w:tr>
        <w:trPr>
          <w:trHeight w:val="238"/>
        </w:trPr>
        <w:tc>
          <w:tcPr>
            <w:tcW w:w="70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r>
      <w:tr>
        <w:trPr>
          <w:trHeight w:val="223"/>
        </w:trPr>
        <w:tc>
          <w:tcPr>
            <w:tcW w:w="70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deposits for energy and rent</w:t>
            </w:r>
          </w:p>
        </w:tc>
        <w:tc>
          <w:tcPr>
            <w:tcW w:w="16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8,905</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4,513</w:t>
            </w: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Equipment and construction prepayments</w:t>
            </w:r>
          </w:p>
        </w:tc>
        <w:tc>
          <w:tcPr>
            <w:tcW w:w="1620" w:type="dxa"/>
            <w:vAlign w:val="bottom"/>
          </w:tcPr>
          <w:p>
            <w:pPr>
              <w:spacing w:after="0"/>
              <w:rPr>
                <w:sz w:val="18"/>
                <w:szCs w:val="18"/>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822</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51,854</w:t>
            </w:r>
          </w:p>
        </w:tc>
      </w:tr>
      <w:tr>
        <w:trPr>
          <w:trHeight w:val="229"/>
        </w:trPr>
        <w:tc>
          <w:tcPr>
            <w:tcW w:w="7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transaction fees - undrawn tranche of the credit facility</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1,384</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11,111</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56,367</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Following the sale of the Yguazu Mining Site, the Company sold $18,321 of long-term deposits and equipment prepayments to HIVE. Refer to Note 6 for more details.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Equipment and construction prepayments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details the equipment and construction prepayments: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4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As of</w:t>
            </w:r>
          </w:p>
        </w:tc>
      </w:tr>
      <w:tr>
        <w:trPr>
          <w:trHeight w:val="238"/>
        </w:trPr>
        <w:tc>
          <w:tcPr>
            <w:tcW w:w="580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r>
      <w:tr>
        <w:trPr>
          <w:trHeight w:val="223"/>
        </w:trPr>
        <w:tc>
          <w:tcPr>
            <w:tcW w:w="5800" w:type="dxa"/>
            <w:vAlign w:val="bottom"/>
            <w:tcBorders>
              <w:bottom w:val="single" w:sz="8" w:color="auto"/>
            </w:tcBorders>
          </w:tcPr>
          <w:p>
            <w:pPr>
              <w:spacing w:after="0"/>
              <w:rPr>
                <w:sz w:val="19"/>
                <w:szCs w:val="19"/>
                <w:color w:val="auto"/>
              </w:rPr>
            </w:pPr>
          </w:p>
        </w:tc>
        <w:tc>
          <w:tcPr>
            <w:tcW w:w="4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2024 Purchase Order</w:t>
            </w:r>
          </w:p>
        </w:tc>
        <w:tc>
          <w:tcPr>
            <w:tcW w:w="4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34,791</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Other BVVE and electrical components</w:t>
            </w:r>
          </w:p>
        </w:tc>
        <w:tc>
          <w:tcPr>
            <w:tcW w:w="4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3,499</w:t>
            </w:r>
          </w:p>
        </w:tc>
      </w:tr>
      <w:tr>
        <w:trPr>
          <w:trHeight w:val="230"/>
        </w:trPr>
        <w:tc>
          <w:tcPr>
            <w:tcW w:w="5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work and materials*</w:t>
            </w:r>
          </w:p>
        </w:tc>
        <w:tc>
          <w:tcPr>
            <w:tcW w:w="41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822</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13,564</w:t>
            </w:r>
          </w:p>
        </w:tc>
      </w:tr>
      <w:tr>
        <w:trPr>
          <w:trHeight w:val="232"/>
        </w:trPr>
        <w:tc>
          <w:tcPr>
            <w:tcW w:w="5800" w:type="dxa"/>
            <w:vAlign w:val="bottom"/>
          </w:tcPr>
          <w:p>
            <w:pPr>
              <w:spacing w:after="0"/>
              <w:rPr>
                <w:sz w:val="20"/>
                <w:szCs w:val="20"/>
                <w:color w:val="auto"/>
              </w:rPr>
            </w:pPr>
          </w:p>
        </w:tc>
        <w:tc>
          <w:tcPr>
            <w:tcW w:w="4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822</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51,854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i w:val="1"/>
          <w:iCs w:val="1"/>
          <w:color w:val="auto"/>
        </w:rPr>
        <w:t>* Deposits for construction work and materials mainly related to the United States expansions.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March 2024 Purchase Order</w:t>
      </w:r>
    </w:p>
    <w:p>
      <w:pPr>
        <w:spacing w:after="0" w:line="29" w:lineRule="exact"/>
        <w:rPr>
          <w:sz w:val="20"/>
          <w:szCs w:val="20"/>
          <w:color w:val="auto"/>
        </w:rPr>
      </w:pPr>
    </w:p>
    <w:p>
      <w:pPr>
        <w:jc w:val="both"/>
        <w:ind w:left="20" w:hanging="4"/>
        <w:spacing w:after="0" w:line="252" w:lineRule="auto"/>
        <w:rPr>
          <w:sz w:val="20"/>
          <w:szCs w:val="20"/>
          <w:color w:val="auto"/>
        </w:rPr>
      </w:pPr>
      <w:r>
        <w:rPr>
          <w:rFonts w:ascii="Times New Roman" w:cs="Times New Roman" w:eastAsia="Times New Roman" w:hAnsi="Times New Roman"/>
          <w:sz w:val="18"/>
          <w:szCs w:val="18"/>
          <w:color w:val="auto"/>
        </w:rPr>
        <w:t>During the first quarter of 2024, the Company ordered 19,369 Bitmain T21 Miners, 3,975 Bitmain S21 Miners and 762 Bitmain S21 Hydro Miners (collectively defined as the “March 2024 Purchase Order”) for $51,285, $13,608 and $4,338, respectively, with deliveries scheduled from April 2024 to November 2024. In November 2024, the Company amended the March 2024 Purchase Order and upgraded 12,853 Bitmain T21 Miners to 12,853 S21 Pro Miners for $22,654. The amendment had an embedded derivative for the BTC Redemption Option, as described in Note 10, which was initially recognized at a fair value of $1,349, reducing the Company’s Long-term deposits and equipment prepayments. As of September 30, 2025, all Miners on the March 2024 Purchase Order were received and the equipment prepayment amount was nil.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30  Page</w:t>
      </w:r>
    </w:p>
    <w:p>
      <w:pPr>
        <w:sectPr>
          <w:pgSz w:w="11900" w:h="16838" w:orient="portrait"/>
          <w:cols w:equalWidth="0" w:num="1">
            <w:col w:w="11240"/>
          </w:cols>
          <w:pgMar w:left="320" w:top="90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14: REFUNDABLE DEPOSITS</w:t>
            </w:r>
          </w:p>
        </w:tc>
        <w:tc>
          <w:tcPr>
            <w:tcW w:w="3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10"/>
        </w:trPr>
        <w:tc>
          <w:tcPr>
            <w:tcW w:w="54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As of</w:t>
            </w:r>
          </w:p>
        </w:tc>
      </w:tr>
      <w:tr>
        <w:trPr>
          <w:trHeight w:val="238"/>
        </w:trPr>
        <w:tc>
          <w:tcPr>
            <w:tcW w:w="546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r>
      <w:tr>
        <w:trPr>
          <w:trHeight w:val="237"/>
        </w:trPr>
        <w:tc>
          <w:tcPr>
            <w:tcW w:w="546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deposits for energy</w:t>
            </w:r>
          </w:p>
        </w:tc>
        <w:tc>
          <w:tcPr>
            <w:tcW w:w="3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 i.</w:t>
            </w:r>
          </w:p>
        </w:tc>
        <w:tc>
          <w:tcPr>
            <w:tcW w:w="1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7,740</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Refundable Hosting Deposits</w:t>
            </w:r>
          </w:p>
        </w:tc>
        <w:tc>
          <w:tcPr>
            <w:tcW w:w="3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ii.</w:t>
            </w: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14,216</w:t>
            </w:r>
          </w:p>
        </w:tc>
      </w:tr>
      <w:tr>
        <w:trPr>
          <w:trHeight w:val="243"/>
        </w:trPr>
        <w:tc>
          <w:tcPr>
            <w:tcW w:w="5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1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350</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46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350</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21,956</w:t>
            </w:r>
          </w:p>
        </w:tc>
      </w:tr>
    </w:tbl>
    <w:p>
      <w:pPr>
        <w:spacing w:after="0" w:line="196" w:lineRule="exact"/>
        <w:rPr>
          <w:sz w:val="20"/>
          <w:szCs w:val="20"/>
          <w:color w:val="auto"/>
        </w:rPr>
      </w:pPr>
    </w:p>
    <w:p>
      <w:pPr>
        <w:ind w:left="500" w:hanging="492"/>
        <w:spacing w:after="0"/>
        <w:tabs>
          <w:tab w:leader="none" w:pos="50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Security deposits for energy</w:t>
      </w:r>
    </w:p>
    <w:p>
      <w:pPr>
        <w:spacing w:after="0" w:line="29" w:lineRule="exact"/>
        <w:rPr>
          <w:sz w:val="20"/>
          <w:szCs w:val="20"/>
          <w:color w:val="auto"/>
        </w:rPr>
      </w:pPr>
    </w:p>
    <w:p>
      <w:pPr>
        <w:jc w:val="both"/>
        <w:ind w:left="20" w:hanging="4"/>
        <w:spacing w:after="0" w:line="253" w:lineRule="auto"/>
        <w:rPr>
          <w:sz w:val="20"/>
          <w:szCs w:val="20"/>
          <w:color w:val="auto"/>
        </w:rPr>
      </w:pPr>
      <w:r>
        <w:rPr>
          <w:rFonts w:ascii="Times New Roman" w:cs="Times New Roman" w:eastAsia="Times New Roman" w:hAnsi="Times New Roman"/>
          <w:sz w:val="18"/>
          <w:szCs w:val="18"/>
          <w:color w:val="auto"/>
        </w:rPr>
        <w:t>The security deposits for energy consumption related to the operational Paso Pe and in-construction Yguazu data centers in Paraguay, for which the undiscounted amounts represented $5,931 and $3,379, respectively, as of December 31, 2024. As of September 30, 2025, both amounts were nil as the former was classified as Assets of disposal group held for sale (Paso Pe Bitcoin data center operations in Paraguay) with a carrying value of $5,157 (refer to Note 11 and 22 for more details) and the latter was disposed on March 17, 2025 (refer to Note 6 for more details).</w:t>
      </w:r>
    </w:p>
    <w:p>
      <w:pPr>
        <w:spacing w:after="0" w:line="187" w:lineRule="exact"/>
        <w:rPr>
          <w:sz w:val="20"/>
          <w:szCs w:val="20"/>
          <w:color w:val="auto"/>
        </w:rPr>
      </w:pPr>
    </w:p>
    <w:p>
      <w:pPr>
        <w:ind w:left="500" w:hanging="492"/>
        <w:spacing w:after="0"/>
        <w:tabs>
          <w:tab w:leader="none" w:pos="50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Refundable Hosting Deposits</w:t>
      </w:r>
    </w:p>
    <w:p>
      <w:pPr>
        <w:spacing w:after="0" w:line="29" w:lineRule="exact"/>
        <w:rPr>
          <w:sz w:val="20"/>
          <w:szCs w:val="20"/>
          <w:color w:val="auto"/>
        </w:rPr>
      </w:pPr>
    </w:p>
    <w:p>
      <w:pPr>
        <w:jc w:val="both"/>
        <w:ind w:left="20" w:hanging="4"/>
        <w:spacing w:after="0" w:line="251" w:lineRule="auto"/>
        <w:rPr>
          <w:sz w:val="20"/>
          <w:szCs w:val="20"/>
          <w:color w:val="auto"/>
        </w:rPr>
      </w:pPr>
      <w:r>
        <w:rPr>
          <w:rFonts w:ascii="Times New Roman" w:cs="Times New Roman" w:eastAsia="Times New Roman" w:hAnsi="Times New Roman"/>
          <w:sz w:val="18"/>
          <w:szCs w:val="18"/>
          <w:color w:val="auto"/>
        </w:rPr>
        <w:t>In September 2024 and in October 2024, the Company entered into two Miner hosting agreements (the “Panther Creek Hosting Agreement” and the “Scrubgrass Hosting Agreement”) with Stronghold which commenced on October 1, 2024 and November 1, 2024, respectively. In connection with the execution of these two Miner Hosting Agreements, the Company made two deposits of $7,800 each with Stronghold (the “Panther Creek Refundable Deposit” and “Scrubgrass Refundable Deposit”, collectively, the “Refundable Hosting Deposits”). The Refundable Hosting Deposits bear an annual interest rate at Secured Overnight Financing Rate (“SOFR”) + 1% (the “Annual Interest Rate”). The Refundable Hosting Deposits were initially planned to be repaid in full to the Company within one business day from the end of the initial term expiring on December 31, 2025. Following the acquisition of Stronghold on March 14, 2025, the Panther Creek Hosting Agreement and Scrubgrass Hosting Agreement were terminated, settling the Refundable Hosting Deposits. Refer to Note 21 for more details on the financial instruments details.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INVESTMENT IN ASSOCIATE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2025, the Company acquired a minority interest in a PHCC, which comprised of preferred shares and warrants to purchase preferred shares of the PHCC with an initial value of $875 and $375, respectively. The investment provides the Company with significant influence over the PHCC and is accounted for using the equity method. The warrants are recognized as derivative assets and measured through fair value through profit or loss. Refer to Note 10 for more details.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Company’s share of the PHCC’s net loss was $3 and $6, respectively, which was included in Net financial (expenses)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31  Page</w:t>
      </w:r>
    </w:p>
    <w:p>
      <w:pPr>
        <w:sectPr>
          <w:pgSz w:w="11900" w:h="16838" w:orient="portrait"/>
          <w:cols w:equalWidth="0" w:num="1">
            <w:col w:w="11240"/>
          </w:cols>
          <w:pgMar w:left="320" w:top="90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16: TRADE PAYABLES AND ACCRUED LIABILITIES</w:t>
            </w:r>
          </w:p>
        </w:tc>
        <w:tc>
          <w:tcPr>
            <w:tcW w:w="31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10"/>
        </w:trPr>
        <w:tc>
          <w:tcPr>
            <w:tcW w:w="6840" w:type="dxa"/>
            <w:vAlign w:val="bottom"/>
          </w:tcPr>
          <w:p>
            <w:pPr>
              <w:spacing w:after="0"/>
              <w:rPr>
                <w:sz w:val="24"/>
                <w:szCs w:val="24"/>
                <w:color w:val="auto"/>
              </w:rPr>
            </w:pPr>
          </w:p>
        </w:tc>
        <w:tc>
          <w:tcPr>
            <w:tcW w:w="31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As of</w:t>
            </w:r>
          </w:p>
        </w:tc>
      </w:tr>
      <w:tr>
        <w:trPr>
          <w:trHeight w:val="238"/>
        </w:trPr>
        <w:tc>
          <w:tcPr>
            <w:tcW w:w="68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r>
      <w:tr>
        <w:trPr>
          <w:trHeight w:val="223"/>
        </w:trPr>
        <w:tc>
          <w:tcPr>
            <w:tcW w:w="684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 and accrued liabilities*</w:t>
            </w:r>
          </w:p>
        </w:tc>
        <w:tc>
          <w:tcPr>
            <w:tcW w:w="3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36,176</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21,915</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Government remittances</w:t>
            </w:r>
          </w:p>
        </w:tc>
        <w:tc>
          <w:tcPr>
            <w:tcW w:w="31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23,010</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3,736</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related to assets held for sale</w:t>
            </w:r>
          </w:p>
        </w:tc>
        <w:tc>
          <w:tcPr>
            <w:tcW w:w="3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9,120</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BTC option and selling contracts payable</w:t>
            </w:r>
          </w:p>
        </w:tc>
        <w:tc>
          <w:tcPr>
            <w:tcW w:w="3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193</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243</w:t>
            </w:r>
          </w:p>
        </w:tc>
      </w:tr>
      <w:tr>
        <w:trPr>
          <w:trHeight w:val="230"/>
        </w:trPr>
        <w:tc>
          <w:tcPr>
            <w:tcW w:w="6840" w:type="dxa"/>
            <w:vAlign w:val="bottom"/>
            <w:tcBorders>
              <w:bottom w:val="single" w:sz="8" w:color="auto"/>
            </w:tcBorders>
            <w:shd w:val="clear" w:color="auto" w:fill="CCEEFF"/>
          </w:tcPr>
          <w:p>
            <w:pPr>
              <w:spacing w:after="0"/>
              <w:rPr>
                <w:sz w:val="20"/>
                <w:szCs w:val="20"/>
                <w:color w:val="auto"/>
              </w:rPr>
            </w:pPr>
          </w:p>
        </w:tc>
        <w:tc>
          <w:tcPr>
            <w:tcW w:w="31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68,499</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25,894</w:t>
            </w:r>
          </w:p>
        </w:tc>
      </w:tr>
    </w:tbl>
    <w:p>
      <w:pPr>
        <w:ind w:left="140" w:hanging="132"/>
        <w:spacing w:after="0"/>
        <w:tabs>
          <w:tab w:leader="none" w:pos="14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On the Acquisition Date, additions from the business combination amounted to $23,488 for trade accounts payable and accrued liabilities. Refer to Note</w:t>
      </w:r>
    </w:p>
    <w:p>
      <w:pPr>
        <w:spacing w:after="0" w:line="9" w:lineRule="exact"/>
        <w:rPr>
          <w:rFonts w:ascii="Times New Roman" w:cs="Times New Roman" w:eastAsia="Times New Roman" w:hAnsi="Times New Roman"/>
          <w:sz w:val="18"/>
          <w:szCs w:val="18"/>
          <w:i w:val="1"/>
          <w:iCs w:val="1"/>
          <w:color w:val="auto"/>
        </w:rPr>
      </w:pPr>
    </w:p>
    <w:p>
      <w:pPr>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5 for more details.</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Government Remittances</w:t>
      </w:r>
    </w:p>
    <w:p>
      <w:pPr>
        <w:spacing w:after="0" w:line="31" w:lineRule="exact"/>
        <w:rPr>
          <w:sz w:val="20"/>
          <w:szCs w:val="20"/>
          <w:color w:val="auto"/>
        </w:rPr>
      </w:pPr>
    </w:p>
    <w:p>
      <w:pPr>
        <w:jc w:val="both"/>
        <w:ind w:left="20" w:hanging="4"/>
        <w:spacing w:after="0" w:line="255" w:lineRule="auto"/>
        <w:rPr>
          <w:sz w:val="20"/>
          <w:szCs w:val="20"/>
          <w:color w:val="auto"/>
        </w:rPr>
      </w:pPr>
      <w:r>
        <w:rPr>
          <w:rFonts w:ascii="Times New Roman" w:cs="Times New Roman" w:eastAsia="Times New Roman" w:hAnsi="Times New Roman"/>
          <w:sz w:val="18"/>
          <w:szCs w:val="18"/>
          <w:color w:val="auto"/>
        </w:rPr>
        <w:t>In 2021, the Company imported Miners into Washington State, United States, that the vendor located in China claimed originated in Malaysia. In early 2022, U.S. Customs and Border Protection (“CBP”) challenged the origination of the Miners, asserting that the Miners were manufactured in China, and notified the Company of a potential assessment of a U.S. importation duty of 25%.</w:t>
      </w:r>
    </w:p>
    <w:p>
      <w:pPr>
        <w:spacing w:after="0" w:line="186" w:lineRule="exact"/>
        <w:rPr>
          <w:sz w:val="20"/>
          <w:szCs w:val="20"/>
          <w:color w:val="auto"/>
        </w:rPr>
      </w:pPr>
    </w:p>
    <w:p>
      <w:pPr>
        <w:jc w:val="both"/>
        <w:ind w:left="20" w:hanging="4"/>
        <w:spacing w:after="0" w:line="266" w:lineRule="auto"/>
        <w:rPr>
          <w:sz w:val="20"/>
          <w:szCs w:val="20"/>
          <w:color w:val="auto"/>
        </w:rPr>
      </w:pPr>
      <w:r>
        <w:rPr>
          <w:rFonts w:ascii="Times New Roman" w:cs="Times New Roman" w:eastAsia="Times New Roman" w:hAnsi="Times New Roman"/>
          <w:sz w:val="18"/>
          <w:szCs w:val="18"/>
          <w:color w:val="auto"/>
        </w:rPr>
        <w:t>During the third quarter of 2023 and the first quarter of 2025, the Company submitted supporting documentation to CBP in defense of its position that the Miners were manufactured outside China and the associated custom duties in the amount of $9,424 do not apply. In 2024, the Company paid $180 of the custom duties resulting in an amount of $9,244 related to the potential assessment.</w:t>
      </w:r>
    </w:p>
    <w:p>
      <w:pPr>
        <w:spacing w:after="0" w:line="176" w:lineRule="exact"/>
        <w:rPr>
          <w:sz w:val="20"/>
          <w:szCs w:val="20"/>
          <w:color w:val="auto"/>
        </w:rPr>
      </w:pPr>
    </w:p>
    <w:p>
      <w:pPr>
        <w:jc w:val="both"/>
        <w:ind w:left="20" w:hanging="4"/>
        <w:spacing w:after="0" w:line="261" w:lineRule="auto"/>
        <w:rPr>
          <w:sz w:val="20"/>
          <w:szCs w:val="20"/>
          <w:color w:val="auto"/>
        </w:rPr>
      </w:pPr>
      <w:r>
        <w:rPr>
          <w:rFonts w:ascii="Times New Roman" w:cs="Times New Roman" w:eastAsia="Times New Roman" w:hAnsi="Times New Roman"/>
          <w:sz w:val="18"/>
          <w:szCs w:val="18"/>
          <w:color w:val="auto"/>
        </w:rPr>
        <w:t>In August 2025, the Company received a response letter from the CBP indicating that customs duties are required under the circumstances. During the three and nine months ended September 30, 2025, the Company recognized a payable of $11,882 with a corresponding expense of $9,244 recorded in costs of revenues relating to the customs duties and $2,658 recorded in net financial (income) expenses relating to interest. Subsequently, in October 2025, the Company paid the $11,882 to the CBP.</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 related to assets held for sale</w:t>
      </w:r>
    </w:p>
    <w:p>
      <w:pPr>
        <w:spacing w:after="0" w:line="31" w:lineRule="exact"/>
        <w:rPr>
          <w:sz w:val="20"/>
          <w:szCs w:val="20"/>
          <w:color w:val="auto"/>
        </w:rPr>
      </w:pPr>
    </w:p>
    <w:p>
      <w:pPr>
        <w:jc w:val="both"/>
        <w:ind w:left="20" w:hanging="4"/>
        <w:spacing w:after="0" w:line="253" w:lineRule="auto"/>
        <w:rPr>
          <w:sz w:val="20"/>
          <w:szCs w:val="20"/>
          <w:color w:val="auto"/>
        </w:rPr>
      </w:pPr>
      <w:r>
        <w:rPr>
          <w:rFonts w:ascii="Times New Roman" w:cs="Times New Roman" w:eastAsia="Times New Roman" w:hAnsi="Times New Roman"/>
          <w:sz w:val="18"/>
          <w:szCs w:val="18"/>
          <w:color w:val="auto"/>
        </w:rPr>
        <w:t>In connection with the July 2025 Swap Order as described in Note 10, liabilities related to assets held for sale amounted to $9,120 as of September 30, 2025 (December 31, 2024: nil). As of September 30, 2025, the Company received all the Miners from the supplier in the exchange swap. However, as of that date, the Company had not yet completed the return of all Miners that it had previously agreed to send back in the exchange, resulting in a non-cash obligation of $9,120 to the supplier, which is recorded based on the value of the credit received for the Miners exchanged. The Miners that were received in the exchange were classified as assets held for sale (refer to Note 11) and were subsequently returned to the supplier in October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32  Page</w:t>
      </w:r>
    </w:p>
    <w:p>
      <w:pPr>
        <w:sectPr>
          <w:pgSz w:w="11900" w:h="16838" w:orient="portrait"/>
          <w:cols w:equalWidth="0" w:num="1">
            <w:col w:w="11240"/>
          </w:cols>
          <w:pgMar w:left="320" w:top="90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17: WARRANT LIABILITIES</w:t>
            </w:r>
          </w:p>
        </w:tc>
        <w:tc>
          <w:tcPr>
            <w:tcW w:w="38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32"/>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The fair value of warrant liabilities is as follows:</w:t>
            </w:r>
          </w:p>
        </w:tc>
        <w:tc>
          <w:tcPr>
            <w:tcW w:w="38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10"/>
        </w:trPr>
        <w:tc>
          <w:tcPr>
            <w:tcW w:w="6120" w:type="dxa"/>
            <w:vAlign w:val="bottom"/>
          </w:tcPr>
          <w:p>
            <w:pPr>
              <w:spacing w:after="0"/>
              <w:rPr>
                <w:sz w:val="24"/>
                <w:szCs w:val="24"/>
                <w:color w:val="auto"/>
              </w:rPr>
            </w:pPr>
          </w:p>
        </w:tc>
        <w:tc>
          <w:tcPr>
            <w:tcW w:w="38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As of</w:t>
            </w:r>
          </w:p>
        </w:tc>
      </w:tr>
      <w:tr>
        <w:trPr>
          <w:trHeight w:val="238"/>
        </w:trPr>
        <w:tc>
          <w:tcPr>
            <w:tcW w:w="612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r>
      <w:tr>
        <w:trPr>
          <w:trHeight w:val="223"/>
        </w:trPr>
        <w:tc>
          <w:tcPr>
            <w:tcW w:w="612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6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Private Placement</w:t>
            </w:r>
          </w:p>
        </w:tc>
        <w:tc>
          <w:tcPr>
            <w:tcW w:w="38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17,151</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8,013</w:t>
            </w:r>
          </w:p>
        </w:tc>
      </w:tr>
      <w:tr>
        <w:trPr>
          <w:trHeight w:val="223"/>
        </w:trPr>
        <w:tc>
          <w:tcPr>
            <w:tcW w:w="6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2025 Warrants</w:t>
            </w:r>
          </w:p>
        </w:tc>
        <w:tc>
          <w:tcPr>
            <w:tcW w:w="3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11,987</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20" w:type="dxa"/>
            <w:vAlign w:val="bottom"/>
            <w:tcBorders>
              <w:bottom w:val="single" w:sz="8" w:color="auto"/>
            </w:tcBorders>
            <w:shd w:val="clear" w:color="auto" w:fill="CCEEFF"/>
          </w:tcPr>
          <w:p>
            <w:pPr>
              <w:spacing w:after="0"/>
              <w:rPr>
                <w:sz w:val="20"/>
                <w:szCs w:val="20"/>
                <w:color w:val="auto"/>
              </w:rPr>
            </w:pPr>
          </w:p>
        </w:tc>
        <w:tc>
          <w:tcPr>
            <w:tcW w:w="38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29,138</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8,013</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November 2023, the Company completed a private placement that included 22,222,223 warrants and 3,000,000 broker warrants to purchase common shares (the “2023 Private Placement”).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April 2025, in connection with the credit facility with Macquarie, the Company granted Macquarie 5,330,946 warrants (the “2025 Warrants”). Refer to Note 18 for more details.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2025, 1,000,000 warrants and 111,111 broker warrants related to the 2023 private placement were exercised resulting in the issuance of 1,111,111 common shares for proceeds of approximately $1,307. In addition, 111,111 broker warrants were exercised on a cashless basis in exchange for 65,672 common shares.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warrants and broker warrants granted under the 2023 Private Placement and the 2025 Warrants are convertible for a fixed number of common shares of the Company but have a contingent cashless exercise clause which results in a classification of the 2023 Private Placement warrants and the 2025 Warrants as a financial liability. In connection with the 2025 Warrants, on the granting date the Company initially recognized warrant liabilities of $2,900, which is deducted from the carrying amount of the debt. Subsequently, measurement of the warrants are at fair value through profit or loss and are recognized in Net financial (expenses)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33  Page</w:t>
      </w:r>
    </w:p>
    <w:p>
      <w:pPr>
        <w:sectPr>
          <w:pgSz w:w="11900" w:h="16838" w:orient="portrait"/>
          <w:cols w:equalWidth="0" w:num="1">
            <w:col w:w="11240"/>
          </w:cols>
          <w:pgMar w:left="320" w:top="90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17: WARRANT LIABILITIES </w:t>
            </w:r>
            <w:r>
              <w:rPr>
                <w:rFonts w:ascii="Times New Roman" w:cs="Times New Roman" w:eastAsia="Times New Roman" w:hAnsi="Times New Roman"/>
                <w:sz w:val="18"/>
                <w:szCs w:val="18"/>
                <w:color w:val="auto"/>
              </w:rPr>
              <w:t>(Continued)</w:t>
            </w:r>
          </w:p>
        </w:tc>
        <w:tc>
          <w:tcPr>
            <w:tcW w:w="18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32"/>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Details of the outstanding warrant liabilities are as follows:</w:t>
            </w:r>
          </w:p>
        </w:tc>
        <w:tc>
          <w:tcPr>
            <w:tcW w:w="18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45"/>
        </w:trPr>
        <w:tc>
          <w:tcPr>
            <w:tcW w:w="52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26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23"/>
        </w:trPr>
        <w:tc>
          <w:tcPr>
            <w:tcW w:w="5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187"/>
        </w:trPr>
        <w:tc>
          <w:tcPr>
            <w:tcW w:w="52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600" w:type="dxa"/>
            <w:vAlign w:val="bottom"/>
          </w:tcPr>
          <w:p>
            <w:pPr>
              <w:jc w:val="right"/>
              <w:ind w:right="150"/>
              <w:spacing w:after="0" w:line="188" w:lineRule="exact"/>
              <w:rPr>
                <w:sz w:val="20"/>
                <w:szCs w:val="20"/>
                <w:color w:val="auto"/>
              </w:rPr>
            </w:pPr>
            <w:r>
              <w:rPr>
                <w:rFonts w:ascii="Times New Roman" w:cs="Times New Roman" w:eastAsia="Times New Roman" w:hAnsi="Times New Roman"/>
                <w:sz w:val="18"/>
                <w:szCs w:val="18"/>
                <w:i w:val="1"/>
                <w:iCs w:val="1"/>
                <w:color w:val="auto"/>
              </w:rPr>
              <w:t>nine-month period</w:t>
            </w:r>
          </w:p>
        </w:tc>
        <w:tc>
          <w:tcPr>
            <w:tcW w:w="2600" w:type="dxa"/>
            <w:vAlign w:val="bottom"/>
            <w:gridSpan w:val="2"/>
          </w:tcPr>
          <w:p>
            <w:pPr>
              <w:jc w:val="right"/>
              <w:ind w:right="10"/>
              <w:spacing w:after="0" w:line="188" w:lineRule="exact"/>
              <w:rPr>
                <w:sz w:val="20"/>
                <w:szCs w:val="20"/>
                <w:color w:val="auto"/>
              </w:rPr>
            </w:pPr>
            <w:r>
              <w:rPr>
                <w:rFonts w:ascii="Times New Roman" w:cs="Times New Roman" w:eastAsia="Times New Roman" w:hAnsi="Times New Roman"/>
                <w:sz w:val="18"/>
                <w:szCs w:val="18"/>
                <w:i w:val="1"/>
                <w:iCs w:val="1"/>
                <w:color w:val="auto"/>
              </w:rPr>
              <w:t>twelve-month period</w:t>
            </w:r>
          </w:p>
        </w:tc>
      </w:tr>
      <w:tr>
        <w:trPr>
          <w:trHeight w:val="216"/>
        </w:trPr>
        <w:tc>
          <w:tcPr>
            <w:tcW w:w="5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22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Weighted</w:t>
            </w:r>
          </w:p>
        </w:tc>
      </w:tr>
      <w:tr>
        <w:trPr>
          <w:trHeight w:val="216"/>
        </w:trPr>
        <w:tc>
          <w:tcPr>
            <w:tcW w:w="5200" w:type="dxa"/>
            <w:vAlign w:val="bottom"/>
          </w:tcPr>
          <w:p>
            <w:pPr>
              <w:spacing w:after="0"/>
              <w:rPr>
                <w:sz w:val="18"/>
                <w:szCs w:val="18"/>
                <w:color w:val="auto"/>
              </w:rPr>
            </w:pP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average exercise</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Number of</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average exercise</w:t>
            </w:r>
          </w:p>
        </w:tc>
      </w:tr>
      <w:tr>
        <w:trPr>
          <w:trHeight w:val="238"/>
        </w:trPr>
        <w:tc>
          <w:tcPr>
            <w:tcW w:w="5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6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price (USD)</w:t>
            </w: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warrants</w:t>
            </w: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price (USD)</w:t>
            </w:r>
          </w:p>
        </w:tc>
      </w:tr>
      <w:tr>
        <w:trPr>
          <w:trHeight w:val="20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w:t>
            </w:r>
          </w:p>
        </w:tc>
        <w:tc>
          <w:tcPr>
            <w:tcW w:w="1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10,841,482</w:t>
            </w:r>
          </w:p>
        </w:tc>
        <w:tc>
          <w:tcPr>
            <w:tcW w:w="16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1.17</w:t>
            </w: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35,105,390</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5,330,946</w:t>
            </w:r>
          </w:p>
        </w:tc>
        <w:tc>
          <w:tcPr>
            <w:tcW w:w="16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1.17</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(1,222,222)</w:t>
            </w:r>
          </w:p>
        </w:tc>
        <w:tc>
          <w:tcPr>
            <w:tcW w:w="16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1.17</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(5,111,111)</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r>
      <w:tr>
        <w:trPr>
          <w:trHeight w:val="229"/>
        </w:trPr>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Expired</w:t>
            </w:r>
          </w:p>
        </w:tc>
        <w:tc>
          <w:tcPr>
            <w:tcW w:w="1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(19,152,797)</w:t>
            </w: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4.21</w:t>
            </w:r>
          </w:p>
        </w:tc>
      </w:tr>
      <w:tr>
        <w:trPr>
          <w:trHeight w:val="230"/>
        </w:trPr>
        <w:tc>
          <w:tcPr>
            <w:tcW w:w="5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balance as of period end</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14,950,206</w:t>
            </w:r>
          </w:p>
        </w:tc>
        <w:tc>
          <w:tcPr>
            <w:tcW w:w="16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1.17</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10,841,482</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contractual life of the warrants as of September 30, 2025, was 2.3 years (December 31, 2024: 1.9 years).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Black-Scholes model and inputs below were used in determining the weighted average values of the warrants and broker warrants.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 Private Placement</w:t>
            </w:r>
          </w:p>
        </w:tc>
        <w:tc>
          <w:tcPr>
            <w:tcW w:w="1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3"/>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2025 Warrants</w:t>
            </w:r>
          </w:p>
        </w:tc>
      </w:tr>
      <w:tr>
        <w:trPr>
          <w:trHeight w:val="187"/>
        </w:trPr>
        <w:tc>
          <w:tcPr>
            <w:tcW w:w="4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40" w:type="dxa"/>
            <w:vAlign w:val="bottom"/>
            <w:gridSpan w:val="2"/>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Remeasurement</w:t>
            </w:r>
          </w:p>
        </w:tc>
        <w:tc>
          <w:tcPr>
            <w:tcW w:w="220" w:type="dxa"/>
            <w:vAlign w:val="bottom"/>
          </w:tcPr>
          <w:p>
            <w:pPr>
              <w:spacing w:after="0"/>
              <w:rPr>
                <w:sz w:val="16"/>
                <w:szCs w:val="16"/>
                <w:color w:val="auto"/>
              </w:rPr>
            </w:pPr>
          </w:p>
        </w:tc>
        <w:tc>
          <w:tcPr>
            <w:tcW w:w="110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Initial</w:t>
            </w:r>
          </w:p>
        </w:tc>
      </w:tr>
      <w:tr>
        <w:trPr>
          <w:trHeight w:val="238"/>
        </w:trPr>
        <w:tc>
          <w:tcPr>
            <w:tcW w:w="4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Remeasurement at period end</w:t>
            </w: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at period end</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recognition</w:t>
            </w:r>
          </w:p>
        </w:tc>
      </w:tr>
      <w:tr>
        <w:trPr>
          <w:trHeight w:val="187"/>
        </w:trPr>
        <w:tc>
          <w:tcPr>
            <w:tcW w:w="4120" w:type="dxa"/>
            <w:vAlign w:val="bottom"/>
          </w:tcPr>
          <w:p>
            <w:pPr>
              <w:spacing w:after="0"/>
              <w:rPr>
                <w:sz w:val="16"/>
                <w:szCs w:val="16"/>
                <w:color w:val="auto"/>
              </w:rPr>
            </w:pPr>
          </w:p>
        </w:tc>
        <w:tc>
          <w:tcPr>
            <w:tcW w:w="2880" w:type="dxa"/>
            <w:vAlign w:val="bottom"/>
            <w:gridSpan w:val="2"/>
          </w:tcPr>
          <w:p>
            <w:pPr>
              <w:ind w:left="154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16"/>
                <w:szCs w:val="16"/>
                <w:color w:val="auto"/>
              </w:rPr>
            </w:pPr>
          </w:p>
        </w:tc>
        <w:tc>
          <w:tcPr>
            <w:tcW w:w="124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color w:val="auto"/>
                <w:w w:val="98"/>
              </w:rPr>
              <w:t>December 31,</w:t>
            </w:r>
          </w:p>
        </w:tc>
        <w:tc>
          <w:tcPr>
            <w:tcW w:w="180" w:type="dxa"/>
            <w:vAlign w:val="bottom"/>
          </w:tcPr>
          <w:p>
            <w:pPr>
              <w:spacing w:after="0"/>
              <w:rPr>
                <w:sz w:val="16"/>
                <w:szCs w:val="16"/>
                <w:color w:val="auto"/>
              </w:rPr>
            </w:pPr>
          </w:p>
        </w:tc>
        <w:tc>
          <w:tcPr>
            <w:tcW w:w="1360" w:type="dxa"/>
            <w:vAlign w:val="bottom"/>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16"/>
                <w:szCs w:val="16"/>
                <w:color w:val="auto"/>
              </w:rPr>
            </w:pPr>
          </w:p>
        </w:tc>
        <w:tc>
          <w:tcPr>
            <w:tcW w:w="110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color w:val="auto"/>
              </w:rPr>
              <w:t>April 1</w:t>
            </w:r>
          </w:p>
        </w:tc>
      </w:tr>
      <w:tr>
        <w:trPr>
          <w:trHeight w:val="238"/>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Measurement date</w:t>
            </w:r>
          </w:p>
        </w:tc>
        <w:tc>
          <w:tcPr>
            <w:tcW w:w="16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2025</w:t>
            </w: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w:t>
            </w:r>
          </w:p>
        </w:tc>
        <w:tc>
          <w:tcPr>
            <w:tcW w:w="16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Expected share price volatility (%)*</w:t>
            </w:r>
          </w:p>
        </w:tc>
        <w:tc>
          <w:tcPr>
            <w:tcW w:w="16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16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warrants (years)</w:t>
            </w:r>
          </w:p>
        </w:tc>
        <w:tc>
          <w:tcPr>
            <w:tcW w:w="1620" w:type="dxa"/>
            <w:vAlign w:val="bottom"/>
          </w:tcPr>
          <w:p>
            <w:pPr>
              <w:spacing w:after="0"/>
              <w:rPr>
                <w:sz w:val="18"/>
                <w:szCs w:val="18"/>
                <w:color w:val="auto"/>
              </w:rPr>
            </w:pP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1.15</w:t>
            </w:r>
          </w:p>
        </w:tc>
        <w:tc>
          <w:tcPr>
            <w:tcW w:w="140" w:type="dxa"/>
            <w:vAlign w:val="bottom"/>
          </w:tcPr>
          <w:p>
            <w:pPr>
              <w:spacing w:after="0"/>
              <w:rPr>
                <w:sz w:val="18"/>
                <w:szCs w:val="18"/>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1.89</w:t>
            </w:r>
          </w:p>
        </w:tc>
        <w:tc>
          <w:tcPr>
            <w:tcW w:w="18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4.50</w:t>
            </w:r>
          </w:p>
        </w:tc>
        <w:tc>
          <w:tcPr>
            <w:tcW w:w="22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 (CAD)</w:t>
            </w:r>
          </w:p>
        </w:tc>
        <w:tc>
          <w:tcPr>
            <w:tcW w:w="1620" w:type="dxa"/>
            <w:vAlign w:val="bottom"/>
            <w:shd w:val="clear" w:color="auto" w:fill="CCEEFF"/>
          </w:tcPr>
          <w:p>
            <w:pPr>
              <w:ind w:left="15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3.93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2.13</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3.93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(USD)</w:t>
            </w:r>
          </w:p>
        </w:tc>
        <w:tc>
          <w:tcPr>
            <w:tcW w:w="1620" w:type="dxa"/>
            <w:vAlign w:val="bottom"/>
          </w:tcPr>
          <w:p>
            <w:pPr>
              <w:ind w:left="15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1.17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1.17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warrants (USD)</w:t>
            </w:r>
          </w:p>
        </w:tc>
        <w:tc>
          <w:tcPr>
            <w:tcW w:w="1620" w:type="dxa"/>
            <w:vAlign w:val="bottom"/>
            <w:shd w:val="clear" w:color="auto" w:fill="CCEEFF"/>
          </w:tcPr>
          <w:p>
            <w:pPr>
              <w:ind w:left="15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1.78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0.74</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2.25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0.54</w:t>
            </w:r>
          </w:p>
        </w:tc>
      </w:tr>
      <w:tr>
        <w:trPr>
          <w:trHeight w:val="238"/>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Number of warrants outstanding</w:t>
            </w:r>
          </w:p>
        </w:tc>
        <w:tc>
          <w:tcPr>
            <w:tcW w:w="1620" w:type="dxa"/>
            <w:vAlign w:val="bottom"/>
          </w:tcPr>
          <w:p>
            <w:pPr>
              <w:spacing w:after="0"/>
              <w:rPr>
                <w:sz w:val="20"/>
                <w:szCs w:val="20"/>
                <w:color w:val="auto"/>
              </w:rPr>
            </w:pP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9,619,260</w:t>
            </w:r>
          </w:p>
        </w:tc>
        <w:tc>
          <w:tcPr>
            <w:tcW w:w="140" w:type="dxa"/>
            <w:vAlign w:val="bottom"/>
          </w:tcPr>
          <w:p>
            <w:pPr>
              <w:spacing w:after="0"/>
              <w:rPr>
                <w:sz w:val="20"/>
                <w:szCs w:val="20"/>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10,841,482</w:t>
            </w:r>
          </w:p>
        </w:tc>
        <w:tc>
          <w:tcPr>
            <w:tcW w:w="180" w:type="dxa"/>
            <w:vAlign w:val="bottom"/>
          </w:tcPr>
          <w:p>
            <w:pPr>
              <w:spacing w:after="0"/>
              <w:rPr>
                <w:sz w:val="20"/>
                <w:szCs w:val="20"/>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5,330,946</w:t>
            </w:r>
          </w:p>
        </w:tc>
        <w:tc>
          <w:tcPr>
            <w:tcW w:w="22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5,330,946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i w:val="1"/>
          <w:iCs w:val="1"/>
          <w:color w:val="auto"/>
        </w:rPr>
        <w:t>* Expected share price volatility is estimated based on a combination of the Company’s stock price and BTC price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20 for equity warrant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34  Page</w:t>
      </w:r>
    </w:p>
    <w:p>
      <w:pPr>
        <w:sectPr>
          <w:pgSz w:w="11900" w:h="16838" w:orient="portrait"/>
          <w:cols w:equalWidth="0" w:num="1">
            <w:col w:w="11240"/>
          </w:cols>
          <w:pgMar w:left="320" w:top="90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18: LONG-TERM DEBT</w:t>
            </w:r>
          </w:p>
        </w:tc>
        <w:tc>
          <w:tcPr>
            <w:tcW w:w="34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long-term debt is as follows:</w:t>
            </w:r>
          </w:p>
        </w:tc>
        <w:tc>
          <w:tcPr>
            <w:tcW w:w="34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10"/>
        </w:trPr>
        <w:tc>
          <w:tcPr>
            <w:tcW w:w="6580" w:type="dxa"/>
            <w:vAlign w:val="bottom"/>
          </w:tcPr>
          <w:p>
            <w:pPr>
              <w:spacing w:after="0"/>
              <w:rPr>
                <w:sz w:val="24"/>
                <w:szCs w:val="24"/>
                <w:color w:val="auto"/>
              </w:rPr>
            </w:pPr>
          </w:p>
        </w:tc>
        <w:tc>
          <w:tcPr>
            <w:tcW w:w="34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As of</w:t>
            </w:r>
          </w:p>
        </w:tc>
      </w:tr>
      <w:tr>
        <w:trPr>
          <w:trHeight w:val="238"/>
        </w:trPr>
        <w:tc>
          <w:tcPr>
            <w:tcW w:w="658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r>
      <w:tr>
        <w:trPr>
          <w:trHeight w:val="223"/>
        </w:trPr>
        <w:tc>
          <w:tcPr>
            <w:tcW w:w="658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 financing</w:t>
            </w:r>
          </w:p>
        </w:tc>
        <w:tc>
          <w:tcPr>
            <w:tcW w:w="3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1,679</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1,576</w:t>
            </w: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Equipment financing</w:t>
            </w:r>
          </w:p>
        </w:tc>
        <w:tc>
          <w:tcPr>
            <w:tcW w:w="34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1,359</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Facility</w:t>
            </w:r>
          </w:p>
        </w:tc>
        <w:tc>
          <w:tcPr>
            <w:tcW w:w="3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51,997</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Unamortized transaction costs and warrants</w:t>
            </w:r>
          </w:p>
        </w:tc>
        <w:tc>
          <w:tcPr>
            <w:tcW w:w="3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(3,585)</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long-term debt, net of transaction cost and warrants</w:t>
            </w:r>
          </w:p>
        </w:tc>
        <w:tc>
          <w:tcPr>
            <w:tcW w:w="3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51,450</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1,576</w:t>
            </w:r>
          </w:p>
        </w:tc>
      </w:tr>
      <w:tr>
        <w:trPr>
          <w:trHeight w:val="230"/>
        </w:trPr>
        <w:tc>
          <w:tcPr>
            <w:tcW w:w="6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(607)</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30"/>
        </w:trPr>
        <w:tc>
          <w:tcPr>
            <w:tcW w:w="6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portion of long-term debt</w:t>
            </w:r>
          </w:p>
        </w:tc>
        <w:tc>
          <w:tcPr>
            <w:tcW w:w="34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50,843</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1,430</w:t>
            </w:r>
          </w:p>
        </w:tc>
      </w:tr>
      <w:tr>
        <w:trPr>
          <w:trHeight w:val="432"/>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Movement in long-term debt is as follows:</w:t>
            </w:r>
          </w:p>
        </w:tc>
        <w:tc>
          <w:tcPr>
            <w:tcW w:w="34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10"/>
        </w:trPr>
        <w:tc>
          <w:tcPr>
            <w:tcW w:w="6580" w:type="dxa"/>
            <w:vAlign w:val="bottom"/>
          </w:tcPr>
          <w:p>
            <w:pPr>
              <w:spacing w:after="0"/>
              <w:rPr>
                <w:sz w:val="24"/>
                <w:szCs w:val="24"/>
                <w:color w:val="auto"/>
              </w:rPr>
            </w:pPr>
          </w:p>
        </w:tc>
        <w:tc>
          <w:tcPr>
            <w:tcW w:w="34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As of</w:t>
            </w:r>
          </w:p>
        </w:tc>
      </w:tr>
      <w:tr>
        <w:trPr>
          <w:trHeight w:val="238"/>
        </w:trPr>
        <w:tc>
          <w:tcPr>
            <w:tcW w:w="658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r>
      <w:tr>
        <w:trPr>
          <w:trHeight w:val="223"/>
        </w:trPr>
        <w:tc>
          <w:tcPr>
            <w:tcW w:w="658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6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34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1,576</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4,022</w:t>
            </w:r>
          </w:p>
        </w:tc>
      </w:tr>
      <w:tr>
        <w:trPr>
          <w:trHeight w:val="210"/>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long-term debt</w:t>
            </w:r>
          </w:p>
        </w:tc>
        <w:tc>
          <w:tcPr>
            <w:tcW w:w="34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50,772</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1,695</w:t>
            </w: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 from business combination</w:t>
            </w:r>
          </w:p>
        </w:tc>
        <w:tc>
          <w:tcPr>
            <w:tcW w:w="3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880</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Payments</w:t>
            </w:r>
          </w:p>
        </w:tc>
        <w:tc>
          <w:tcPr>
            <w:tcW w:w="34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(1,480)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w:t>
            </w: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long-term debt</w:t>
            </w:r>
          </w:p>
        </w:tc>
        <w:tc>
          <w:tcPr>
            <w:tcW w:w="3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3,227</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w:t>
            </w: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 and warrants</w:t>
            </w:r>
          </w:p>
        </w:tc>
        <w:tc>
          <w:tcPr>
            <w:tcW w:w="34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(4,677)</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transaction costs and warrants</w:t>
            </w:r>
          </w:p>
        </w:tc>
        <w:tc>
          <w:tcPr>
            <w:tcW w:w="3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1,092</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34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60</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period end</w:t>
            </w:r>
          </w:p>
        </w:tc>
        <w:tc>
          <w:tcPr>
            <w:tcW w:w="34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51,450</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April 2025, the Company signed a credit facility for up to $300,000 (the “Credit Facility”) with Macquarie.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Initial Tranche</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An initial $50,000 was drawn (the “Initial Tranche”), bearing interest at 8% per annum, with monthly payments and a term of two years. Interest for the first three months was paid in kind and added to the loan. The payments shall be solely interest until the Initial Tranche maturity date, April 1, 2027, at which time the principal debt of $50,000 and interest paid in kind will be payable in full. The effective interest rate of the Credit Facility as of September 30, 2025 was 18.6%. The agreement specified a minimum base return of 25% and can be reduced to 9% depending on when principal payments are made (i.e., before end of term). In connection with the Initial Tranche, Macquarie received 5,330,946 warrants convertible for common shares of the Company with an initial fair value of $2,900 recognized as warrant liabilities. Refer to Note 17 for more details. As the $50,000 proceeds from the Initial Tranche were first allocated to the warrant liabilities based on their fair value, the residual amount of $47,100 was allocated to the debt. Therefore, a discount on debt of $2,900 is deducted from the carrying amount of the debt and is amortized over the term of the Initial Tranche.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35  Page</w:t>
      </w:r>
    </w:p>
    <w:p>
      <w:pPr>
        <w:sectPr>
          <w:pgSz w:w="11900" w:h="16838" w:orient="portrait"/>
          <w:cols w:equalWidth="0" w:num="1">
            <w:col w:w="11240"/>
          </w:cols>
          <w:pgMar w:left="320" w:top="90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18: LONG-TERM DEBT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Credit Facility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Tranche</w:t>
      </w:r>
    </w:p>
    <w:p>
      <w:pPr>
        <w:spacing w:after="0" w:line="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An additional $250,000 (“Second Tranche”) will be made available to the Company if and as it achieves specific development milestones at the Panther Creek, Pennsylvania, United States location and contributes $50,000 in kind or in cash to Macquarie as collateral.</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Subsequently, in October 2025, the Company converted the entirety of the loan into a $300,000 project debt facility for the development of the Panther Creek property and secured at the project level with a parent company guarantee. The Initial Tranche was rolled into the project debt facility and the facility is subject to new terms and restrictions from those of the Initial Tranche. Refer to Note 29 for more details.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costs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Transaction costs of $3,161 relating to agent fees and legal fees were capitalized. The Company prorated the transaction costs between the Initial and Second Tranche, allocating $1,777 and $1,384 to each, respectively. The transaction costs allocated to the Initial Tranche were deducted from the carrying value of the debt and the transaction costs allocated to the Second Tranche were capitalized to Long-term deposits and equipment prepayments which will begin amortization once the Second Tranche is drawn.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Covenants and restrictions under the Initial Tranche</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Credit Facility for the Initial Tranche includes various financial and non-financial covenants for the Company and its subsidiaries including restrictions on dispositions, dividends, the incurrence of debt and liens, material changes in the nature of the Company’s business activities, related party transactions and investments. The Company is also required to maintain a restricted cash balance of $25,000 in a designated account for the Initial Tranche.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31, 2025, the most recently completed calendar month, the Company was in compliance with the covenants of its Credit Facility.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19: INCOME TAXES</w:t>
            </w:r>
          </w:p>
        </w:tc>
        <w:tc>
          <w:tcPr>
            <w:tcW w:w="2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32"/>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and deferred income tax (expense) recovery</w:t>
            </w:r>
          </w:p>
        </w:tc>
        <w:tc>
          <w:tcPr>
            <w:tcW w:w="2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10"/>
        </w:trPr>
        <w:tc>
          <w:tcPr>
            <w:tcW w:w="5220" w:type="dxa"/>
            <w:vAlign w:val="bottom"/>
          </w:tcPr>
          <w:p>
            <w:pPr>
              <w:spacing w:after="0"/>
              <w:rPr>
                <w:sz w:val="24"/>
                <w:szCs w:val="24"/>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560" w:type="dxa"/>
            <w:vAlign w:val="bottom"/>
          </w:tcPr>
          <w:p>
            <w:pPr>
              <w:spacing w:after="0"/>
              <w:rPr>
                <w:sz w:val="24"/>
                <w:szCs w:val="24"/>
                <w:color w:val="auto"/>
              </w:rPr>
            </w:pPr>
          </w:p>
        </w:tc>
      </w:tr>
      <w:tr>
        <w:trPr>
          <w:trHeight w:val="238"/>
        </w:trPr>
        <w:tc>
          <w:tcPr>
            <w:tcW w:w="52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60" w:type="dxa"/>
            <w:vAlign w:val="bottom"/>
            <w:tcBorders>
              <w:bottom w:val="single" w:sz="8" w:color="auto"/>
            </w:tcBorders>
          </w:tcPr>
          <w:p>
            <w:pPr>
              <w:spacing w:after="0"/>
              <w:rPr>
                <w:sz w:val="20"/>
                <w:szCs w:val="20"/>
                <w:color w:val="auto"/>
              </w:rPr>
            </w:pPr>
          </w:p>
        </w:tc>
      </w:tr>
      <w:tr>
        <w:trPr>
          <w:trHeight w:val="237"/>
        </w:trPr>
        <w:tc>
          <w:tcPr>
            <w:tcW w:w="52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82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tax recovery (expense):</w:t>
            </w:r>
          </w:p>
        </w:tc>
        <w:tc>
          <w:tcPr>
            <w:tcW w:w="2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year</w:t>
            </w:r>
          </w:p>
        </w:tc>
        <w:tc>
          <w:tcPr>
            <w:tcW w:w="284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26</w:t>
            </w:r>
          </w:p>
        </w:tc>
        <w:tc>
          <w:tcPr>
            <w:tcW w:w="8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(162)</w:t>
            </w:r>
          </w:p>
        </w:tc>
        <w:tc>
          <w:tcPr>
            <w:tcW w:w="18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(224)</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43"/>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Prior year</w:t>
            </w:r>
          </w:p>
        </w:tc>
        <w:tc>
          <w:tcPr>
            <w:tcW w:w="2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42</w:t>
            </w: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42</w:t>
            </w: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220" w:type="dxa"/>
            <w:vAlign w:val="bottom"/>
            <w:tcBorders>
              <w:bottom w:val="single" w:sz="8" w:color="auto"/>
            </w:tcBorders>
            <w:shd w:val="clear" w:color="auto" w:fill="CCEEFF"/>
          </w:tcPr>
          <w:p>
            <w:pPr>
              <w:spacing w:after="0"/>
              <w:rPr>
                <w:sz w:val="20"/>
                <w:szCs w:val="20"/>
                <w:color w:val="auto"/>
              </w:rPr>
            </w:pPr>
          </w:p>
        </w:tc>
        <w:tc>
          <w:tcPr>
            <w:tcW w:w="284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68</w:t>
            </w:r>
          </w:p>
        </w:tc>
        <w:tc>
          <w:tcPr>
            <w:tcW w:w="8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(162)</w:t>
            </w:r>
          </w:p>
        </w:tc>
        <w:tc>
          <w:tcPr>
            <w:tcW w:w="18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(182)</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10"/>
        </w:trPr>
        <w:tc>
          <w:tcPr>
            <w:tcW w:w="52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recovery:</w:t>
            </w:r>
          </w:p>
        </w:tc>
        <w:tc>
          <w:tcPr>
            <w:tcW w:w="28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Current year</w:t>
            </w:r>
          </w:p>
        </w:tc>
        <w:tc>
          <w:tcPr>
            <w:tcW w:w="284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2,279</w:t>
            </w: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260</w:t>
            </w:r>
          </w:p>
        </w:tc>
        <w:tc>
          <w:tcPr>
            <w:tcW w:w="18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5,736</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4,579</w:t>
            </w:r>
          </w:p>
        </w:tc>
      </w:tr>
      <w:tr>
        <w:trPr>
          <w:trHeight w:val="243"/>
        </w:trPr>
        <w:tc>
          <w:tcPr>
            <w:tcW w:w="5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year</w:t>
            </w:r>
          </w:p>
        </w:tc>
        <w:tc>
          <w:tcPr>
            <w:tcW w:w="284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2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2,279</w:t>
            </w: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260</w:t>
            </w:r>
          </w:p>
        </w:tc>
        <w:tc>
          <w:tcPr>
            <w:tcW w:w="182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5,736</w:t>
            </w: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4,579</w:t>
            </w:r>
          </w:p>
        </w:tc>
      </w:tr>
      <w:tr>
        <w:trPr>
          <w:trHeight w:val="243"/>
        </w:trPr>
        <w:tc>
          <w:tcPr>
            <w:tcW w:w="5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tax recovery</w:t>
            </w:r>
          </w:p>
        </w:tc>
        <w:tc>
          <w:tcPr>
            <w:tcW w:w="284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2,347</w:t>
            </w:r>
          </w:p>
        </w:tc>
        <w:tc>
          <w:tcPr>
            <w:tcW w:w="8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98</w:t>
            </w:r>
          </w:p>
        </w:tc>
        <w:tc>
          <w:tcPr>
            <w:tcW w:w="182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5,554</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36  Page</w:t>
      </w:r>
    </w:p>
    <w:p>
      <w:pPr>
        <w:sectPr>
          <w:pgSz w:w="11900" w:h="16838" w:orient="portrait"/>
          <w:cols w:equalWidth="0" w:num="1">
            <w:col w:w="11240"/>
          </w:cols>
          <w:pgMar w:left="320" w:top="90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SHARE CAPITAL</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Company’s authorized share capital consists of an unlimited number of common shares without par value and are fully paid as follows:</w:t>
      </w:r>
    </w:p>
    <w:p>
      <w:pPr>
        <w:spacing w:after="0" w:line="216"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Borders>
              <w:top w:val="single" w:sz="8" w:color="auto"/>
              <w:bottom w:val="single" w:sz="8" w:color="auto"/>
            </w:tcBorders>
          </w:tcPr>
          <w:p>
            <w:pPr>
              <w:spacing w:after="0"/>
              <w:rPr>
                <w:sz w:val="19"/>
                <w:szCs w:val="19"/>
                <w:color w:val="auto"/>
              </w:rPr>
            </w:pPr>
          </w:p>
        </w:tc>
        <w:tc>
          <w:tcPr>
            <w:tcW w:w="26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5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w:t>
            </w:r>
          </w:p>
        </w:tc>
        <w:tc>
          <w:tcPr>
            <w:tcW w:w="26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479,332,885</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334,153,330</w:t>
            </w:r>
          </w:p>
        </w:tc>
      </w:tr>
      <w:tr>
        <w:trPr>
          <w:trHeight w:val="20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Issuance through at-the market equity offering program</w:t>
            </w:r>
          </w:p>
        </w:tc>
        <w:tc>
          <w:tcPr>
            <w:tcW w:w="26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w:t>
            </w: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19,171,142</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109,323,321</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through business combination</w:t>
            </w:r>
          </w:p>
        </w:tc>
        <w:tc>
          <w:tcPr>
            <w:tcW w:w="2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w:t>
            </w: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59,866,609</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Share buyback and cancellation</w:t>
            </w:r>
          </w:p>
        </w:tc>
        <w:tc>
          <w:tcPr>
            <w:tcW w:w="26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ii.</w:t>
            </w: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(7,807,141)</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24</w:t>
            </w: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7,254,449</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2,448,148</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share awards</w:t>
            </w:r>
          </w:p>
        </w:tc>
        <w:tc>
          <w:tcPr>
            <w:tcW w:w="26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24</w:t>
            </w: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1,543,320</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shares related to right-of-use asset</w:t>
            </w:r>
          </w:p>
        </w:tc>
        <w:tc>
          <w:tcPr>
            <w:tcW w:w="26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1,532,745</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 liabilities</w:t>
            </w:r>
          </w:p>
        </w:tc>
        <w:tc>
          <w:tcPr>
            <w:tcW w:w="26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17</w:t>
            </w: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1,176,783</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5,111,111</w:t>
            </w:r>
          </w:p>
        </w:tc>
      </w:tr>
      <w:tr>
        <w:trPr>
          <w:trHeight w:val="230"/>
        </w:trPr>
        <w:tc>
          <w:tcPr>
            <w:tcW w:w="5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restricted share units</w:t>
            </w:r>
          </w:p>
        </w:tc>
        <w:tc>
          <w:tcPr>
            <w:tcW w:w="26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24</w:t>
            </w:r>
          </w:p>
        </w:tc>
        <w:tc>
          <w:tcPr>
            <w:tcW w:w="1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2,469,700</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366,666</w:t>
            </w:r>
          </w:p>
        </w:tc>
      </w:tr>
      <w:tr>
        <w:trPr>
          <w:trHeight w:val="230"/>
        </w:trPr>
        <w:tc>
          <w:tcPr>
            <w:tcW w:w="5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Outstanding, September 30,</w:t>
            </w:r>
          </w:p>
        </w:tc>
        <w:tc>
          <w:tcPr>
            <w:tcW w:w="26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563,007,747</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452,935,321</w:t>
            </w:r>
          </w:p>
        </w:tc>
      </w:tr>
    </w:tbl>
    <w:p>
      <w:pPr>
        <w:spacing w:after="0" w:line="196"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At-The-Market Equity Offering Program (“ATM Program”)</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Bitfarms commenced an ATM Program on March 11, 2024 (the “2024 ATM Program”), pursuant to which the Company may, at its discretion and from time-to-time, sell common shares of the Company, resulting in the Company receiving aggregate gross proceeds of up to $375,000. During the nine months ended September 30, 2025, the Company issued 19,171,142 common shares in exchange for gross proceeds of $39,283 at an average share price of approximately $2.05. The Company received net proceeds of $38,043 after paying commissions of $1,178 to the sales agent and $61 in other transaction costs.</w:t>
      </w:r>
    </w:p>
    <w:p>
      <w:pPr>
        <w:spacing w:after="0" w:line="185"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Corporate Share Buyback Program</w:t>
      </w:r>
    </w:p>
    <w:p>
      <w:pPr>
        <w:spacing w:after="0" w:line="29" w:lineRule="exact"/>
        <w:rPr>
          <w:sz w:val="20"/>
          <w:szCs w:val="20"/>
          <w:color w:val="auto"/>
        </w:rPr>
      </w:pPr>
    </w:p>
    <w:p>
      <w:pPr>
        <w:jc w:val="both"/>
        <w:ind w:left="20" w:hanging="4"/>
        <w:spacing w:after="0" w:line="260" w:lineRule="auto"/>
        <w:rPr>
          <w:sz w:val="20"/>
          <w:szCs w:val="20"/>
          <w:color w:val="auto"/>
        </w:rPr>
      </w:pPr>
      <w:r>
        <w:rPr>
          <w:rFonts w:ascii="Times New Roman" w:cs="Times New Roman" w:eastAsia="Times New Roman" w:hAnsi="Times New Roman"/>
          <w:sz w:val="18"/>
          <w:szCs w:val="18"/>
          <w:color w:val="auto"/>
        </w:rPr>
        <w:t>On July 22, 2025, the Company announced that the TSX had approved a normal course issuer bid (“NCIB”), under which the Company may repurchase up to 49,943,031 of its common shares, representing approximately 10% of the Company’s public float as of July 14, 2025.</w:t>
      </w:r>
    </w:p>
    <w:p>
      <w:pPr>
        <w:spacing w:after="0" w:line="181" w:lineRule="exact"/>
        <w:rPr>
          <w:sz w:val="20"/>
          <w:szCs w:val="20"/>
          <w:color w:val="auto"/>
        </w:rPr>
      </w:pPr>
    </w:p>
    <w:p>
      <w:pPr>
        <w:jc w:val="both"/>
        <w:ind w:left="20" w:hanging="4"/>
        <w:spacing w:after="0" w:line="261" w:lineRule="auto"/>
        <w:rPr>
          <w:sz w:val="20"/>
          <w:szCs w:val="20"/>
          <w:color w:val="auto"/>
        </w:rPr>
      </w:pPr>
      <w:r>
        <w:rPr>
          <w:rFonts w:ascii="Times New Roman" w:cs="Times New Roman" w:eastAsia="Times New Roman" w:hAnsi="Times New Roman"/>
          <w:sz w:val="18"/>
          <w:szCs w:val="18"/>
          <w:color w:val="auto"/>
        </w:rPr>
        <w:t>Purchases under the NCIB commenced on July 28, 2025, and will terminate no later than July 27, 2026. All common shares purchased on the TSX or Nasdaq under the NCIB will be cancelled. The Company has entered into an automatic repurchase arrangement with a designated broker to facilitate repurchases under the NCIB, including during pre-determined blackout periods. The timing and number of shares repurchased will be determined by Management based on market conditions.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repurchased 7,807,141 common shares for cancellation through the Corporate Share Buyback Program in exchange for $9,877 at an average share price of approximately $1.27 and paid $79 of commissions to the purchasing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37  Page</w:t>
      </w:r>
    </w:p>
    <w:p>
      <w:pPr>
        <w:sectPr>
          <w:pgSz w:w="11900" w:h="16838" w:orient="portrait"/>
          <w:cols w:equalWidth="0" w:num="1">
            <w:col w:w="11240"/>
          </w:cols>
          <w:pgMar w:left="320" w:top="90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NOTE 20: SHARE CAPITAL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Equity warrants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14, 2025, the Company issued 12,893,650 warrants at an average exercise price of $1.30 as part of the consideration paid to acquire Stronghold. The total value was $11,477 using the Black-Scholes valuation model. Refer to Note 5 for more details. The warrants are convertible for a fixed number of common shares of the Company, which are classified as equity instruments.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Black-Scholes model and weighted average inputs below were used in determining the values of the warrants at initial recognition: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Measurement date</w:t>
            </w:r>
          </w:p>
        </w:tc>
        <w:tc>
          <w:tcPr>
            <w:tcW w:w="4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March 14, 2025</w:t>
            </w:r>
          </w:p>
        </w:tc>
      </w:tr>
      <w:tr>
        <w:trPr>
          <w:trHeight w:val="210"/>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w:t>
            </w:r>
          </w:p>
        </w:tc>
        <w:tc>
          <w:tcPr>
            <w:tcW w:w="38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Expected share price volatility (%)*</w:t>
            </w:r>
          </w:p>
        </w:tc>
        <w:tc>
          <w:tcPr>
            <w:tcW w:w="38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38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warrants (years)</w:t>
            </w:r>
          </w:p>
        </w:tc>
        <w:tc>
          <w:tcPr>
            <w:tcW w:w="388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5.96</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 (CAD)</w:t>
            </w:r>
          </w:p>
        </w:tc>
        <w:tc>
          <w:tcPr>
            <w:tcW w:w="3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(USD)</w:t>
            </w:r>
          </w:p>
        </w:tc>
        <w:tc>
          <w:tcPr>
            <w:tcW w:w="3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warrants (USD)</w:t>
            </w:r>
          </w:p>
        </w:tc>
        <w:tc>
          <w:tcPr>
            <w:tcW w:w="3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0.89</w:t>
            </w:r>
          </w:p>
        </w:tc>
      </w:tr>
      <w:tr>
        <w:trPr>
          <w:trHeight w:val="237"/>
        </w:trPr>
        <w:tc>
          <w:tcPr>
            <w:tcW w:w="6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warrants issued</w:t>
            </w:r>
          </w:p>
        </w:tc>
        <w:tc>
          <w:tcPr>
            <w:tcW w:w="38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12,893,650</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Expected share price volatility is estimated based on a combination of the Company’s stock price and BTC price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54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38  Page</w:t>
      </w:r>
    </w:p>
    <w:p>
      <w:pPr>
        <w:sectPr>
          <w:pgSz w:w="11900" w:h="16838" w:orient="portrait"/>
          <w:cols w:equalWidth="0" w:num="1">
            <w:col w:w="11240"/>
          </w:cols>
          <w:pgMar w:left="320" w:top="90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FINANCIAL INSTRUMENTS</w:t>
      </w:r>
    </w:p>
    <w:p>
      <w:pPr>
        <w:spacing w:after="0" w:line="225"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Measurement categories and fair value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assets and financial liabilities have been classified into categories that determine their basis of measurement. The following tables show the fair value of financial assets and financial liabilities for each of the applicable categories: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As of</w:t>
            </w:r>
          </w:p>
        </w:tc>
      </w:tr>
      <w:tr>
        <w:trPr>
          <w:trHeight w:val="238"/>
        </w:trPr>
        <w:tc>
          <w:tcPr>
            <w:tcW w:w="61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r>
      <w:tr>
        <w:trPr>
          <w:trHeight w:val="223"/>
        </w:trPr>
        <w:tc>
          <w:tcPr>
            <w:tcW w:w="6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Measurement</w:t>
            </w:r>
          </w:p>
        </w:tc>
        <w:tc>
          <w:tcPr>
            <w:tcW w:w="25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assets at amortized cost</w:t>
            </w:r>
          </w:p>
        </w:tc>
        <w:tc>
          <w:tcPr>
            <w:tcW w:w="2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2500" w:type="dxa"/>
            <w:vAlign w:val="bottom"/>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Level 1</w:t>
            </w:r>
          </w:p>
        </w:tc>
        <w:tc>
          <w:tcPr>
            <w:tcW w:w="1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86,952</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59,542</w:t>
            </w: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5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Level 1</w:t>
            </w: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25,000</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receivables</w:t>
            </w:r>
          </w:p>
        </w:tc>
        <w:tc>
          <w:tcPr>
            <w:tcW w:w="2500" w:type="dxa"/>
            <w:vAlign w:val="bottom"/>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Level 3</w:t>
            </w:r>
          </w:p>
        </w:tc>
        <w:tc>
          <w:tcPr>
            <w:tcW w:w="1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3,274</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1,259</w:t>
            </w: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25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Level 3</w:t>
            </w: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2,826</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1,387</w:t>
            </w:r>
          </w:p>
        </w:tc>
      </w:tr>
      <w:tr>
        <w:trPr>
          <w:trHeight w:val="216"/>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Security deposits for energy</w:t>
            </w:r>
          </w:p>
        </w:tc>
        <w:tc>
          <w:tcPr>
            <w:tcW w:w="2500" w:type="dxa"/>
            <w:vAlign w:val="bottom"/>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Level 2</w:t>
            </w:r>
          </w:p>
        </w:tc>
        <w:tc>
          <w:tcPr>
            <w:tcW w:w="1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7,740</w:t>
            </w: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Refundable Hosting Deposits</w:t>
            </w:r>
          </w:p>
        </w:tc>
        <w:tc>
          <w:tcPr>
            <w:tcW w:w="25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Level 2</w:t>
            </w: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14,216</w:t>
            </w:r>
          </w:p>
        </w:tc>
      </w:tr>
      <w:tr>
        <w:trPr>
          <w:trHeight w:val="216"/>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refundable deposits</w:t>
            </w:r>
          </w:p>
        </w:tc>
        <w:tc>
          <w:tcPr>
            <w:tcW w:w="2500" w:type="dxa"/>
            <w:vAlign w:val="bottom"/>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Level 3</w:t>
            </w:r>
          </w:p>
        </w:tc>
        <w:tc>
          <w:tcPr>
            <w:tcW w:w="1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350</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assets at fair value through profit and loss</w:t>
            </w:r>
          </w:p>
        </w:tc>
        <w:tc>
          <w:tcPr>
            <w:tcW w:w="2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assets</w:t>
            </w:r>
          </w:p>
        </w:tc>
        <w:tc>
          <w:tcPr>
            <w:tcW w:w="2500" w:type="dxa"/>
            <w:vAlign w:val="bottom"/>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Level 2</w:t>
            </w:r>
          </w:p>
        </w:tc>
        <w:tc>
          <w:tcPr>
            <w:tcW w:w="1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2,933</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3,418</w:t>
            </w:r>
          </w:p>
        </w:tc>
      </w:tr>
      <w:tr>
        <w:trPr>
          <w:trHeight w:val="229"/>
        </w:trPr>
        <w:tc>
          <w:tcPr>
            <w:tcW w:w="61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Warrant assets</w:t>
            </w:r>
          </w:p>
        </w:tc>
        <w:tc>
          <w:tcPr>
            <w:tcW w:w="250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8"/>
                <w:szCs w:val="18"/>
                <w:color w:val="auto"/>
              </w:rPr>
              <w:t>Level 3</w:t>
            </w:r>
          </w:p>
        </w:tc>
        <w:tc>
          <w:tcPr>
            <w:tcW w:w="1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290</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fair value of financial assets</w:t>
            </w:r>
          </w:p>
        </w:tc>
        <w:tc>
          <w:tcPr>
            <w:tcW w:w="25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121,625</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87,562</w:t>
            </w:r>
          </w:p>
        </w:tc>
      </w:tr>
      <w:tr>
        <w:trPr>
          <w:trHeight w:val="210"/>
        </w:trPr>
        <w:tc>
          <w:tcPr>
            <w:tcW w:w="61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 at amortized cost</w:t>
            </w:r>
          </w:p>
        </w:tc>
        <w:tc>
          <w:tcPr>
            <w:tcW w:w="25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accounts payable and accrued liabilities</w:t>
            </w:r>
          </w:p>
        </w:tc>
        <w:tc>
          <w:tcPr>
            <w:tcW w:w="25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Level 3</w:t>
            </w: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36,369</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22,158</w:t>
            </w:r>
          </w:p>
        </w:tc>
      </w:tr>
      <w:tr>
        <w:trPr>
          <w:trHeight w:val="216"/>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obligations</w:t>
            </w:r>
          </w:p>
        </w:tc>
        <w:tc>
          <w:tcPr>
            <w:tcW w:w="2500" w:type="dxa"/>
            <w:vAlign w:val="bottom"/>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Level 3</w:t>
            </w:r>
          </w:p>
        </w:tc>
        <w:tc>
          <w:tcPr>
            <w:tcW w:w="1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15,339</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25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Level 2</w:t>
            </w: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55,438</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1,576</w:t>
            </w: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 at fair value through profit and loss</w:t>
            </w:r>
          </w:p>
        </w:tc>
        <w:tc>
          <w:tcPr>
            <w:tcW w:w="25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liabilities</w:t>
            </w:r>
          </w:p>
        </w:tc>
        <w:tc>
          <w:tcPr>
            <w:tcW w:w="25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Level 2</w:t>
            </w: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w:t>
            </w:r>
          </w:p>
        </w:tc>
      </w:tr>
      <w:tr>
        <w:trPr>
          <w:trHeight w:val="230"/>
        </w:trPr>
        <w:tc>
          <w:tcPr>
            <w:tcW w:w="61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2500" w:type="dxa"/>
            <w:vAlign w:val="bottom"/>
            <w:tcBorders>
              <w:bottom w:val="single" w:sz="8" w:color="auto"/>
            </w:tcBorders>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Level 2</w:t>
            </w:r>
          </w:p>
        </w:tc>
        <w:tc>
          <w:tcPr>
            <w:tcW w:w="1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29,138</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8,013</w:t>
            </w:r>
          </w:p>
        </w:tc>
      </w:tr>
      <w:tr>
        <w:trPr>
          <w:trHeight w:val="223"/>
        </w:trPr>
        <w:tc>
          <w:tcPr>
            <w:tcW w:w="6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fair value of financial liabilities</w:t>
            </w:r>
          </w:p>
        </w:tc>
        <w:tc>
          <w:tcPr>
            <w:tcW w:w="25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136,284</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31,875</w:t>
            </w:r>
          </w:p>
        </w:tc>
      </w:tr>
      <w:tr>
        <w:trPr>
          <w:trHeight w:val="142"/>
        </w:trPr>
        <w:tc>
          <w:tcPr>
            <w:tcW w:w="6140" w:type="dxa"/>
            <w:vAlign w:val="bottom"/>
            <w:tcBorders>
              <w:bottom w:val="single" w:sz="8" w:color="auto"/>
            </w:tcBorders>
            <w:shd w:val="clear" w:color="auto" w:fill="CCEEFF"/>
          </w:tcPr>
          <w:p>
            <w:pPr>
              <w:spacing w:after="0"/>
              <w:rPr>
                <w:sz w:val="12"/>
                <w:szCs w:val="12"/>
                <w:color w:val="auto"/>
              </w:rPr>
            </w:pPr>
          </w:p>
        </w:tc>
        <w:tc>
          <w:tcPr>
            <w:tcW w:w="250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spacing w:after="0"/>
              <w:rPr>
                <w:sz w:val="12"/>
                <w:szCs w:val="12"/>
                <w:color w:val="auto"/>
              </w:rPr>
            </w:pPr>
          </w:p>
        </w:tc>
      </w:tr>
      <w:tr>
        <w:trPr>
          <w:trHeight w:val="230"/>
        </w:trPr>
        <w:tc>
          <w:tcPr>
            <w:tcW w:w="6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fair value</w:t>
            </w:r>
          </w:p>
        </w:tc>
        <w:tc>
          <w:tcPr>
            <w:tcW w:w="25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(14,659)</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55,687</w:t>
            </w:r>
          </w:p>
        </w:tc>
      </w:tr>
    </w:tbl>
    <w:p>
      <w:pPr>
        <w:spacing w:after="0" w:line="19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*The Credit Facility is recorded at amortized cost using the effective interest rate method. Its carrying amount amounted to $48,412 as of September 30, 2025, whereas its fair value, which is based on discounted cash flows using a current borrowing rate, amounted to $52,400.</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amounts of cash, restricted cash, trade receivables, other receivables, security deposits for energy, Refundable Hosting Deposits, other refundable deposits, receivable from disposal of business, trade payables and accrued liabilities and redemption obligations presented in the table above are a reasonable approximation of their fair value due to their short-term maturity or they are valued using the income approach valuation technique.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9"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39  Page</w:t>
      </w:r>
    </w:p>
    <w:p>
      <w:pPr>
        <w:sectPr>
          <w:pgSz w:w="11900" w:h="16838" w:orient="portrait"/>
          <w:cols w:equalWidth="0" w:num="1">
            <w:col w:w="11240"/>
          </w:cols>
          <w:pgMar w:left="320" w:top="90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21: FINANCIAL INSTRUMENTS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Measurement categories and fair value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liabilities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Warrant liabilities related to the 2023 Private Placements and the 2025 Warrants are classified as financial liabilities at fair value through profit or loss with the change in fair value recorded to Net financial (expenses) income. The fair value measurement is categorized as Level 2 in the fair value hierarchy, is a recurring measurement and is calculated using a Black-Scholes pricing model at each reporting date. Refer to Note 17 for more details.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fair value of derivatives is categorized as Level 2 in the fair value hierarchy and is presented under derivative assets and liabilities in the consolidated statements of financial position. Their fair values are a recurring measurement. Refer to Note 10 for more details.</w:t>
      </w:r>
    </w:p>
    <w:p>
      <w:pPr>
        <w:spacing w:after="0" w:line="179"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BTC option and selling contracts (derivatives)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Fair value of derivative financial instruments generally reflects the estimated amounts that the Company would receive or pay, taking into consideration the counterparty credit risk or the Company’s credit risk at each reporting date. The Company uses market data such as BTC option futures to estimate the fair value of option contracts at each reporting date. Refer to Note 10 for more details.</w:t>
      </w:r>
    </w:p>
    <w:p>
      <w:pPr>
        <w:spacing w:after="0" w:line="184"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i w:val="1"/>
          <w:iCs w:val="1"/>
          <w:color w:val="auto"/>
        </w:rPr>
        <w:t>ii.</w:t>
        <w:tab/>
        <w:t>BTC Redemption Options (embedded derivatives)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purchase order agreements explained in Note 10 provide the Company with the option to redeem the BTC Pledged at a market price determined when the BTC was first pledged (“Agreed BTC Price”). The right to redeem the BTC Pledged meets the definition of an embedded derivative as the derivative that is embedded in the non-financial contract is not closely related to the host contract. Its fair value is determined using a combination of the Monte Carlo simulation model to simulate the future price of BTC using probability factors and the Black-Scholes Model to estimate the value of each BTC Redemption Option. At each reporting date, the fair value is determined by multiplying the number of redeemable BTC pledged by the present value of the difference between the Agreed BTC Price and the simulated spot price of BTC while considering the likelihood of exercising the quarterly installments with the change in fair value recorded to Net financial (expenses)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40  Page</w:t>
      </w:r>
    </w:p>
    <w:p>
      <w:pPr>
        <w:sectPr>
          <w:pgSz w:w="11900" w:h="16838" w:orient="portrait"/>
          <w:cols w:equalWidth="0" w:num="1">
            <w:col w:w="11240"/>
          </w:cols>
          <w:pgMar w:left="320" w:top="90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21: FINANCIAL INSTRUMENTS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Measurement categories and fair value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Refundable deposits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refundable deposits are measured at amortized cost using the effective interest rate (“EIR”) method and are classified as Level 2 according to the Company’s fair value hierarchy. Their fair values are a recurring measurement. The valuation technique used is the income approach (discounted future cash flows). Refer to Note 14 for more details.</w:t>
      </w:r>
    </w:p>
    <w:p>
      <w:pPr>
        <w:spacing w:after="0" w:line="184"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Refundable Hosting Deposits</w:t>
      </w:r>
    </w:p>
    <w:p>
      <w:pPr>
        <w:spacing w:after="0" w:line="29" w:lineRule="exact"/>
        <w:rPr>
          <w:sz w:val="20"/>
          <w:szCs w:val="20"/>
          <w:color w:val="auto"/>
        </w:rPr>
      </w:pPr>
    </w:p>
    <w:p>
      <w:pPr>
        <w:jc w:val="both"/>
        <w:ind w:left="20" w:right="20" w:hanging="4"/>
        <w:spacing w:after="0" w:line="255" w:lineRule="auto"/>
        <w:rPr>
          <w:sz w:val="20"/>
          <w:szCs w:val="20"/>
          <w:color w:val="auto"/>
        </w:rPr>
      </w:pPr>
      <w:r>
        <w:rPr>
          <w:rFonts w:ascii="Times New Roman" w:cs="Times New Roman" w:eastAsia="Times New Roman" w:hAnsi="Times New Roman"/>
          <w:sz w:val="18"/>
          <w:szCs w:val="18"/>
          <w:color w:val="auto"/>
        </w:rPr>
        <w:t>The Refundable Hosting Deposits are accounted for as financial assets and recorded at fair value on initial recognition based on the contractual right to receive only each refundable hosting deposit plus interest at the end of the term. Following the acquisition of Stronghold on March 14, 2025, the Panther Creek and the Scrubgrass Hosting Agreements were terminated, settling the Refundable Hosting Deposits.</w:t>
      </w:r>
    </w:p>
    <w:p>
      <w:pPr>
        <w:spacing w:after="0" w:line="184"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i w:val="1"/>
          <w:iCs w:val="1"/>
          <w:color w:val="auto"/>
        </w:rPr>
        <w:t>ii.</w:t>
      </w:r>
      <w:r>
        <w:rPr>
          <w:sz w:val="20"/>
          <w:szCs w:val="20"/>
          <w:color w:val="auto"/>
        </w:rPr>
        <w:tab/>
      </w:r>
      <w:r>
        <w:rPr>
          <w:rFonts w:ascii="Times New Roman" w:cs="Times New Roman" w:eastAsia="Times New Roman" w:hAnsi="Times New Roman"/>
          <w:sz w:val="17"/>
          <w:szCs w:val="17"/>
          <w:i w:val="1"/>
          <w:iCs w:val="1"/>
          <w:color w:val="auto"/>
        </w:rPr>
        <w:t>Security deposits for energy</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other deposits related to the Paraguay data centers. Following the disposal of the Yguazu Mining site on March 17, 2025, the deposits related to this project were derecognized. The remaining deposit has an EIR of 6% over an approximately three-year period.</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details the movement in the refundable deposits: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Refundable</w:t>
            </w:r>
          </w:p>
        </w:tc>
        <w:tc>
          <w:tcPr>
            <w:tcW w:w="15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Security</w:t>
            </w:r>
          </w:p>
        </w:tc>
        <w:tc>
          <w:tcPr>
            <w:tcW w:w="1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Hosting</w:t>
            </w:r>
          </w:p>
        </w:tc>
        <w:tc>
          <w:tcPr>
            <w:tcW w:w="15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deposits for</w:t>
            </w: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4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5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Panther Creek</w:t>
            </w: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Scrubgrass</w:t>
            </w:r>
          </w:p>
        </w:tc>
        <w:tc>
          <w:tcPr>
            <w:tcW w:w="13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Deposits</w:t>
            </w:r>
          </w:p>
        </w:tc>
        <w:tc>
          <w:tcPr>
            <w:tcW w:w="15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energy</w:t>
            </w:r>
          </w:p>
        </w:tc>
        <w:tc>
          <w:tcPr>
            <w:tcW w:w="12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6"/>
        </w:trPr>
        <w:tc>
          <w:tcPr>
            <w:tcW w:w="2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76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277</w:t>
            </w:r>
          </w:p>
        </w:tc>
        <w:tc>
          <w:tcPr>
            <w:tcW w:w="12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10"/>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760" w:type="dxa"/>
            <w:vAlign w:val="bottom"/>
          </w:tcPr>
          <w:p>
            <w:pPr>
              <w:spacing w:after="0"/>
              <w:rPr>
                <w:sz w:val="18"/>
                <w:szCs w:val="18"/>
                <w:color w:val="auto"/>
              </w:rPr>
            </w:pPr>
          </w:p>
        </w:tc>
        <w:tc>
          <w:tcPr>
            <w:tcW w:w="15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7,800</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7,800</w:t>
            </w: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15,600</w:t>
            </w:r>
          </w:p>
        </w:tc>
        <w:tc>
          <w:tcPr>
            <w:tcW w:w="15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9,034</w:t>
            </w:r>
          </w:p>
        </w:tc>
        <w:tc>
          <w:tcPr>
            <w:tcW w:w="12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24,634</w:t>
            </w:r>
          </w:p>
        </w:tc>
        <w:tc>
          <w:tcPr>
            <w:tcW w:w="0" w:type="dxa"/>
            <w:vAlign w:val="bottom"/>
          </w:tcPr>
          <w:p>
            <w:pPr>
              <w:spacing w:after="0"/>
              <w:rPr>
                <w:sz w:val="1"/>
                <w:szCs w:val="1"/>
                <w:color w:val="auto"/>
              </w:rPr>
            </w:pPr>
          </w:p>
        </w:tc>
      </w:tr>
      <w:tr>
        <w:trPr>
          <w:trHeight w:val="243"/>
        </w:trPr>
        <w:tc>
          <w:tcPr>
            <w:tcW w:w="2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loss on recognition</w:t>
            </w:r>
          </w:p>
        </w:tc>
        <w:tc>
          <w:tcPr>
            <w:tcW w:w="7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(675)</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(258)</w:t>
            </w: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(933)</w:t>
            </w:r>
          </w:p>
        </w:tc>
        <w:tc>
          <w:tcPr>
            <w:tcW w:w="15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(1,571)</w:t>
            </w:r>
          </w:p>
        </w:tc>
        <w:tc>
          <w:tcPr>
            <w:tcW w:w="12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0" w:type="dxa"/>
            <w:vAlign w:val="bottom"/>
          </w:tcPr>
          <w:p>
            <w:pPr>
              <w:spacing w:after="0"/>
              <w:rPr>
                <w:sz w:val="1"/>
                <w:szCs w:val="1"/>
                <w:color w:val="auto"/>
              </w:rPr>
            </w:pPr>
          </w:p>
        </w:tc>
      </w:tr>
      <w:tr>
        <w:trPr>
          <w:trHeight w:val="237"/>
        </w:trPr>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Fair value at initial recognition</w:t>
            </w:r>
          </w:p>
        </w:tc>
        <w:tc>
          <w:tcPr>
            <w:tcW w:w="7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7,125</w:t>
            </w: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7,542</w:t>
            </w:r>
          </w:p>
        </w:tc>
        <w:tc>
          <w:tcPr>
            <w:tcW w:w="1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14,667</w:t>
            </w:r>
          </w:p>
        </w:tc>
        <w:tc>
          <w:tcPr>
            <w:tcW w:w="15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7,740</w:t>
            </w:r>
          </w:p>
        </w:tc>
        <w:tc>
          <w:tcPr>
            <w:tcW w:w="12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22,407</w:t>
            </w:r>
          </w:p>
        </w:tc>
        <w:tc>
          <w:tcPr>
            <w:tcW w:w="0" w:type="dxa"/>
            <w:vAlign w:val="bottom"/>
          </w:tcPr>
          <w:p>
            <w:pPr>
              <w:spacing w:after="0"/>
              <w:rPr>
                <w:sz w:val="1"/>
                <w:szCs w:val="1"/>
                <w:color w:val="auto"/>
              </w:rPr>
            </w:pPr>
          </w:p>
        </w:tc>
      </w:tr>
      <w:tr>
        <w:trPr>
          <w:trHeight w:val="209"/>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7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261</w:t>
            </w:r>
          </w:p>
        </w:tc>
        <w:tc>
          <w:tcPr>
            <w:tcW w:w="1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103</w:t>
            </w:r>
          </w:p>
        </w:tc>
        <w:tc>
          <w:tcPr>
            <w:tcW w:w="1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364</w:t>
            </w:r>
          </w:p>
        </w:tc>
        <w:tc>
          <w:tcPr>
            <w:tcW w:w="15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43"/>
        </w:trPr>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ECLs</w:t>
            </w:r>
          </w:p>
        </w:tc>
        <w:tc>
          <w:tcPr>
            <w:tcW w:w="7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(409)</w:t>
            </w: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(406)</w:t>
            </w: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(815)</w:t>
            </w:r>
          </w:p>
        </w:tc>
        <w:tc>
          <w:tcPr>
            <w:tcW w:w="15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191"/>
        </w:trPr>
        <w:tc>
          <w:tcPr>
            <w:tcW w:w="244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Balance as of December 31,</w:t>
            </w:r>
          </w:p>
        </w:tc>
        <w:tc>
          <w:tcPr>
            <w:tcW w:w="7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24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76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6,977</w:t>
            </w:r>
          </w:p>
        </w:tc>
        <w:tc>
          <w:tcPr>
            <w:tcW w:w="1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7,239</w:t>
            </w: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14,216</w:t>
            </w:r>
          </w:p>
        </w:tc>
        <w:tc>
          <w:tcPr>
            <w:tcW w:w="15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7,740</w:t>
            </w:r>
          </w:p>
        </w:tc>
        <w:tc>
          <w:tcPr>
            <w:tcW w:w="12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21,956</w:t>
            </w:r>
          </w:p>
        </w:tc>
        <w:tc>
          <w:tcPr>
            <w:tcW w:w="0" w:type="dxa"/>
            <w:vAlign w:val="bottom"/>
          </w:tcPr>
          <w:p>
            <w:pPr>
              <w:spacing w:after="0"/>
              <w:rPr>
                <w:sz w:val="1"/>
                <w:szCs w:val="1"/>
                <w:color w:val="auto"/>
              </w:rPr>
            </w:pPr>
          </w:p>
        </w:tc>
      </w:tr>
      <w:tr>
        <w:trPr>
          <w:trHeight w:val="191"/>
        </w:trPr>
        <w:tc>
          <w:tcPr>
            <w:tcW w:w="2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Addition from business</w:t>
            </w:r>
          </w:p>
        </w:tc>
        <w:tc>
          <w:tcPr>
            <w:tcW w:w="760" w:type="dxa"/>
            <w:vAlign w:val="bottom"/>
          </w:tcPr>
          <w:p>
            <w:pPr>
              <w:spacing w:after="0"/>
              <w:rPr>
                <w:sz w:val="16"/>
                <w:szCs w:val="16"/>
                <w:color w:val="auto"/>
              </w:rPr>
            </w:pPr>
          </w:p>
        </w:tc>
        <w:tc>
          <w:tcPr>
            <w:tcW w:w="15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350</w:t>
            </w:r>
          </w:p>
        </w:tc>
        <w:tc>
          <w:tcPr>
            <w:tcW w:w="10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350</w:t>
            </w:r>
          </w:p>
        </w:tc>
        <w:tc>
          <w:tcPr>
            <w:tcW w:w="0" w:type="dxa"/>
            <w:vAlign w:val="bottom"/>
          </w:tcPr>
          <w:p>
            <w:pPr>
              <w:spacing w:after="0"/>
              <w:rPr>
                <w:sz w:val="1"/>
                <w:szCs w:val="1"/>
                <w:color w:val="auto"/>
              </w:rPr>
            </w:pPr>
          </w:p>
        </w:tc>
      </w:tr>
      <w:tr>
        <w:trPr>
          <w:trHeight w:val="234"/>
        </w:trPr>
        <w:tc>
          <w:tcPr>
            <w:tcW w:w="2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combination</w:t>
            </w:r>
          </w:p>
        </w:tc>
        <w:tc>
          <w:tcPr>
            <w:tcW w:w="760" w:type="dxa"/>
            <w:vAlign w:val="bottom"/>
          </w:tcPr>
          <w:p>
            <w:pPr>
              <w:spacing w:after="0"/>
              <w:rPr>
                <w:sz w:val="20"/>
                <w:szCs w:val="20"/>
                <w:color w:val="auto"/>
              </w:rPr>
            </w:pPr>
          </w:p>
        </w:tc>
        <w:tc>
          <w:tcPr>
            <w:tcW w:w="1540" w:type="dxa"/>
            <w:vAlign w:val="bottom"/>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1320" w:type="dxa"/>
            <w:vAlign w:val="bottom"/>
            <w:vMerge w:val="continue"/>
          </w:tcPr>
          <w:p>
            <w:pPr>
              <w:spacing w:after="0"/>
              <w:rPr>
                <w:sz w:val="20"/>
                <w:szCs w:val="20"/>
                <w:color w:val="auto"/>
              </w:rPr>
            </w:pPr>
          </w:p>
        </w:tc>
        <w:tc>
          <w:tcPr>
            <w:tcW w:w="1540" w:type="dxa"/>
            <w:vAlign w:val="bottom"/>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Reclassification to assets held</w:t>
            </w:r>
          </w:p>
        </w:tc>
        <w:tc>
          <w:tcPr>
            <w:tcW w:w="7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11, 22</w:t>
            </w:r>
          </w:p>
        </w:tc>
        <w:tc>
          <w:tcPr>
            <w:tcW w:w="154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(5,157)</w:t>
            </w:r>
          </w:p>
        </w:tc>
        <w:tc>
          <w:tcPr>
            <w:tcW w:w="126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(5,157)</w:t>
            </w:r>
          </w:p>
        </w:tc>
        <w:tc>
          <w:tcPr>
            <w:tcW w:w="0" w:type="dxa"/>
            <w:vAlign w:val="bottom"/>
          </w:tcPr>
          <w:p>
            <w:pPr>
              <w:spacing w:after="0"/>
              <w:rPr>
                <w:sz w:val="1"/>
                <w:szCs w:val="1"/>
                <w:color w:val="auto"/>
              </w:rPr>
            </w:pPr>
          </w:p>
        </w:tc>
      </w:tr>
      <w:tr>
        <w:trPr>
          <w:trHeight w:val="234"/>
        </w:trPr>
        <w:tc>
          <w:tcPr>
            <w:tcW w:w="2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sale</w:t>
            </w:r>
          </w:p>
        </w:tc>
        <w:tc>
          <w:tcPr>
            <w:tcW w:w="760" w:type="dxa"/>
            <w:vAlign w:val="bottom"/>
            <w:vMerge w:val="continue"/>
            <w:shd w:val="clear" w:color="auto" w:fill="CCEEFF"/>
          </w:tcPr>
          <w:p>
            <w:pPr>
              <w:spacing w:after="0"/>
              <w:rPr>
                <w:sz w:val="20"/>
                <w:szCs w:val="20"/>
                <w:color w:val="auto"/>
              </w:rPr>
            </w:pPr>
          </w:p>
        </w:tc>
        <w:tc>
          <w:tcPr>
            <w:tcW w:w="1540" w:type="dxa"/>
            <w:vAlign w:val="bottom"/>
            <w:vMerge w:val="continue"/>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1540" w:type="dxa"/>
            <w:vAlign w:val="bottom"/>
            <w:vMerge w:val="continue"/>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760" w:type="dxa"/>
            <w:vAlign w:val="bottom"/>
          </w:tcPr>
          <w:p>
            <w:pPr>
              <w:spacing w:after="0"/>
              <w:rPr>
                <w:sz w:val="18"/>
                <w:szCs w:val="18"/>
                <w:color w:val="auto"/>
              </w:rPr>
            </w:pPr>
          </w:p>
        </w:tc>
        <w:tc>
          <w:tcPr>
            <w:tcW w:w="15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187</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126</w:t>
            </w: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313</w:t>
            </w:r>
          </w:p>
        </w:tc>
        <w:tc>
          <w:tcPr>
            <w:tcW w:w="15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226</w:t>
            </w:r>
          </w:p>
        </w:tc>
        <w:tc>
          <w:tcPr>
            <w:tcW w:w="12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539</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settlement</w:t>
            </w:r>
          </w:p>
        </w:tc>
        <w:tc>
          <w:tcPr>
            <w:tcW w:w="7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603</w:t>
            </w:r>
          </w:p>
        </w:tc>
        <w:tc>
          <w:tcPr>
            <w:tcW w:w="1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342</w:t>
            </w:r>
          </w:p>
        </w:tc>
        <w:tc>
          <w:tcPr>
            <w:tcW w:w="1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945</w:t>
            </w:r>
          </w:p>
        </w:tc>
        <w:tc>
          <w:tcPr>
            <w:tcW w:w="15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945</w:t>
            </w:r>
          </w:p>
        </w:tc>
        <w:tc>
          <w:tcPr>
            <w:tcW w:w="0" w:type="dxa"/>
            <w:vAlign w:val="bottom"/>
          </w:tcPr>
          <w:p>
            <w:pPr>
              <w:spacing w:after="0"/>
              <w:rPr>
                <w:sz w:val="1"/>
                <w:szCs w:val="1"/>
                <w:color w:val="auto"/>
              </w:rPr>
            </w:pPr>
          </w:p>
        </w:tc>
      </w:tr>
      <w:tr>
        <w:trPr>
          <w:trHeight w:val="243"/>
        </w:trPr>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Derecognition</w:t>
            </w:r>
          </w:p>
        </w:tc>
        <w:tc>
          <w:tcPr>
            <w:tcW w:w="7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(7,767)</w:t>
            </w: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(7,707)</w:t>
            </w: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(15,474)</w:t>
            </w:r>
          </w:p>
        </w:tc>
        <w:tc>
          <w:tcPr>
            <w:tcW w:w="15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(2,809)</w:t>
            </w:r>
          </w:p>
        </w:tc>
        <w:tc>
          <w:tcPr>
            <w:tcW w:w="12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(18,283)</w:t>
            </w:r>
          </w:p>
        </w:tc>
        <w:tc>
          <w:tcPr>
            <w:tcW w:w="0" w:type="dxa"/>
            <w:vAlign w:val="bottom"/>
          </w:tcPr>
          <w:p>
            <w:pPr>
              <w:spacing w:after="0"/>
              <w:rPr>
                <w:sz w:val="1"/>
                <w:szCs w:val="1"/>
                <w:color w:val="auto"/>
              </w:rPr>
            </w:pPr>
          </w:p>
        </w:tc>
      </w:tr>
      <w:tr>
        <w:trPr>
          <w:trHeight w:val="187"/>
        </w:trPr>
        <w:tc>
          <w:tcPr>
            <w:tcW w:w="244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as of September 30,</w:t>
            </w:r>
          </w:p>
        </w:tc>
        <w:tc>
          <w:tcPr>
            <w:tcW w:w="7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24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350</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41  Page</w:t>
      </w:r>
    </w:p>
    <w:p>
      <w:pPr>
        <w:sectPr>
          <w:pgSz w:w="11900" w:h="16838" w:orient="portrait"/>
          <w:cols w:equalWidth="0" w:num="1">
            <w:col w:w="11240"/>
          </w:cols>
          <w:pgMar w:left="320" w:top="90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DISCONTINUED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2025, the Company began a significant transformation in its corporate strategy, pivoting away from its historical focus on Latin American Mining operations to concentrate on U.S. HPC/AI infrastructure market. This strategic realignment was driven by several key factors: the demand for AI compute capacity across North America, and the volatility and operational challenges in the Company’s Latin American operation jurisdictions. As a result of these strategic decisions and challenges, the Company classified certain of its Latin American assets as held for sale and its operations as discontinued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Argentina’s operations as discontinued operations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second quarter of 2025, the Company’s energy supplier halted the supply of electricity to the Company’s Rio Cuarto, Argentina Bitcoin data center. Following this event, on August 11, 2025, the Company determined that it would discontinue and abandon its operations in Rio Cuarto, Argentina. The Company negotiated to eliminate its asset retirement obligation and reduced the reserved power to a minimum. As of September 30, 2025, the Argentina’s operations were abandoned and classified as a discontinued operation.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the second quarter of 2025, the Company classified all assets that could be sold as held for sale. As of September 30, 2025, the Company had $5,224 assets held for sale relating to the Company’s discontinued Argentina operations. These assets held for sale mainly related to electrical components and BVVE.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Paraguay’s operations as discontinued operations and assets held for sale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first quarter of 2025, the Company finalized the sale of its Yguazu Bitcoin data center in Paraguay. During the three months ended September 30, 2025, Management determined that the Paso Pe facility met the criteria to be classified as held for sale, and all operations in Paraguay were classified as discontinued operations as the Company makes a strategic shift towards HPC/AI infrastructure projects in North America. The sale of the Paso Pe Bitcoin data center operations is anticipated to close within twelve months from the reporting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 of discontinued operations and assets held for sale</w:t>
      </w:r>
    </w:p>
    <w:p>
      <w:pPr>
        <w:spacing w:after="0" w:line="225" w:lineRule="exact"/>
        <w:rPr>
          <w:sz w:val="20"/>
          <w:szCs w:val="20"/>
          <w:color w:val="auto"/>
        </w:rPr>
      </w:pPr>
    </w:p>
    <w:p>
      <w:pPr>
        <w:ind w:left="500" w:hanging="492"/>
        <w:spacing w:after="0"/>
        <w:tabs>
          <w:tab w:leader="none" w:pos="50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Assets classified as held for sale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 classes of assets of Paso Pe Bitcoin data center in Paraguay as held for sale as of September 30, 2025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75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7"/>
        </w:trPr>
        <w:tc>
          <w:tcPr>
            <w:tcW w:w="75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7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1,287</w:t>
            </w:r>
          </w:p>
        </w:tc>
      </w:tr>
      <w:tr>
        <w:trPr>
          <w:trHeight w:val="216"/>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 - electronic and networking components</w:t>
            </w:r>
          </w:p>
        </w:tc>
        <w:tc>
          <w:tcPr>
            <w:tcW w:w="23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348</w:t>
            </w:r>
          </w:p>
        </w:tc>
      </w:tr>
      <w:tr>
        <w:trPr>
          <w:trHeight w:val="216"/>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Miners and Mining electrical components included in assets held for sale</w:t>
            </w:r>
          </w:p>
        </w:tc>
        <w:tc>
          <w:tcPr>
            <w:tcW w:w="2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4,011</w:t>
            </w:r>
          </w:p>
        </w:tc>
      </w:tr>
      <w:tr>
        <w:trPr>
          <w:trHeight w:val="216"/>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3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28,281</w:t>
            </w:r>
          </w:p>
        </w:tc>
      </w:tr>
      <w:tr>
        <w:trPr>
          <w:trHeight w:val="216"/>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deposits and equipment prepayments - equipment and construction</w:t>
            </w:r>
          </w:p>
        </w:tc>
        <w:tc>
          <w:tcPr>
            <w:tcW w:w="2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847</w:t>
            </w:r>
          </w:p>
        </w:tc>
      </w:tr>
      <w:tr>
        <w:trPr>
          <w:trHeight w:val="243"/>
        </w:trPr>
        <w:tc>
          <w:tcPr>
            <w:tcW w:w="75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Refundable deposits - security deposits for energy</w:t>
            </w:r>
          </w:p>
        </w:tc>
        <w:tc>
          <w:tcPr>
            <w:tcW w:w="2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5,157</w:t>
            </w:r>
          </w:p>
        </w:tc>
      </w:tr>
      <w:tr>
        <w:trPr>
          <w:trHeight w:val="236"/>
        </w:trPr>
        <w:tc>
          <w:tcPr>
            <w:tcW w:w="7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 held for sale</w:t>
            </w:r>
          </w:p>
        </w:tc>
        <w:tc>
          <w:tcPr>
            <w:tcW w:w="2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39,931</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2025, as a result of the reclassification of the assets of the Paso Pe facility as assets held for sale, the Company recognized an impairment loss of $32,055 to reflect these assets at the lower of their carrying amount and fair value less costs to 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42  Page</w:t>
      </w:r>
    </w:p>
    <w:p>
      <w:pPr>
        <w:sectPr>
          <w:pgSz w:w="11900" w:h="16838" w:orient="portrait"/>
          <w:cols w:equalWidth="0" w:num="1">
            <w:col w:w="11240"/>
          </w:cols>
          <w:pgMar w:left="320" w:top="90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NOTE 22: DISCONTINUED OPERATIONS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Financial information of discontinued operations and assets held for sale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500" w:hanging="492"/>
        <w:spacing w:after="0"/>
        <w:tabs>
          <w:tab w:leader="none" w:pos="50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Results of the discontinued operations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combined results of the Argentina’s and Paraguay’s operations are presented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37"/>
        </w:trPr>
        <w:tc>
          <w:tcPr>
            <w:tcW w:w="3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Argentina</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Paraguay</w:t>
            </w:r>
          </w:p>
        </w:tc>
        <w:tc>
          <w:tcPr>
            <w:tcW w:w="16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Argentina</w:t>
            </w:r>
          </w:p>
        </w:tc>
        <w:tc>
          <w:tcPr>
            <w:tcW w:w="13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Paraguay</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9"/>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5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14,416</w:t>
            </w:r>
          </w:p>
        </w:tc>
        <w:tc>
          <w:tcPr>
            <w:tcW w:w="16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14,416</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6,033</w:t>
            </w:r>
          </w:p>
        </w:tc>
        <w:tc>
          <w:tcPr>
            <w:tcW w:w="13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11,748</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17,781</w:t>
            </w:r>
          </w:p>
        </w:tc>
        <w:tc>
          <w:tcPr>
            <w:tcW w:w="0" w:type="dxa"/>
            <w:vAlign w:val="bottom"/>
          </w:tcPr>
          <w:p>
            <w:pPr>
              <w:spacing w:after="0"/>
              <w:rPr>
                <w:sz w:val="1"/>
                <w:szCs w:val="1"/>
                <w:color w:val="auto"/>
              </w:rPr>
            </w:pPr>
          </w:p>
        </w:tc>
      </w:tr>
      <w:tr>
        <w:trPr>
          <w:trHeight w:val="243"/>
        </w:trPr>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5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(315)</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(13,350)</w:t>
            </w:r>
          </w:p>
        </w:tc>
        <w:tc>
          <w:tcPr>
            <w:tcW w:w="16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(13,665)</w:t>
            </w:r>
          </w:p>
        </w:tc>
        <w:tc>
          <w:tcPr>
            <w:tcW w:w="13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(12,654)</w:t>
            </w:r>
          </w:p>
        </w:tc>
        <w:tc>
          <w:tcPr>
            <w:tcW w:w="13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(14,916)</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(27,570)</w:t>
            </w:r>
          </w:p>
        </w:tc>
        <w:tc>
          <w:tcPr>
            <w:tcW w:w="0" w:type="dxa"/>
            <w:vAlign w:val="bottom"/>
          </w:tcPr>
          <w:p>
            <w:pPr>
              <w:spacing w:after="0"/>
              <w:rPr>
                <w:sz w:val="1"/>
                <w:szCs w:val="1"/>
                <w:color w:val="auto"/>
              </w:rPr>
            </w:pPr>
          </w:p>
        </w:tc>
      </w:tr>
      <w:tr>
        <w:trPr>
          <w:trHeight w:val="237"/>
        </w:trPr>
        <w:tc>
          <w:tcPr>
            <w:tcW w:w="3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(loss) profit</w:t>
            </w:r>
          </w:p>
        </w:tc>
        <w:tc>
          <w:tcPr>
            <w:tcW w:w="15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(315)</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1,066</w:t>
            </w:r>
          </w:p>
        </w:tc>
        <w:tc>
          <w:tcPr>
            <w:tcW w:w="16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751</w:t>
            </w:r>
          </w:p>
        </w:tc>
        <w:tc>
          <w:tcPr>
            <w:tcW w:w="13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(6,621)</w:t>
            </w:r>
          </w:p>
        </w:tc>
        <w:tc>
          <w:tcPr>
            <w:tcW w:w="13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(3,168)</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(9,789)</w:t>
            </w:r>
          </w:p>
        </w:tc>
        <w:tc>
          <w:tcPr>
            <w:tcW w:w="0" w:type="dxa"/>
            <w:vAlign w:val="bottom"/>
          </w:tcPr>
          <w:p>
            <w:pPr>
              <w:spacing w:after="0"/>
              <w:rPr>
                <w:sz w:val="1"/>
                <w:szCs w:val="1"/>
                <w:color w:val="auto"/>
              </w:rPr>
            </w:pPr>
          </w:p>
        </w:tc>
      </w:tr>
      <w:tr>
        <w:trPr>
          <w:trHeight w:val="209"/>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(1,358)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(1,071)</w:t>
            </w:r>
          </w:p>
        </w:tc>
        <w:tc>
          <w:tcPr>
            <w:tcW w:w="16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(2,429)</w:t>
            </w:r>
          </w:p>
        </w:tc>
        <w:tc>
          <w:tcPr>
            <w:tcW w:w="13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(1,834)</w:t>
            </w:r>
          </w:p>
        </w:tc>
        <w:tc>
          <w:tcPr>
            <w:tcW w:w="13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(456)</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0" w:type="dxa"/>
            <w:vAlign w:val="bottom"/>
          </w:tcPr>
          <w:p>
            <w:pPr>
              <w:spacing w:after="0"/>
              <w:rPr>
                <w:sz w:val="1"/>
                <w:szCs w:val="1"/>
                <w:color w:val="auto"/>
              </w:rPr>
            </w:pPr>
          </w:p>
        </w:tc>
      </w:tr>
      <w:tr>
        <w:trPr>
          <w:trHeight w:val="198"/>
        </w:trPr>
        <w:tc>
          <w:tcPr>
            <w:tcW w:w="32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Gain (loss) on disposition of property,</w:t>
            </w:r>
          </w:p>
        </w:tc>
        <w:tc>
          <w:tcPr>
            <w:tcW w:w="15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1,485</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6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1,469</w:t>
            </w: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plant and equipment and deposits</w:t>
            </w:r>
          </w:p>
        </w:tc>
        <w:tc>
          <w:tcPr>
            <w:tcW w:w="150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1640" w:type="dxa"/>
            <w:vAlign w:val="bottom"/>
            <w:vMerge w:val="continue"/>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(877)</w:t>
            </w: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0" w:type="dxa"/>
            <w:vAlign w:val="bottom"/>
          </w:tcPr>
          <w:p>
            <w:pPr>
              <w:spacing w:after="0"/>
              <w:rPr>
                <w:sz w:val="1"/>
                <w:szCs w:val="1"/>
                <w:color w:val="auto"/>
              </w:rPr>
            </w:pPr>
          </w:p>
        </w:tc>
      </w:tr>
      <w:tr>
        <w:trPr>
          <w:trHeight w:val="243"/>
        </w:trPr>
        <w:tc>
          <w:tcPr>
            <w:tcW w:w="32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15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(2,069)</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(32,055)</w:t>
            </w:r>
          </w:p>
        </w:tc>
        <w:tc>
          <w:tcPr>
            <w:tcW w:w="16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(34,124)</w:t>
            </w:r>
          </w:p>
        </w:tc>
        <w:tc>
          <w:tcPr>
            <w:tcW w:w="13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5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(2,257)</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(32,076)</w:t>
            </w:r>
          </w:p>
        </w:tc>
        <w:tc>
          <w:tcPr>
            <w:tcW w:w="16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(34,333)</w:t>
            </w:r>
          </w:p>
        </w:tc>
        <w:tc>
          <w:tcPr>
            <w:tcW w:w="13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(9,332)</w:t>
            </w:r>
          </w:p>
        </w:tc>
        <w:tc>
          <w:tcPr>
            <w:tcW w:w="13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(3,610)</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(12,942)</w:t>
            </w:r>
          </w:p>
        </w:tc>
        <w:tc>
          <w:tcPr>
            <w:tcW w:w="0" w:type="dxa"/>
            <w:vAlign w:val="bottom"/>
          </w:tcPr>
          <w:p>
            <w:pPr>
              <w:spacing w:after="0"/>
              <w:rPr>
                <w:sz w:val="1"/>
                <w:szCs w:val="1"/>
                <w:color w:val="auto"/>
              </w:rPr>
            </w:pPr>
          </w:p>
        </w:tc>
      </w:tr>
      <w:tr>
        <w:trPr>
          <w:trHeight w:val="237"/>
        </w:trPr>
        <w:tc>
          <w:tcPr>
            <w:tcW w:w="3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financial (expenses) income</w:t>
            </w:r>
          </w:p>
        </w:tc>
        <w:tc>
          <w:tcPr>
            <w:tcW w:w="15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(142)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w:t>
            </w:r>
          </w:p>
        </w:tc>
        <w:tc>
          <w:tcPr>
            <w:tcW w:w="16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41</w:t>
            </w:r>
          </w:p>
        </w:tc>
        <w:tc>
          <w:tcPr>
            <w:tcW w:w="13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642</w:t>
            </w:r>
          </w:p>
        </w:tc>
        <w:tc>
          <w:tcPr>
            <w:tcW w:w="13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(269)</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36"/>
        </w:trPr>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15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(2,399)</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(31,893)</w:t>
            </w:r>
          </w:p>
        </w:tc>
        <w:tc>
          <w:tcPr>
            <w:tcW w:w="16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(34,292)</w:t>
            </w:r>
          </w:p>
        </w:tc>
        <w:tc>
          <w:tcPr>
            <w:tcW w:w="13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(8,690)</w:t>
            </w:r>
          </w:p>
        </w:tc>
        <w:tc>
          <w:tcPr>
            <w:tcW w:w="13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(3,879)</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(12,569)</w:t>
            </w:r>
          </w:p>
        </w:tc>
        <w:tc>
          <w:tcPr>
            <w:tcW w:w="0" w:type="dxa"/>
            <w:vAlign w:val="bottom"/>
          </w:tcPr>
          <w:p>
            <w:pPr>
              <w:spacing w:after="0"/>
              <w:rPr>
                <w:sz w:val="1"/>
                <w:szCs w:val="1"/>
                <w:color w:val="auto"/>
              </w:rPr>
            </w:pPr>
          </w:p>
        </w:tc>
      </w:tr>
      <w:tr>
        <w:trPr>
          <w:trHeight w:val="237"/>
        </w:trPr>
        <w:tc>
          <w:tcPr>
            <w:tcW w:w="3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5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w:t>
            </w:r>
          </w:p>
        </w:tc>
        <w:tc>
          <w:tcPr>
            <w:tcW w:w="16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(219)</w:t>
            </w:r>
          </w:p>
        </w:tc>
        <w:tc>
          <w:tcPr>
            <w:tcW w:w="13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(96)</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43"/>
        </w:trPr>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loss from discontinued operations</w:t>
            </w:r>
          </w:p>
        </w:tc>
        <w:tc>
          <w:tcPr>
            <w:tcW w:w="15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(2,399)</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(32,112)</w:t>
            </w:r>
          </w:p>
        </w:tc>
        <w:tc>
          <w:tcPr>
            <w:tcW w:w="16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(34,511)</w:t>
            </w:r>
          </w:p>
        </w:tc>
        <w:tc>
          <w:tcPr>
            <w:tcW w:w="13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(8,690)</w:t>
            </w:r>
          </w:p>
        </w:tc>
        <w:tc>
          <w:tcPr>
            <w:tcW w:w="13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(3,975)</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(12,665)</w:t>
            </w:r>
          </w:p>
        </w:tc>
        <w:tc>
          <w:tcPr>
            <w:tcW w:w="0" w:type="dxa"/>
            <w:vAlign w:val="bottom"/>
          </w:tcPr>
          <w:p>
            <w:pPr>
              <w:spacing w:after="0"/>
              <w:rPr>
                <w:sz w:val="1"/>
                <w:szCs w:val="1"/>
                <w:color w:val="auto"/>
              </w:rPr>
            </w:pPr>
          </w:p>
        </w:tc>
      </w:tr>
      <w:tr>
        <w:trPr>
          <w:trHeight w:val="459"/>
        </w:trPr>
        <w:tc>
          <w:tcPr>
            <w:tcW w:w="32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37"/>
        </w:trPr>
        <w:tc>
          <w:tcPr>
            <w:tcW w:w="3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Argentina</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Paraguay</w:t>
            </w:r>
          </w:p>
        </w:tc>
        <w:tc>
          <w:tcPr>
            <w:tcW w:w="16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Argentina</w:t>
            </w:r>
          </w:p>
        </w:tc>
        <w:tc>
          <w:tcPr>
            <w:tcW w:w="13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Paraguay</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9"/>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5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10,612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38,647</w:t>
            </w:r>
          </w:p>
        </w:tc>
        <w:tc>
          <w:tcPr>
            <w:tcW w:w="16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49,259</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25,588</w:t>
            </w:r>
          </w:p>
        </w:tc>
        <w:tc>
          <w:tcPr>
            <w:tcW w:w="13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15,608</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41,196</w:t>
            </w:r>
          </w:p>
        </w:tc>
        <w:tc>
          <w:tcPr>
            <w:tcW w:w="0" w:type="dxa"/>
            <w:vAlign w:val="bottom"/>
          </w:tcPr>
          <w:p>
            <w:pPr>
              <w:spacing w:after="0"/>
              <w:rPr>
                <w:sz w:val="1"/>
                <w:szCs w:val="1"/>
                <w:color w:val="auto"/>
              </w:rPr>
            </w:pPr>
          </w:p>
        </w:tc>
      </w:tr>
      <w:tr>
        <w:trPr>
          <w:trHeight w:val="243"/>
        </w:trPr>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5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(13,908)</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(38,751)</w:t>
            </w:r>
          </w:p>
        </w:tc>
        <w:tc>
          <w:tcPr>
            <w:tcW w:w="16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(52,659)</w:t>
            </w:r>
          </w:p>
        </w:tc>
        <w:tc>
          <w:tcPr>
            <w:tcW w:w="13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(31,098)</w:t>
            </w:r>
          </w:p>
        </w:tc>
        <w:tc>
          <w:tcPr>
            <w:tcW w:w="13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(21,891)</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(52,989)</w:t>
            </w:r>
          </w:p>
        </w:tc>
        <w:tc>
          <w:tcPr>
            <w:tcW w:w="0" w:type="dxa"/>
            <w:vAlign w:val="bottom"/>
          </w:tcPr>
          <w:p>
            <w:pPr>
              <w:spacing w:after="0"/>
              <w:rPr>
                <w:sz w:val="1"/>
                <w:szCs w:val="1"/>
                <w:color w:val="auto"/>
              </w:rPr>
            </w:pPr>
          </w:p>
        </w:tc>
      </w:tr>
      <w:tr>
        <w:trPr>
          <w:trHeight w:val="237"/>
        </w:trPr>
        <w:tc>
          <w:tcPr>
            <w:tcW w:w="3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loss</w:t>
            </w:r>
          </w:p>
        </w:tc>
        <w:tc>
          <w:tcPr>
            <w:tcW w:w="15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(3,296)</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16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(3,400)</w:t>
            </w:r>
          </w:p>
        </w:tc>
        <w:tc>
          <w:tcPr>
            <w:tcW w:w="13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(5,510)</w:t>
            </w:r>
          </w:p>
        </w:tc>
        <w:tc>
          <w:tcPr>
            <w:tcW w:w="13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(6,283)</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(11,793)</w:t>
            </w:r>
          </w:p>
        </w:tc>
        <w:tc>
          <w:tcPr>
            <w:tcW w:w="0" w:type="dxa"/>
            <w:vAlign w:val="bottom"/>
          </w:tcPr>
          <w:p>
            <w:pPr>
              <w:spacing w:after="0"/>
              <w:rPr>
                <w:sz w:val="1"/>
                <w:szCs w:val="1"/>
                <w:color w:val="auto"/>
              </w:rPr>
            </w:pPr>
          </w:p>
        </w:tc>
      </w:tr>
      <w:tr>
        <w:trPr>
          <w:trHeight w:val="210"/>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(4,333)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(2,525)</w:t>
            </w:r>
          </w:p>
        </w:tc>
        <w:tc>
          <w:tcPr>
            <w:tcW w:w="16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(6,858)</w:t>
            </w:r>
          </w:p>
        </w:tc>
        <w:tc>
          <w:tcPr>
            <w:tcW w:w="13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(4,645)</w:t>
            </w:r>
          </w:p>
        </w:tc>
        <w:tc>
          <w:tcPr>
            <w:tcW w:w="13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(744)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w:t>
            </w:r>
          </w:p>
        </w:tc>
        <w:tc>
          <w:tcPr>
            <w:tcW w:w="0" w:type="dxa"/>
            <w:vAlign w:val="bottom"/>
          </w:tcPr>
          <w:p>
            <w:pPr>
              <w:spacing w:after="0"/>
              <w:rPr>
                <w:sz w:val="1"/>
                <w:szCs w:val="1"/>
                <w:color w:val="auto"/>
              </w:rPr>
            </w:pPr>
          </w:p>
        </w:tc>
      </w:tr>
      <w:tr>
        <w:trPr>
          <w:trHeight w:val="198"/>
        </w:trPr>
        <w:tc>
          <w:tcPr>
            <w:tcW w:w="32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Gain (loss) on disposition of property,</w:t>
            </w:r>
          </w:p>
        </w:tc>
        <w:tc>
          <w:tcPr>
            <w:tcW w:w="15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1,606</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6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1,590</w:t>
            </w: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plant and equipment and deposits</w:t>
            </w:r>
          </w:p>
        </w:tc>
        <w:tc>
          <w:tcPr>
            <w:tcW w:w="150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1640" w:type="dxa"/>
            <w:vAlign w:val="bottom"/>
            <w:vMerge w:val="continue"/>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(721)</w:t>
            </w: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43"/>
        </w:trPr>
        <w:tc>
          <w:tcPr>
            <w:tcW w:w="32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15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(33,919)</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(32,055)</w:t>
            </w:r>
          </w:p>
        </w:tc>
        <w:tc>
          <w:tcPr>
            <w:tcW w:w="16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(65,974)</w:t>
            </w:r>
          </w:p>
        </w:tc>
        <w:tc>
          <w:tcPr>
            <w:tcW w:w="13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5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(39,942)</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(34,700)</w:t>
            </w:r>
          </w:p>
        </w:tc>
        <w:tc>
          <w:tcPr>
            <w:tcW w:w="16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(74,642)</w:t>
            </w:r>
          </w:p>
        </w:tc>
        <w:tc>
          <w:tcPr>
            <w:tcW w:w="13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(10,876)</w:t>
            </w:r>
          </w:p>
        </w:tc>
        <w:tc>
          <w:tcPr>
            <w:tcW w:w="13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(7,013)</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(17,889)</w:t>
            </w:r>
          </w:p>
        </w:tc>
        <w:tc>
          <w:tcPr>
            <w:tcW w:w="0" w:type="dxa"/>
            <w:vAlign w:val="bottom"/>
          </w:tcPr>
          <w:p>
            <w:pPr>
              <w:spacing w:after="0"/>
              <w:rPr>
                <w:sz w:val="1"/>
                <w:szCs w:val="1"/>
                <w:color w:val="auto"/>
              </w:rPr>
            </w:pPr>
          </w:p>
        </w:tc>
      </w:tr>
      <w:tr>
        <w:trPr>
          <w:trHeight w:val="236"/>
        </w:trPr>
        <w:tc>
          <w:tcPr>
            <w:tcW w:w="3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financial (expenses) income</w:t>
            </w:r>
          </w:p>
        </w:tc>
        <w:tc>
          <w:tcPr>
            <w:tcW w:w="15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90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16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321</w:t>
            </w:r>
          </w:p>
        </w:tc>
        <w:tc>
          <w:tcPr>
            <w:tcW w:w="13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1,329</w:t>
            </w:r>
          </w:p>
        </w:tc>
        <w:tc>
          <w:tcPr>
            <w:tcW w:w="13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(349)</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980</w:t>
            </w:r>
          </w:p>
        </w:tc>
        <w:tc>
          <w:tcPr>
            <w:tcW w:w="0" w:type="dxa"/>
            <w:vAlign w:val="bottom"/>
          </w:tcPr>
          <w:p>
            <w:pPr>
              <w:spacing w:after="0"/>
              <w:rPr>
                <w:sz w:val="1"/>
                <w:szCs w:val="1"/>
                <w:color w:val="auto"/>
              </w:rPr>
            </w:pPr>
          </w:p>
        </w:tc>
      </w:tr>
      <w:tr>
        <w:trPr>
          <w:trHeight w:val="237"/>
        </w:trPr>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15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(39,852)</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(34,469)</w:t>
            </w:r>
          </w:p>
        </w:tc>
        <w:tc>
          <w:tcPr>
            <w:tcW w:w="16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(74,321)</w:t>
            </w:r>
          </w:p>
        </w:tc>
        <w:tc>
          <w:tcPr>
            <w:tcW w:w="13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(9,547)</w:t>
            </w:r>
          </w:p>
        </w:tc>
        <w:tc>
          <w:tcPr>
            <w:tcW w:w="13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(7,362)</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(16,909)</w:t>
            </w:r>
          </w:p>
        </w:tc>
        <w:tc>
          <w:tcPr>
            <w:tcW w:w="0" w:type="dxa"/>
            <w:vAlign w:val="bottom"/>
          </w:tcPr>
          <w:p>
            <w:pPr>
              <w:spacing w:after="0"/>
              <w:rPr>
                <w:sz w:val="1"/>
                <w:szCs w:val="1"/>
                <w:color w:val="auto"/>
              </w:rPr>
            </w:pPr>
          </w:p>
        </w:tc>
      </w:tr>
      <w:tr>
        <w:trPr>
          <w:trHeight w:val="236"/>
        </w:trPr>
        <w:tc>
          <w:tcPr>
            <w:tcW w:w="3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 recovery</w:t>
            </w:r>
          </w:p>
        </w:tc>
        <w:tc>
          <w:tcPr>
            <w:tcW w:w="15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(412)</w:t>
            </w:r>
          </w:p>
        </w:tc>
        <w:tc>
          <w:tcPr>
            <w:tcW w:w="16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(413)</w:t>
            </w:r>
          </w:p>
        </w:tc>
        <w:tc>
          <w:tcPr>
            <w:tcW w:w="13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276</w:t>
            </w:r>
          </w:p>
        </w:tc>
        <w:tc>
          <w:tcPr>
            <w:tcW w:w="13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(110)</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44"/>
        </w:trPr>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loss from discontinued operations</w:t>
            </w:r>
          </w:p>
        </w:tc>
        <w:tc>
          <w:tcPr>
            <w:tcW w:w="15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(39,853)</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(34,881)</w:t>
            </w:r>
          </w:p>
        </w:tc>
        <w:tc>
          <w:tcPr>
            <w:tcW w:w="16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(74,734)</w:t>
            </w:r>
          </w:p>
        </w:tc>
        <w:tc>
          <w:tcPr>
            <w:tcW w:w="13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(9,271)</w:t>
            </w:r>
          </w:p>
        </w:tc>
        <w:tc>
          <w:tcPr>
            <w:tcW w:w="13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(7,472)</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(16,743)</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20" w:right="20" w:hanging="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Revenues are presented based on the geographical contribution of computational power used for hashing calculations (measured by hashrate) or sales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external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713232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3"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43  Page</w:t>
      </w:r>
    </w:p>
    <w:p>
      <w:pPr>
        <w:sectPr>
          <w:pgSz w:w="11900" w:h="16838" w:orient="portrait"/>
          <w:cols w:equalWidth="0" w:num="1">
            <w:col w:w="11240"/>
          </w:cols>
          <w:pgMar w:left="320" w:top="90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22: DISCONTINUED OPERATIONS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Financial information of discontinued operations and assets held for sale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500" w:hanging="492"/>
        <w:spacing w:after="0"/>
        <w:tabs>
          <w:tab w:leader="none" w:pos="50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Results of the discontinued operations </w:t>
      </w:r>
      <w:r>
        <w:rPr>
          <w:rFonts w:ascii="Times New Roman" w:cs="Times New Roman" w:eastAsia="Times New Roman" w:hAnsi="Times New Roman"/>
          <w:sz w:val="18"/>
          <w:szCs w:val="18"/>
          <w:color w:val="auto"/>
        </w:rPr>
        <w:t>(Continued)</w:t>
      </w:r>
    </w:p>
    <w:p>
      <w:pPr>
        <w:spacing w:after="0" w:line="31" w:lineRule="exact"/>
        <w:rPr>
          <w:rFonts w:ascii="Times New Roman" w:cs="Times New Roman" w:eastAsia="Times New Roman" w:hAnsi="Times New Roman"/>
          <w:sz w:val="18"/>
          <w:szCs w:val="18"/>
          <w:b w:val="1"/>
          <w:bCs w:val="1"/>
          <w:color w:val="auto"/>
        </w:rPr>
      </w:pPr>
    </w:p>
    <w:p>
      <w:pPr>
        <w:ind w:left="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Extinguishment of asset retirement obligations</w:t>
      </w:r>
    </w:p>
    <w:p>
      <w:pPr>
        <w:spacing w:after="0" w:line="9" w:lineRule="exact"/>
        <w:rPr>
          <w:rFonts w:ascii="Times New Roman" w:cs="Times New Roman" w:eastAsia="Times New Roman" w:hAnsi="Times New Roman"/>
          <w:sz w:val="18"/>
          <w:szCs w:val="18"/>
          <w:b w:val="1"/>
          <w:bCs w:val="1"/>
          <w:color w:val="auto"/>
        </w:rPr>
      </w:pPr>
    </w:p>
    <w:p>
      <w:pPr>
        <w:jc w:val="both"/>
        <w:ind w:left="20" w:hanging="5"/>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8, 2025, the Company entered into an agreement with GMSA to eliminate the Company’s asset retirement obligation for the leased property in Argentina. The Company’s negotiated agreement resulted in an extinguishment of the asset retirement obligation of $1,753 and derecognition of the related property, plant and equipment of $42 resulting in a gain of $1,711, which was recorded within net less from from discontinued operations during three and nine months ended September 30, 2025.</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Impairment</w:t>
      </w:r>
    </w:p>
    <w:p>
      <w:pPr>
        <w:spacing w:after="0" w:line="31" w:lineRule="exact"/>
        <w:rPr>
          <w:sz w:val="20"/>
          <w:szCs w:val="20"/>
          <w:color w:val="auto"/>
        </w:rPr>
      </w:pPr>
    </w:p>
    <w:p>
      <w:pPr>
        <w:jc w:val="both"/>
        <w:ind w:left="20" w:hanging="4"/>
        <w:spacing w:after="0" w:line="253" w:lineRule="auto"/>
        <w:rPr>
          <w:sz w:val="20"/>
          <w:szCs w:val="20"/>
          <w:color w:val="auto"/>
        </w:rPr>
      </w:pPr>
      <w:r>
        <w:rPr>
          <w:rFonts w:ascii="Times New Roman" w:cs="Times New Roman" w:eastAsia="Times New Roman" w:hAnsi="Times New Roman"/>
          <w:sz w:val="18"/>
          <w:szCs w:val="18"/>
          <w:color w:val="auto"/>
        </w:rPr>
        <w:t>Due to factors described above in this note, which include classification as assets held for sale of Paraguay disposal groups and other indicators of impairment prior to the abandonment of the Argentinian CGU in both the first and second quarters of 2025, prompted the recognition of impairment losses of $17,230 and $14,620, respectively, as well as an impairment loss of $2,069 during the three months ended September 30, 2025. In addition, during the three months ended September 30, 2025, upon reclassifying the assets of its Paraguay operations as held for sale, the Company assessed their value at fair value less costs to sell which resulted in an impairment loss of $32,055 on its Paraguay’s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impairment loss of the Company’s Argentina and Paraguay CGUs: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Q1 2025</w:t>
            </w:r>
          </w:p>
        </w:tc>
        <w:tc>
          <w:tcPr>
            <w:tcW w:w="11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Q2 2025</w:t>
            </w:r>
          </w:p>
        </w:tc>
        <w:tc>
          <w:tcPr>
            <w:tcW w:w="1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7"/>
              </w:rPr>
              <w:t>Q3 2025</w:t>
            </w:r>
          </w:p>
        </w:tc>
        <w:tc>
          <w:tcPr>
            <w:tcW w:w="9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Q3 2025</w:t>
            </w: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Three-month periods</w:t>
            </w:r>
          </w:p>
        </w:tc>
        <w:tc>
          <w:tcPr>
            <w:tcW w:w="10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Nine-month period</w:t>
            </w: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1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Argentina</w:t>
            </w:r>
          </w:p>
        </w:tc>
        <w:tc>
          <w:tcPr>
            <w:tcW w:w="11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Argentina</w:t>
            </w: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Argentina</w:t>
            </w:r>
          </w:p>
        </w:tc>
        <w:tc>
          <w:tcPr>
            <w:tcW w:w="10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Paraguay</w:t>
            </w:r>
          </w:p>
        </w:tc>
        <w:tc>
          <w:tcPr>
            <w:tcW w:w="9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Argentina</w:t>
            </w:r>
          </w:p>
        </w:tc>
        <w:tc>
          <w:tcPr>
            <w:tcW w:w="13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Paraguay</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(314)</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(314)</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(314)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w:t>
            </w:r>
          </w:p>
        </w:tc>
        <w:tc>
          <w:tcPr>
            <w:tcW w:w="0" w:type="dxa"/>
            <w:vAlign w:val="bottom"/>
          </w:tcPr>
          <w:p>
            <w:pPr>
              <w:spacing w:after="0"/>
              <w:rPr>
                <w:sz w:val="1"/>
                <w:szCs w:val="1"/>
                <w:color w:val="auto"/>
              </w:rPr>
            </w:pPr>
          </w:p>
        </w:tc>
      </w:tr>
      <w:tr>
        <w:trPr>
          <w:trHeight w:val="198"/>
        </w:trPr>
        <w:tc>
          <w:tcPr>
            <w:tcW w:w="1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Miners held for</w:t>
            </w:r>
          </w:p>
        </w:tc>
        <w:tc>
          <w:tcPr>
            <w:tcW w:w="8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11</w:t>
            </w:r>
          </w:p>
        </w:tc>
        <w:tc>
          <w:tcPr>
            <w:tcW w:w="11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(1,320)</w:t>
            </w:r>
          </w:p>
        </w:tc>
        <w:tc>
          <w:tcPr>
            <w:tcW w:w="11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(1,320)</w:t>
            </w:r>
          </w:p>
        </w:tc>
        <w:tc>
          <w:tcPr>
            <w:tcW w:w="132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(1,320)</w:t>
            </w:r>
          </w:p>
        </w:tc>
        <w:tc>
          <w:tcPr>
            <w:tcW w:w="0" w:type="dxa"/>
            <w:vAlign w:val="bottom"/>
          </w:tcPr>
          <w:p>
            <w:pPr>
              <w:spacing w:after="0"/>
              <w:rPr>
                <w:sz w:val="1"/>
                <w:szCs w:val="1"/>
                <w:color w:val="auto"/>
              </w:rPr>
            </w:pPr>
          </w:p>
        </w:tc>
      </w:tr>
      <w:tr>
        <w:trPr>
          <w:trHeight w:val="234"/>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w:t>
            </w:r>
          </w:p>
        </w:tc>
        <w:tc>
          <w:tcPr>
            <w:tcW w:w="860" w:type="dxa"/>
            <w:vAlign w:val="bottom"/>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132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Property, plant</w:t>
            </w:r>
          </w:p>
        </w:tc>
        <w:tc>
          <w:tcPr>
            <w:tcW w:w="86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12</w:t>
            </w:r>
          </w:p>
        </w:tc>
        <w:tc>
          <w:tcPr>
            <w:tcW w:w="11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(15,576)</w:t>
            </w:r>
          </w:p>
        </w:tc>
        <w:tc>
          <w:tcPr>
            <w:tcW w:w="11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(13,190)</w:t>
            </w:r>
          </w:p>
        </w:tc>
        <w:tc>
          <w:tcPr>
            <w:tcW w:w="126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(30,940)</w:t>
            </w:r>
          </w:p>
        </w:tc>
        <w:tc>
          <w:tcPr>
            <w:tcW w:w="9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(30,940)</w:t>
            </w:r>
          </w:p>
        </w:tc>
        <w:tc>
          <w:tcPr>
            <w:tcW w:w="112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(28,766)</w:t>
            </w:r>
          </w:p>
        </w:tc>
        <w:tc>
          <w:tcPr>
            <w:tcW w:w="1320" w:type="dxa"/>
            <w:vAlign w:val="bottom"/>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(30,940)</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(59,706)</w:t>
            </w:r>
          </w:p>
        </w:tc>
        <w:tc>
          <w:tcPr>
            <w:tcW w:w="0" w:type="dxa"/>
            <w:vAlign w:val="bottom"/>
          </w:tcPr>
          <w:p>
            <w:pPr>
              <w:spacing w:after="0"/>
              <w:rPr>
                <w:sz w:val="1"/>
                <w:szCs w:val="1"/>
                <w:color w:val="auto"/>
              </w:rPr>
            </w:pPr>
          </w:p>
        </w:tc>
      </w:tr>
      <w:tr>
        <w:trPr>
          <w:trHeight w:val="234"/>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equipment</w:t>
            </w:r>
          </w:p>
        </w:tc>
        <w:tc>
          <w:tcPr>
            <w:tcW w:w="860" w:type="dxa"/>
            <w:vAlign w:val="bottom"/>
            <w:vMerge w:val="continue"/>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ROU assets</w:t>
            </w:r>
          </w:p>
        </w:tc>
        <w:tc>
          <w:tcPr>
            <w:tcW w:w="86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(103)</w:t>
            </w: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(161)</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(161)</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(103)</w:t>
            </w:r>
          </w:p>
        </w:tc>
        <w:tc>
          <w:tcPr>
            <w:tcW w:w="13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(161)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(264)</w:t>
            </w:r>
          </w:p>
        </w:tc>
        <w:tc>
          <w:tcPr>
            <w:tcW w:w="0" w:type="dxa"/>
            <w:vAlign w:val="bottom"/>
          </w:tcPr>
          <w:p>
            <w:pPr>
              <w:spacing w:after="0"/>
              <w:rPr>
                <w:sz w:val="1"/>
                <w:szCs w:val="1"/>
                <w:color w:val="auto"/>
              </w:rPr>
            </w:pPr>
          </w:p>
        </w:tc>
      </w:tr>
      <w:tr>
        <w:trPr>
          <w:trHeight w:val="198"/>
        </w:trPr>
        <w:tc>
          <w:tcPr>
            <w:tcW w:w="1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Security deposits</w:t>
            </w:r>
          </w:p>
        </w:tc>
        <w:tc>
          <w:tcPr>
            <w:tcW w:w="86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(231)</w:t>
            </w:r>
          </w:p>
        </w:tc>
        <w:tc>
          <w:tcPr>
            <w:tcW w:w="11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(1,430)</w:t>
            </w:r>
          </w:p>
        </w:tc>
        <w:tc>
          <w:tcPr>
            <w:tcW w:w="126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(2,069)</w:t>
            </w:r>
          </w:p>
        </w:tc>
        <w:tc>
          <w:tcPr>
            <w:tcW w:w="108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(2,069)</w:t>
            </w:r>
          </w:p>
        </w:tc>
        <w:tc>
          <w:tcPr>
            <w:tcW w:w="112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(3,730)</w:t>
            </w:r>
          </w:p>
        </w:tc>
        <w:tc>
          <w:tcPr>
            <w:tcW w:w="1320" w:type="dxa"/>
            <w:vAlign w:val="bottom"/>
            <w:vMerge w:val="restart"/>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(3,730)</w:t>
            </w:r>
          </w:p>
        </w:tc>
        <w:tc>
          <w:tcPr>
            <w:tcW w:w="0" w:type="dxa"/>
            <w:vAlign w:val="bottom"/>
          </w:tcPr>
          <w:p>
            <w:pPr>
              <w:spacing w:after="0"/>
              <w:rPr>
                <w:sz w:val="1"/>
                <w:szCs w:val="1"/>
                <w:color w:val="auto"/>
              </w:rPr>
            </w:pPr>
          </w:p>
        </w:tc>
      </w:tr>
      <w:tr>
        <w:trPr>
          <w:trHeight w:val="234"/>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energy</w:t>
            </w:r>
          </w:p>
        </w:tc>
        <w:tc>
          <w:tcPr>
            <w:tcW w:w="860" w:type="dxa"/>
            <w:vAlign w:val="bottom"/>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Intangible asset</w:t>
            </w:r>
          </w:p>
        </w:tc>
        <w:tc>
          <w:tcPr>
            <w:tcW w:w="8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(640)</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(640)</w:t>
            </w: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(640)</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(640)</w:t>
            </w:r>
          </w:p>
        </w:tc>
        <w:tc>
          <w:tcPr>
            <w:tcW w:w="0" w:type="dxa"/>
            <w:vAlign w:val="bottom"/>
          </w:tcPr>
          <w:p>
            <w:pPr>
              <w:spacing w:after="0"/>
              <w:rPr>
                <w:sz w:val="1"/>
                <w:szCs w:val="1"/>
                <w:color w:val="auto"/>
              </w:rPr>
            </w:pPr>
          </w:p>
        </w:tc>
      </w:tr>
      <w:tr>
        <w:trPr>
          <w:trHeight w:val="237"/>
        </w:trPr>
        <w:tc>
          <w:tcPr>
            <w:tcW w:w="15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(17,230)</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(14,620)</w:t>
            </w:r>
          </w:p>
        </w:tc>
        <w:tc>
          <w:tcPr>
            <w:tcW w:w="12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(2,069)</w:t>
            </w:r>
          </w:p>
        </w:tc>
        <w:tc>
          <w:tcPr>
            <w:tcW w:w="10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(32,055)</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(34,124)</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(33,919)</w:t>
            </w:r>
          </w:p>
        </w:tc>
        <w:tc>
          <w:tcPr>
            <w:tcW w:w="13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(32,055)</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(65,974)</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500" w:hanging="492"/>
        <w:spacing w:after="0"/>
        <w:tabs>
          <w:tab w:leader="none" w:pos="50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flow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cash flows of the Argentina’s and Paraguay’s operations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37"/>
        </w:trPr>
        <w:tc>
          <w:tcPr>
            <w:tcW w:w="3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Argentina</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Paraguay</w:t>
            </w:r>
          </w:p>
        </w:tc>
        <w:tc>
          <w:tcPr>
            <w:tcW w:w="16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Argentina</w:t>
            </w:r>
          </w:p>
        </w:tc>
        <w:tc>
          <w:tcPr>
            <w:tcW w:w="13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Paraguay</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91"/>
        </w:trPr>
        <w:tc>
          <w:tcPr>
            <w:tcW w:w="32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Net change in cash related to operating</w:t>
            </w:r>
          </w:p>
        </w:tc>
        <w:tc>
          <w:tcPr>
            <w:tcW w:w="154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(1,644)</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(19,208)</w:t>
            </w:r>
          </w:p>
        </w:tc>
        <w:tc>
          <w:tcPr>
            <w:tcW w:w="164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(20,852)</w:t>
            </w:r>
          </w:p>
        </w:tc>
        <w:tc>
          <w:tcPr>
            <w:tcW w:w="13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activities</w:t>
            </w:r>
          </w:p>
        </w:tc>
        <w:tc>
          <w:tcPr>
            <w:tcW w:w="1540" w:type="dxa"/>
            <w:vAlign w:val="bottom"/>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640" w:type="dxa"/>
            <w:vAlign w:val="bottom"/>
            <w:vMerge w:val="continue"/>
            <w:shd w:val="clear" w:color="auto" w:fill="CCEEFF"/>
          </w:tcPr>
          <w:p>
            <w:pPr>
              <w:spacing w:after="0"/>
              <w:rPr>
                <w:sz w:val="20"/>
                <w:szCs w:val="20"/>
                <w:color w:val="auto"/>
              </w:rPr>
            </w:pPr>
          </w:p>
        </w:tc>
        <w:tc>
          <w:tcPr>
            <w:tcW w:w="13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(15,619)</w:t>
            </w:r>
          </w:p>
        </w:tc>
        <w:tc>
          <w:tcPr>
            <w:tcW w:w="13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(2,127)</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(17,746)</w:t>
            </w:r>
          </w:p>
        </w:tc>
        <w:tc>
          <w:tcPr>
            <w:tcW w:w="0" w:type="dxa"/>
            <w:vAlign w:val="bottom"/>
          </w:tcPr>
          <w:p>
            <w:pPr>
              <w:spacing w:after="0"/>
              <w:rPr>
                <w:sz w:val="1"/>
                <w:szCs w:val="1"/>
                <w:color w:val="auto"/>
              </w:rPr>
            </w:pPr>
          </w:p>
        </w:tc>
      </w:tr>
      <w:tr>
        <w:trPr>
          <w:trHeight w:val="198"/>
        </w:trPr>
        <w:tc>
          <w:tcPr>
            <w:tcW w:w="3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change in cash related to investing</w:t>
            </w:r>
          </w:p>
        </w:tc>
        <w:tc>
          <w:tcPr>
            <w:tcW w:w="15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1,724</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19,271</w:t>
            </w:r>
          </w:p>
        </w:tc>
        <w:tc>
          <w:tcPr>
            <w:tcW w:w="16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20,995</w:t>
            </w:r>
          </w:p>
        </w:tc>
        <w:tc>
          <w:tcPr>
            <w:tcW w:w="1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activities</w:t>
            </w:r>
          </w:p>
        </w:tc>
        <w:tc>
          <w:tcPr>
            <w:tcW w:w="154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1640" w:type="dxa"/>
            <w:vAlign w:val="bottom"/>
            <w:vMerge w:val="continue"/>
          </w:tcPr>
          <w:p>
            <w:pPr>
              <w:spacing w:after="0"/>
              <w:rPr>
                <w:sz w:val="20"/>
                <w:szCs w:val="20"/>
                <w:color w:val="auto"/>
              </w:rPr>
            </w:pP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16,019</w:t>
            </w: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3,339</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19,358</w:t>
            </w:r>
          </w:p>
        </w:tc>
        <w:tc>
          <w:tcPr>
            <w:tcW w:w="0" w:type="dxa"/>
            <w:vAlign w:val="bottom"/>
          </w:tcPr>
          <w:p>
            <w:pPr>
              <w:spacing w:after="0"/>
              <w:rPr>
                <w:sz w:val="1"/>
                <w:szCs w:val="1"/>
                <w:color w:val="auto"/>
              </w:rPr>
            </w:pPr>
          </w:p>
        </w:tc>
      </w:tr>
      <w:tr>
        <w:trPr>
          <w:trHeight w:val="198"/>
        </w:trPr>
        <w:tc>
          <w:tcPr>
            <w:tcW w:w="3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change in cash related to financing</w:t>
            </w:r>
          </w:p>
        </w:tc>
        <w:tc>
          <w:tcPr>
            <w:tcW w:w="154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(92)</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164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(252)</w:t>
            </w:r>
          </w:p>
        </w:tc>
        <w:tc>
          <w:tcPr>
            <w:tcW w:w="13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2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activities</w:t>
            </w:r>
          </w:p>
        </w:tc>
        <w:tc>
          <w:tcPr>
            <w:tcW w:w="1540" w:type="dxa"/>
            <w:vAlign w:val="bottom"/>
            <w:tcBorders>
              <w:bottom w:val="single" w:sz="8" w:color="auto"/>
            </w:tcBorders>
            <w:vMerge w:val="continue"/>
            <w:shd w:val="clear" w:color="auto" w:fill="CCEEFF"/>
          </w:tcPr>
          <w:p>
            <w:pPr>
              <w:spacing w:after="0"/>
              <w:rPr>
                <w:sz w:val="22"/>
                <w:szCs w:val="22"/>
                <w:color w:val="auto"/>
              </w:rPr>
            </w:pPr>
          </w:p>
        </w:tc>
        <w:tc>
          <w:tcPr>
            <w:tcW w:w="1100" w:type="dxa"/>
            <w:vAlign w:val="bottom"/>
            <w:tcBorders>
              <w:bottom w:val="single" w:sz="8" w:color="auto"/>
            </w:tcBorders>
            <w:vMerge w:val="continue"/>
            <w:shd w:val="clear" w:color="auto" w:fill="CCEEFF"/>
          </w:tcPr>
          <w:p>
            <w:pPr>
              <w:spacing w:after="0"/>
              <w:rPr>
                <w:sz w:val="22"/>
                <w:szCs w:val="22"/>
                <w:color w:val="auto"/>
              </w:rPr>
            </w:pPr>
          </w:p>
        </w:tc>
        <w:tc>
          <w:tcPr>
            <w:tcW w:w="1640" w:type="dxa"/>
            <w:vAlign w:val="bottom"/>
            <w:tcBorders>
              <w:bottom w:val="single" w:sz="8" w:color="auto"/>
            </w:tcBorders>
            <w:vMerge w:val="continue"/>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(142)</w:t>
            </w:r>
          </w:p>
        </w:tc>
        <w:tc>
          <w:tcPr>
            <w:tcW w:w="13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(146)</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187"/>
        </w:trPr>
        <w:tc>
          <w:tcPr>
            <w:tcW w:w="322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change in cash generated by the</w:t>
            </w:r>
          </w:p>
        </w:tc>
        <w:tc>
          <w:tcPr>
            <w:tcW w:w="1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32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discontinued operations</w:t>
            </w:r>
          </w:p>
        </w:tc>
        <w:tc>
          <w:tcPr>
            <w:tcW w:w="15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(12)</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16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(109)</w:t>
            </w:r>
          </w:p>
        </w:tc>
        <w:tc>
          <w:tcPr>
            <w:tcW w:w="13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258</w:t>
            </w:r>
          </w:p>
        </w:tc>
        <w:tc>
          <w:tcPr>
            <w:tcW w:w="13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1,066</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44  Page</w:t>
      </w:r>
    </w:p>
    <w:p>
      <w:pPr>
        <w:sectPr>
          <w:pgSz w:w="11900" w:h="16838" w:orient="portrait"/>
          <w:cols w:equalWidth="0" w:num="1">
            <w:col w:w="11240"/>
          </w:cols>
          <w:pgMar w:left="320" w:top="90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22: DISCONTINUED OPERATIONS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Financial information of discontinued operations and assets held for sale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iv.</w:t>
            </w:r>
          </w:p>
        </w:tc>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2860" w:type="dxa"/>
            <w:vAlign w:val="bottom"/>
            <w:gridSpan w:val="2"/>
            <w:vMerge w:val="restart"/>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520" w:type="dxa"/>
            <w:vAlign w:val="bottom"/>
            <w:gridSpan w:val="2"/>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94"/>
        </w:trPr>
        <w:tc>
          <w:tcPr>
            <w:tcW w:w="34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2860" w:type="dxa"/>
            <w:vAlign w:val="bottom"/>
            <w:gridSpan w:val="2"/>
            <w:vMerge w:val="continue"/>
          </w:tcPr>
          <w:p>
            <w:pPr>
              <w:spacing w:after="0"/>
              <w:rPr>
                <w:sz w:val="16"/>
                <w:szCs w:val="16"/>
                <w:color w:val="auto"/>
              </w:rPr>
            </w:pPr>
          </w:p>
        </w:tc>
        <w:tc>
          <w:tcPr>
            <w:tcW w:w="2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40" w:type="dxa"/>
            <w:vAlign w:val="bottom"/>
            <w:tcBorders>
              <w:bottom w:val="single" w:sz="8" w:color="auto"/>
            </w:tcBorders>
          </w:tcPr>
          <w:p>
            <w:pPr>
              <w:spacing w:after="0"/>
              <w:rPr>
                <w:sz w:val="20"/>
                <w:szCs w:val="20"/>
                <w:color w:val="auto"/>
              </w:rPr>
            </w:pPr>
          </w:p>
        </w:tc>
        <w:tc>
          <w:tcPr>
            <w:tcW w:w="55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2"/>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520" w:type="dxa"/>
            <w:vAlign w:val="bottom"/>
            <w:tcBorders>
              <w:bottom w:val="single" w:sz="8" w:color="auto"/>
            </w:tcBorders>
            <w:gridSpan w:val="2"/>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340" w:type="dxa"/>
            <w:vAlign w:val="bottom"/>
            <w:tcBorders>
              <w:bottom w:val="single" w:sz="8" w:color="auto"/>
            </w:tcBorders>
          </w:tcPr>
          <w:p>
            <w:pPr>
              <w:spacing w:after="0"/>
              <w:rPr>
                <w:sz w:val="20"/>
                <w:szCs w:val="20"/>
                <w:color w:val="auto"/>
              </w:rPr>
            </w:pPr>
          </w:p>
        </w:tc>
        <w:tc>
          <w:tcPr>
            <w:tcW w:w="55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36"/>
        </w:trPr>
        <w:tc>
          <w:tcPr>
            <w:tcW w:w="58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15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(34,511)</w:t>
            </w: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(12,665)</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(74,734)</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(16,743)</w:t>
            </w:r>
          </w:p>
        </w:tc>
        <w:tc>
          <w:tcPr>
            <w:tcW w:w="0" w:type="dxa"/>
            <w:vAlign w:val="bottom"/>
          </w:tcPr>
          <w:p>
            <w:pPr>
              <w:spacing w:after="0"/>
              <w:rPr>
                <w:sz w:val="1"/>
                <w:szCs w:val="1"/>
                <w:color w:val="auto"/>
              </w:rPr>
            </w:pPr>
          </w:p>
        </w:tc>
      </w:tr>
      <w:tr>
        <w:trPr>
          <w:trHeight w:val="237"/>
        </w:trPr>
        <w:tc>
          <w:tcPr>
            <w:tcW w:w="5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 and diluted</w:t>
            </w:r>
          </w:p>
        </w:tc>
        <w:tc>
          <w:tcPr>
            <w:tcW w:w="15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556,539,628</w:t>
            </w:r>
          </w:p>
        </w:tc>
        <w:tc>
          <w:tcPr>
            <w:tcW w:w="1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448,711,912</w:t>
            </w: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537,721,978</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396,423,169</w:t>
            </w:r>
          </w:p>
        </w:tc>
        <w:tc>
          <w:tcPr>
            <w:tcW w:w="0" w:type="dxa"/>
            <w:vAlign w:val="bottom"/>
          </w:tcPr>
          <w:p>
            <w:pPr>
              <w:spacing w:after="0"/>
              <w:rPr>
                <w:sz w:val="1"/>
                <w:szCs w:val="1"/>
                <w:color w:val="auto"/>
              </w:rPr>
            </w:pPr>
          </w:p>
        </w:tc>
      </w:tr>
      <w:tr>
        <w:trPr>
          <w:trHeight w:val="237"/>
        </w:trPr>
        <w:tc>
          <w:tcPr>
            <w:tcW w:w="58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loss per share from discontinued operations</w:t>
            </w:r>
          </w:p>
        </w:tc>
        <w:tc>
          <w:tcPr>
            <w:tcW w:w="15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(0.06)</w:t>
            </w: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(0.03)</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(0.14)</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NET LOSS PER SHARE</w:t>
      </w:r>
    </w:p>
    <w:p>
      <w:pPr>
        <w:spacing w:after="0" w:line="229" w:lineRule="exact"/>
        <w:rPr>
          <w:sz w:val="20"/>
          <w:szCs w:val="20"/>
          <w:color w:val="auto"/>
        </w:rPr>
      </w:pPr>
    </w:p>
    <w:p>
      <w:pPr>
        <w:jc w:val="both"/>
        <w:ind w:left="20" w:hanging="4"/>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2025 and 2024, potentially dilutive securities have not been included in the calculation of diluted loss per share because their effect is anti-dilutive. The additional potentially dilutive securities that would have been included in the calculation of diluted earnings per share, had their effect not been anti-dilutive for the three and nine months ended September 30, 2025, would have totaled 22,236,254 and 9,126,688, respectively (three and nine months ended September 30, 2024: 12,032,048 and 13,369,464,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24: SHARE-BASED PAYMENTS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Long-Term Incentive Plan (“2025 LTIP”)</w:t>
      </w:r>
    </w:p>
    <w:p>
      <w:pPr>
        <w:spacing w:after="0" w:line="31" w:lineRule="exact"/>
        <w:rPr>
          <w:sz w:val="20"/>
          <w:szCs w:val="20"/>
          <w:color w:val="auto"/>
        </w:rPr>
      </w:pPr>
    </w:p>
    <w:p>
      <w:pPr>
        <w:jc w:val="both"/>
        <w:ind w:left="20" w:hanging="4"/>
        <w:spacing w:after="0" w:line="255" w:lineRule="auto"/>
        <w:rPr>
          <w:sz w:val="20"/>
          <w:szCs w:val="20"/>
          <w:color w:val="auto"/>
        </w:rPr>
      </w:pPr>
      <w:r>
        <w:rPr>
          <w:rFonts w:ascii="Times New Roman" w:cs="Times New Roman" w:eastAsia="Times New Roman" w:hAnsi="Times New Roman"/>
          <w:sz w:val="18"/>
          <w:szCs w:val="18"/>
          <w:color w:val="auto"/>
        </w:rPr>
        <w:t>The 2025 LTIP Plan was adopted in July 2025 and provides the Company the ability to grant various equity-based compensation such as, but not limited to, stock options (“Options”), restricted stock units (“RSUs”) and PSUs. The 2025 LTIP is a 10% rolling plan, permitting the issuance of up to 10% of the Company’s outstanding shares in respect of the awards granted.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share-based payment expense related to Options, RSUs and PSUs for employees, directors, consultants and former employees received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540" w:type="dxa"/>
            <w:vAlign w:val="bottom"/>
          </w:tcPr>
          <w:p>
            <w:pPr>
              <w:spacing w:after="0"/>
              <w:rPr>
                <w:sz w:val="18"/>
                <w:szCs w:val="18"/>
                <w:color w:val="auto"/>
              </w:rPr>
            </w:pPr>
          </w:p>
        </w:tc>
      </w:tr>
      <w:tr>
        <w:trPr>
          <w:trHeight w:val="238"/>
        </w:trPr>
        <w:tc>
          <w:tcPr>
            <w:tcW w:w="472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40" w:type="dxa"/>
            <w:vAlign w:val="bottom"/>
            <w:tcBorders>
              <w:bottom w:val="single" w:sz="8" w:color="auto"/>
            </w:tcBorders>
          </w:tcPr>
          <w:p>
            <w:pPr>
              <w:spacing w:after="0"/>
              <w:rPr>
                <w:sz w:val="20"/>
                <w:szCs w:val="20"/>
                <w:color w:val="auto"/>
              </w:rPr>
            </w:pPr>
          </w:p>
        </w:tc>
      </w:tr>
      <w:tr>
        <w:trPr>
          <w:trHeight w:val="223"/>
        </w:trPr>
        <w:tc>
          <w:tcPr>
            <w:tcW w:w="472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18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30"/>
        </w:trPr>
        <w:tc>
          <w:tcPr>
            <w:tcW w:w="4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Equity-settled share-based payment plans</w:t>
            </w:r>
          </w:p>
        </w:tc>
        <w:tc>
          <w:tcPr>
            <w:tcW w:w="332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2,851</w:t>
            </w:r>
          </w:p>
        </w:tc>
        <w:tc>
          <w:tcPr>
            <w:tcW w:w="8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4,968</w:t>
            </w:r>
          </w:p>
        </w:tc>
        <w:tc>
          <w:tcPr>
            <w:tcW w:w="186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10,687</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9,504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Under 2025 LTIP</w:t>
      </w:r>
    </w:p>
    <w:p>
      <w:pPr>
        <w:spacing w:after="0" w:line="9" w:lineRule="exact"/>
        <w:rPr>
          <w:sz w:val="20"/>
          <w:szCs w:val="20"/>
          <w:color w:val="auto"/>
        </w:rPr>
      </w:pPr>
    </w:p>
    <w:p>
      <w:pPr>
        <w:jc w:val="both"/>
        <w:ind w:left="20" w:hanging="4"/>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2025, the Board approved Options grants to purchase 1,572,500 common shares in accordance with the 2025 LTIP (nine months ended September 30, 2024: nil common shares). All Options issued according to the 2025 LTIP become exercisable when they vest and can be exercised for a maximum period of 5 years from the date of the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45  Page</w:t>
      </w:r>
    </w:p>
    <w:p>
      <w:pPr>
        <w:sectPr>
          <w:pgSz w:w="11900" w:h="16838" w:orient="portrait"/>
          <w:cols w:equalWidth="0" w:num="1">
            <w:col w:w="11240"/>
          </w:cols>
          <w:pgMar w:left="320" w:top="90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24: SHARE-BASED PAYMENTS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Options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Under 2021 LTIP</w:t>
      </w:r>
    </w:p>
    <w:p>
      <w:pPr>
        <w:spacing w:after="0" w:line="27" w:lineRule="exact"/>
        <w:rPr>
          <w:sz w:val="20"/>
          <w:szCs w:val="20"/>
          <w:color w:val="auto"/>
        </w:rPr>
      </w:pPr>
    </w:p>
    <w:p>
      <w:pPr>
        <w:jc w:val="both"/>
        <w:ind w:left="20" w:hanging="4"/>
        <w:spacing w:after="0" w:line="253" w:lineRule="auto"/>
        <w:rPr>
          <w:sz w:val="20"/>
          <w:szCs w:val="20"/>
          <w:color w:val="auto"/>
        </w:rPr>
      </w:pPr>
      <w:r>
        <w:rPr>
          <w:rFonts w:ascii="Times New Roman" w:cs="Times New Roman" w:eastAsia="Times New Roman" w:hAnsi="Times New Roman"/>
          <w:sz w:val="18"/>
          <w:szCs w:val="18"/>
          <w:color w:val="auto"/>
        </w:rPr>
        <w:t>During the nine months ended September 30, 2025, the Board approved Options grants to purchase 2,536,227 common shares in accordance with the Long-Term Incentive Plan (the “2021 LTIP “) adopted on May 18, 2021 (nine months ended September 30, 2024: 8,410,000 common shares). All Options issued according to the 2021 LTIP become exercisable when they vest and can be exercised for a maximum period of 5 years from the date of the grant. As part of the options granted during the nine months ended September 30, 2025, the Company granted 302 Options to certain employees of Stronghold as part of the business combination described in Note 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outstanding Options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260" w:type="dxa"/>
            <w:vAlign w:val="bottom"/>
            <w:tcBorders>
              <w:bottom w:val="single" w:sz="8" w:color="auto"/>
            </w:tcBorders>
          </w:tcPr>
          <w:p>
            <w:pPr>
              <w:spacing w:after="0"/>
              <w:rPr>
                <w:sz w:val="20"/>
                <w:szCs w:val="20"/>
                <w:color w:val="auto"/>
              </w:rPr>
            </w:pPr>
          </w:p>
        </w:tc>
      </w:tr>
      <w:tr>
        <w:trPr>
          <w:trHeight w:val="223"/>
        </w:trPr>
        <w:tc>
          <w:tcPr>
            <w:tcW w:w="422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187"/>
        </w:trPr>
        <w:tc>
          <w:tcPr>
            <w:tcW w:w="42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540" w:type="dxa"/>
            <w:vAlign w:val="bottom"/>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240" w:type="dxa"/>
            <w:vAlign w:val="bottom"/>
          </w:tcPr>
          <w:p>
            <w:pPr>
              <w:spacing w:after="0"/>
              <w:rPr>
                <w:sz w:val="16"/>
                <w:szCs w:val="16"/>
                <w:color w:val="auto"/>
              </w:rPr>
            </w:pPr>
          </w:p>
        </w:tc>
        <w:tc>
          <w:tcPr>
            <w:tcW w:w="126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color w:val="auto"/>
              </w:rPr>
              <w:t>Weighted</w:t>
            </w:r>
          </w:p>
        </w:tc>
      </w:tr>
      <w:tr>
        <w:trPr>
          <w:trHeight w:val="216"/>
        </w:trPr>
        <w:tc>
          <w:tcPr>
            <w:tcW w:w="42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5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2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Average</w:t>
            </w:r>
          </w:p>
        </w:tc>
      </w:tr>
      <w:tr>
        <w:trPr>
          <w:trHeight w:val="216"/>
        </w:trPr>
        <w:tc>
          <w:tcPr>
            <w:tcW w:w="4220" w:type="dxa"/>
            <w:vAlign w:val="bottom"/>
          </w:tcPr>
          <w:p>
            <w:pPr>
              <w:spacing w:after="0"/>
              <w:rPr>
                <w:sz w:val="18"/>
                <w:szCs w:val="18"/>
                <w:color w:val="auto"/>
              </w:rPr>
            </w:pPr>
          </w:p>
        </w:tc>
        <w:tc>
          <w:tcPr>
            <w:tcW w:w="2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5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Number of</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Exercise Price</w:t>
            </w:r>
          </w:p>
        </w:tc>
      </w:tr>
      <w:tr>
        <w:trPr>
          <w:trHeight w:val="238"/>
        </w:trPr>
        <w:tc>
          <w:tcPr>
            <w:tcW w:w="42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5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($CAD)</w:t>
            </w: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Options</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($CAD)</w:t>
            </w:r>
          </w:p>
        </w:tc>
      </w:tr>
      <w:tr>
        <w:trPr>
          <w:trHeight w:val="223"/>
        </w:trPr>
        <w:tc>
          <w:tcPr>
            <w:tcW w:w="4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January 1,</w:t>
            </w:r>
          </w:p>
        </w:tc>
        <w:tc>
          <w:tcPr>
            <w:tcW w:w="2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26,865,764</w:t>
            </w:r>
          </w:p>
        </w:tc>
        <w:tc>
          <w:tcPr>
            <w:tcW w:w="15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2.64</w:t>
            </w:r>
          </w:p>
        </w:tc>
        <w:tc>
          <w:tcPr>
            <w:tcW w:w="1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20,939,387</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w:t>
            </w:r>
          </w:p>
        </w:tc>
      </w:tr>
      <w:tr>
        <w:trPr>
          <w:trHeight w:val="21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4,108,727</w:t>
            </w:r>
          </w:p>
        </w:tc>
        <w:tc>
          <w:tcPr>
            <w:tcW w:w="15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1.68</w:t>
            </w: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8,410,000</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2.99</w:t>
            </w: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(7,254,449)</w:t>
            </w:r>
          </w:p>
        </w:tc>
        <w:tc>
          <w:tcPr>
            <w:tcW w:w="15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1.97</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(2,448,148)</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(1,599,502)</w:t>
            </w:r>
          </w:p>
        </w:tc>
        <w:tc>
          <w:tcPr>
            <w:tcW w:w="15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2.53</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(105,000)</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w:t>
            </w:r>
          </w:p>
        </w:tc>
      </w:tr>
      <w:tr>
        <w:trPr>
          <w:trHeight w:val="230"/>
        </w:trPr>
        <w:tc>
          <w:tcPr>
            <w:tcW w:w="4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2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(55,000)</w:t>
            </w:r>
          </w:p>
        </w:tc>
        <w:tc>
          <w:tcPr>
            <w:tcW w:w="15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3.25</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(296,250)</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5.90</w:t>
            </w:r>
          </w:p>
        </w:tc>
      </w:tr>
      <w:tr>
        <w:trPr>
          <w:trHeight w:val="223"/>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Outstanding, September 30,</w:t>
            </w:r>
          </w:p>
        </w:tc>
        <w:tc>
          <w:tcPr>
            <w:tcW w:w="2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22,065,540</w:t>
            </w:r>
          </w:p>
        </w:tc>
        <w:tc>
          <w:tcPr>
            <w:tcW w:w="15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2.69</w:t>
            </w: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26,499,989</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2.64</w:t>
            </w:r>
          </w:p>
        </w:tc>
      </w:tr>
      <w:tr>
        <w:trPr>
          <w:trHeight w:val="230"/>
        </w:trPr>
        <w:tc>
          <w:tcPr>
            <w:tcW w:w="4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Exercisable, September 30,</w:t>
            </w:r>
          </w:p>
        </w:tc>
        <w:tc>
          <w:tcPr>
            <w:tcW w:w="2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14,973,995</w:t>
            </w:r>
          </w:p>
        </w:tc>
        <w:tc>
          <w:tcPr>
            <w:tcW w:w="15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2.66</w:t>
            </w:r>
          </w:p>
        </w:tc>
        <w:tc>
          <w:tcPr>
            <w:tcW w:w="1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11,251,873</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contractual life of the outstanding Options as of September 30, 2025 was 3.3 years (September 30, 2024: 3.9 years).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inputs used to value the stock option grants using the Black-Scholes model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2780" w:type="dxa"/>
            <w:vAlign w:val="bottom"/>
            <w:tcBorders>
              <w:bottom w:val="single" w:sz="8" w:color="auto"/>
            </w:tcBorders>
            <w:gridSpan w:val="2"/>
          </w:tcPr>
          <w:p>
            <w:pPr>
              <w:ind w:left="1260"/>
              <w:spacing w:after="0"/>
              <w:rPr>
                <w:sz w:val="20"/>
                <w:szCs w:val="20"/>
                <w:color w:val="auto"/>
              </w:rPr>
            </w:pPr>
            <w:r>
              <w:rPr>
                <w:rFonts w:ascii="Times New Roman" w:cs="Times New Roman" w:eastAsia="Times New Roman" w:hAnsi="Times New Roman"/>
                <w:sz w:val="18"/>
                <w:szCs w:val="18"/>
                <w:b w:val="1"/>
                <w:bCs w:val="1"/>
                <w:color w:val="auto"/>
              </w:rPr>
              <w:t>January 10, 2025</w:t>
            </w:r>
          </w:p>
        </w:tc>
        <w:tc>
          <w:tcPr>
            <w:tcW w:w="136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April 3, 2025</w:t>
            </w:r>
          </w:p>
        </w:tc>
        <w:tc>
          <w:tcPr>
            <w:tcW w:w="15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August 15, 2025</w:t>
            </w:r>
          </w:p>
        </w:tc>
        <w:tc>
          <w:tcPr>
            <w:tcW w:w="16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9, 2025</w:t>
            </w:r>
          </w:p>
        </w:tc>
      </w:tr>
      <w:tr>
        <w:trPr>
          <w:trHeight w:val="21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w:t>
            </w:r>
          </w:p>
        </w:tc>
        <w:tc>
          <w:tcPr>
            <w:tcW w:w="16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Expected share price volatility (%)*</w:t>
            </w:r>
          </w:p>
        </w:tc>
        <w:tc>
          <w:tcPr>
            <w:tcW w:w="16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6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1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16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3.48%</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stock options (years)</w:t>
            </w:r>
          </w:p>
        </w:tc>
        <w:tc>
          <w:tcPr>
            <w:tcW w:w="168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w:t>
            </w:r>
          </w:p>
        </w:tc>
        <w:tc>
          <w:tcPr>
            <w:tcW w:w="620" w:type="dxa"/>
            <w:vAlign w:val="bottom"/>
          </w:tcPr>
          <w:p>
            <w:pPr>
              <w:spacing w:after="0"/>
              <w:rPr>
                <w:sz w:val="18"/>
                <w:szCs w:val="18"/>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1140" w:type="dxa"/>
            <w:vAlign w:val="bottom"/>
          </w:tcPr>
          <w:p>
            <w:pPr>
              <w:spacing w:after="0"/>
              <w:rPr>
                <w:sz w:val="18"/>
                <w:szCs w:val="18"/>
                <w:color w:val="auto"/>
              </w:rPr>
            </w:pP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 (CAD)</w:t>
            </w:r>
          </w:p>
        </w:tc>
        <w:tc>
          <w:tcPr>
            <w:tcW w:w="168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2.27</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1.16</w:t>
            </w:r>
          </w:p>
        </w:tc>
        <w:tc>
          <w:tcPr>
            <w:tcW w:w="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1.75</w:t>
            </w:r>
          </w:p>
        </w:tc>
        <w:tc>
          <w:tcPr>
            <w:tcW w:w="1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5"/>
              </w:rPr>
              <w:t>2.19</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(CAD)</w:t>
            </w:r>
          </w:p>
        </w:tc>
        <w:tc>
          <w:tcPr>
            <w:tcW w:w="16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2.27</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1.16</w:t>
            </w: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1.75</w:t>
            </w:r>
          </w:p>
        </w:tc>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95"/>
              </w:rPr>
              <w:t>2.19</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options (USD)</w:t>
            </w:r>
          </w:p>
        </w:tc>
        <w:tc>
          <w:tcPr>
            <w:tcW w:w="168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0.79</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0.41</w:t>
            </w:r>
          </w:p>
        </w:tc>
        <w:tc>
          <w:tcPr>
            <w:tcW w:w="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0.64</w:t>
            </w:r>
          </w:p>
        </w:tc>
        <w:tc>
          <w:tcPr>
            <w:tcW w:w="1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5"/>
              </w:rPr>
              <w:t>0.91</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Vesting period (years)</w:t>
            </w:r>
          </w:p>
        </w:tc>
        <w:tc>
          <w:tcPr>
            <w:tcW w:w="168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w:t>
            </w:r>
          </w:p>
        </w:tc>
        <w:tc>
          <w:tcPr>
            <w:tcW w:w="620" w:type="dxa"/>
            <w:vAlign w:val="bottom"/>
          </w:tcPr>
          <w:p>
            <w:pPr>
              <w:spacing w:after="0"/>
              <w:rPr>
                <w:sz w:val="18"/>
                <w:szCs w:val="18"/>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1140" w:type="dxa"/>
            <w:vAlign w:val="bottom"/>
          </w:tcPr>
          <w:p>
            <w:pPr>
              <w:spacing w:after="0"/>
              <w:rPr>
                <w:sz w:val="18"/>
                <w:szCs w:val="18"/>
                <w:color w:val="auto"/>
              </w:rPr>
            </w:pP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r>
      <w:tr>
        <w:trPr>
          <w:trHeight w:val="237"/>
        </w:trPr>
        <w:tc>
          <w:tcPr>
            <w:tcW w:w="3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options granted</w:t>
            </w:r>
          </w:p>
        </w:tc>
        <w:tc>
          <w:tcPr>
            <w:tcW w:w="16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540,000</w:t>
            </w: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1,996,227</w:t>
            </w:r>
          </w:p>
        </w:tc>
        <w:tc>
          <w:tcPr>
            <w:tcW w:w="6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150,000</w:t>
            </w:r>
          </w:p>
        </w:tc>
        <w:tc>
          <w:tcPr>
            <w:tcW w:w="1620" w:type="dxa"/>
            <w:vAlign w:val="bottom"/>
            <w:tcBorders>
              <w:bottom w:val="single" w:sz="8" w:color="auto"/>
            </w:tcBorders>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1,422,500</w:t>
            </w:r>
          </w:p>
        </w:tc>
      </w:tr>
      <w:tr>
        <w:trPr>
          <w:trHeight w:val="236"/>
        </w:trPr>
        <w:tc>
          <w:tcPr>
            <w:tcW w:w="8740" w:type="dxa"/>
            <w:vAlign w:val="bottom"/>
            <w:gridSpan w:val="6"/>
          </w:tcPr>
          <w:p>
            <w:pPr>
              <w:ind w:left="20"/>
              <w:spacing w:after="0"/>
              <w:rPr>
                <w:sz w:val="20"/>
                <w:szCs w:val="20"/>
                <w:color w:val="auto"/>
              </w:rPr>
            </w:pPr>
            <w:r>
              <w:rPr>
                <w:rFonts w:ascii="Times New Roman" w:cs="Times New Roman" w:eastAsia="Times New Roman" w:hAnsi="Times New Roman"/>
                <w:sz w:val="18"/>
                <w:szCs w:val="18"/>
                <w:i w:val="1"/>
                <w:iCs w:val="1"/>
                <w:color w:val="auto"/>
              </w:rPr>
              <w:t>* Expected share price volatility is estimated based on a combination of the Company’s stock price and BTC price data.</w:t>
            </w:r>
          </w:p>
        </w:tc>
        <w:tc>
          <w:tcPr>
            <w:tcW w:w="8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19"/>
        </w:trPr>
        <w:tc>
          <w:tcPr>
            <w:tcW w:w="39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r>
      <w:tr>
        <w:trPr>
          <w:trHeight w:val="216"/>
        </w:trPr>
        <w:tc>
          <w:tcPr>
            <w:tcW w:w="3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46</w:t>
            </w:r>
          </w:p>
        </w:tc>
        <w:tc>
          <w:tcPr>
            <w:tcW w:w="80" w:type="dxa"/>
            <w:vAlign w:val="bottom"/>
            <w:tcBorders>
              <w:right w:val="single" w:sz="8" w:color="auto"/>
            </w:tcBorders>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r>
    </w:tbl>
    <w:p>
      <w:pPr>
        <w:sectPr>
          <w:pgSz w:w="11900" w:h="16838" w:orient="portrait"/>
          <w:cols w:equalWidth="0" w:num="1">
            <w:col w:w="11240"/>
          </w:cols>
          <w:pgMar w:left="320" w:top="90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24: SHARE-BASED PAYMENTS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RSU</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RSUs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160" w:type="dxa"/>
            <w:vAlign w:val="bottom"/>
            <w:tcBorders>
              <w:bottom w:val="single" w:sz="8" w:color="auto"/>
            </w:tcBorders>
          </w:tcPr>
          <w:p>
            <w:pPr>
              <w:spacing w:after="0"/>
              <w:rPr>
                <w:sz w:val="20"/>
                <w:szCs w:val="20"/>
                <w:color w:val="auto"/>
              </w:rPr>
            </w:pPr>
          </w:p>
        </w:tc>
      </w:tr>
      <w:tr>
        <w:trPr>
          <w:trHeight w:val="223"/>
        </w:trPr>
        <w:tc>
          <w:tcPr>
            <w:tcW w:w="422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187"/>
        </w:trPr>
        <w:tc>
          <w:tcPr>
            <w:tcW w:w="42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56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320" w:type="dxa"/>
            <w:vAlign w:val="bottom"/>
          </w:tcPr>
          <w:p>
            <w:pPr>
              <w:spacing w:after="0"/>
              <w:rPr>
                <w:sz w:val="16"/>
                <w:szCs w:val="16"/>
                <w:color w:val="auto"/>
              </w:rPr>
            </w:pPr>
          </w:p>
        </w:tc>
        <w:tc>
          <w:tcPr>
            <w:tcW w:w="116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color w:val="auto"/>
              </w:rPr>
              <w:t>Weighted</w:t>
            </w:r>
          </w:p>
        </w:tc>
      </w:tr>
      <w:tr>
        <w:trPr>
          <w:trHeight w:val="216"/>
        </w:trPr>
        <w:tc>
          <w:tcPr>
            <w:tcW w:w="42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5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3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Average</w:t>
            </w:r>
          </w:p>
        </w:tc>
      </w:tr>
      <w:tr>
        <w:trPr>
          <w:trHeight w:val="216"/>
        </w:trPr>
        <w:tc>
          <w:tcPr>
            <w:tcW w:w="4220" w:type="dxa"/>
            <w:vAlign w:val="bottom"/>
          </w:tcPr>
          <w:p>
            <w:pPr>
              <w:spacing w:after="0"/>
              <w:rPr>
                <w:sz w:val="18"/>
                <w:szCs w:val="18"/>
                <w:color w:val="auto"/>
              </w:rPr>
            </w:pPr>
          </w:p>
        </w:tc>
        <w:tc>
          <w:tcPr>
            <w:tcW w:w="2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5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Grant Price</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Number of</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Grant Price</w:t>
            </w:r>
          </w:p>
        </w:tc>
      </w:tr>
      <w:tr>
        <w:trPr>
          <w:trHeight w:val="238"/>
        </w:trPr>
        <w:tc>
          <w:tcPr>
            <w:tcW w:w="42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5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($CAD)</w:t>
            </w:r>
          </w:p>
        </w:tc>
        <w:tc>
          <w:tcPr>
            <w:tcW w:w="13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RSUs</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($CAD)</w:t>
            </w:r>
          </w:p>
        </w:tc>
      </w:tr>
      <w:tr>
        <w:trPr>
          <w:trHeight w:val="223"/>
        </w:trPr>
        <w:tc>
          <w:tcPr>
            <w:tcW w:w="4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January 1,</w:t>
            </w:r>
          </w:p>
        </w:tc>
        <w:tc>
          <w:tcPr>
            <w:tcW w:w="2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897,666</w:t>
            </w:r>
          </w:p>
        </w:tc>
        <w:tc>
          <w:tcPr>
            <w:tcW w:w="15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3.61</w:t>
            </w: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624,998</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4.05</w:t>
            </w:r>
          </w:p>
        </w:tc>
      </w:tr>
      <w:tr>
        <w:trPr>
          <w:trHeight w:val="209"/>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6,333,878</w:t>
            </w:r>
          </w:p>
        </w:tc>
        <w:tc>
          <w:tcPr>
            <w:tcW w:w="15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1.42</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706,000</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3.27</w:t>
            </w: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Settled</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(2,469,700)</w:t>
            </w:r>
          </w:p>
        </w:tc>
        <w:tc>
          <w:tcPr>
            <w:tcW w:w="15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2.22</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(366,666)</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3.62</w:t>
            </w:r>
          </w:p>
        </w:tc>
      </w:tr>
      <w:tr>
        <w:trPr>
          <w:trHeight w:val="230"/>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2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(10,500)</w:t>
            </w:r>
          </w:p>
        </w:tc>
        <w:tc>
          <w:tcPr>
            <w:tcW w:w="15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1.59</w:t>
            </w:r>
          </w:p>
        </w:tc>
        <w:tc>
          <w:tcPr>
            <w:tcW w:w="13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September 30,</w:t>
            </w:r>
          </w:p>
        </w:tc>
        <w:tc>
          <w:tcPr>
            <w:tcW w:w="2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4,751,344</w:t>
            </w:r>
          </w:p>
        </w:tc>
        <w:tc>
          <w:tcPr>
            <w:tcW w:w="15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1.42</w:t>
            </w: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964,332</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3.64</w:t>
            </w:r>
          </w:p>
        </w:tc>
      </w:tr>
    </w:tbl>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Under the 2025 LTIP</w:t>
      </w:r>
    </w:p>
    <w:p>
      <w:pPr>
        <w:spacing w:after="0" w:line="27" w:lineRule="exact"/>
        <w:rPr>
          <w:sz w:val="20"/>
          <w:szCs w:val="20"/>
          <w:color w:val="auto"/>
        </w:rPr>
      </w:pPr>
    </w:p>
    <w:p>
      <w:pPr>
        <w:jc w:val="both"/>
        <w:ind w:left="20" w:hanging="4"/>
        <w:spacing w:after="0" w:line="260" w:lineRule="auto"/>
        <w:rPr>
          <w:sz w:val="20"/>
          <w:szCs w:val="20"/>
          <w:color w:val="auto"/>
        </w:rPr>
      </w:pPr>
      <w:r>
        <w:rPr>
          <w:rFonts w:ascii="Times New Roman" w:cs="Times New Roman" w:eastAsia="Times New Roman" w:hAnsi="Times New Roman"/>
          <w:sz w:val="18"/>
          <w:szCs w:val="18"/>
          <w:color w:val="auto"/>
        </w:rPr>
        <w:t>During the nine months ended September 30, 2025, the Board approved the grant of 3,550,453 RSUs to certain members of Management which vest 1/3 annually over three years.</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Under the 2021 LTIP</w:t>
      </w:r>
    </w:p>
    <w:p>
      <w:pPr>
        <w:spacing w:after="0" w:line="27" w:lineRule="exact"/>
        <w:rPr>
          <w:sz w:val="20"/>
          <w:szCs w:val="20"/>
          <w:color w:val="auto"/>
        </w:rPr>
      </w:pPr>
    </w:p>
    <w:p>
      <w:pPr>
        <w:jc w:val="both"/>
        <w:ind w:left="20" w:hanging="4"/>
        <w:spacing w:after="0" w:line="253"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granted 1,890,000 RSUs to certain employees and executive Management of Stronghold as part of the business combination described in Note 5. 1,631,700 RSUs were fully vested upon grant and 258,300 RSUs vest approximately 17% every 3 months. In addition, the Company granted 893,425 RSUs to the independent directors of the Board. These RSUs fully vest in 9 months. The fair value of the RSUs is based on the Company’s share price at the date of grant.</w:t>
      </w:r>
    </w:p>
    <w:p>
      <w:pPr>
        <w:spacing w:after="0" w:line="189" w:lineRule="exact"/>
        <w:rPr>
          <w:sz w:val="20"/>
          <w:szCs w:val="20"/>
          <w:color w:val="auto"/>
        </w:rPr>
      </w:pPr>
    </w:p>
    <w:p>
      <w:pPr>
        <w:jc w:val="both"/>
        <w:ind w:left="20" w:hanging="4"/>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the Board approved the grant of 706,000 RSUs to certain members of senior Management. Of the 706,000 RSUs, 175,000 RSUs vest 50% approximately one month from the grant date and an additional 25% every 6 months and 531,000 RSUs vest 33% three months from the grant date and an additional 33% every six months.</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Share awards</w:t>
      </w:r>
    </w:p>
    <w:p>
      <w:pPr>
        <w:spacing w:after="0" w:line="31" w:lineRule="exact"/>
        <w:rPr>
          <w:sz w:val="20"/>
          <w:szCs w:val="20"/>
          <w:color w:val="auto"/>
        </w:rPr>
      </w:pPr>
    </w:p>
    <w:p>
      <w:pPr>
        <w:jc w:val="both"/>
        <w:ind w:left="20" w:hanging="4"/>
        <w:spacing w:after="0" w:line="253" w:lineRule="auto"/>
        <w:rPr>
          <w:sz w:val="20"/>
          <w:szCs w:val="20"/>
          <w:color w:val="auto"/>
        </w:rPr>
      </w:pPr>
      <w:r>
        <w:rPr>
          <w:rFonts w:ascii="Times New Roman" w:cs="Times New Roman" w:eastAsia="Times New Roman" w:hAnsi="Times New Roman"/>
          <w:sz w:val="18"/>
          <w:szCs w:val="18"/>
          <w:color w:val="auto"/>
        </w:rPr>
        <w:t>During the nine months ended September 30, 2025, following the Stronghold transaction, the Company entered into a stock award agreement as well as a consulting agreement with a former executive of Stronghold and granted 1,543,320 share awards. The share awards shall fully vest in September 2025, subject to continued provision of services through this date. Notwithstanding the foregoing, the share awards can be accelerated and fully vested if certain conditions are met. In April 2025, the conditions were met and the share awards were settled.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47  Page</w:t>
      </w:r>
    </w:p>
    <w:p>
      <w:pPr>
        <w:sectPr>
          <w:pgSz w:w="11900" w:h="16838" w:orient="portrait"/>
          <w:cols w:equalWidth="0" w:num="1">
            <w:col w:w="11240"/>
          </w:cols>
          <w:pgMar w:left="320" w:top="90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24: SHARE-BASED PAYMENTS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PSUs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PSUs are as follows:</w:t>
      </w:r>
    </w:p>
    <w:p>
      <w:pPr>
        <w:spacing w:after="0" w:line="216"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60" w:type="dxa"/>
            <w:vAlign w:val="bottom"/>
            <w:tcBorders>
              <w:top w:val="single" w:sz="8" w:color="auto"/>
              <w:bottom w:val="single" w:sz="8" w:color="auto"/>
            </w:tcBorders>
          </w:tcPr>
          <w:p>
            <w:pPr>
              <w:spacing w:after="0"/>
              <w:rPr>
                <w:sz w:val="19"/>
                <w:szCs w:val="19"/>
                <w:color w:val="auto"/>
              </w:rPr>
            </w:pPr>
          </w:p>
        </w:tc>
        <w:tc>
          <w:tcPr>
            <w:tcW w:w="44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87"/>
        </w:trPr>
        <w:tc>
          <w:tcPr>
            <w:tcW w:w="556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22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Weighted</w:t>
            </w:r>
          </w:p>
        </w:tc>
      </w:tr>
      <w:tr>
        <w:trPr>
          <w:trHeight w:val="216"/>
        </w:trPr>
        <w:tc>
          <w:tcPr>
            <w:tcW w:w="55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Average</w:t>
            </w:r>
          </w:p>
        </w:tc>
      </w:tr>
      <w:tr>
        <w:trPr>
          <w:trHeight w:val="216"/>
        </w:trPr>
        <w:tc>
          <w:tcPr>
            <w:tcW w:w="5560" w:type="dxa"/>
            <w:vAlign w:val="bottom"/>
          </w:tcPr>
          <w:p>
            <w:pPr>
              <w:spacing w:after="0"/>
              <w:rPr>
                <w:sz w:val="18"/>
                <w:szCs w:val="18"/>
                <w:color w:val="auto"/>
              </w:rPr>
            </w:pPr>
          </w:p>
        </w:tc>
        <w:tc>
          <w:tcPr>
            <w:tcW w:w="44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Grant Price</w:t>
            </w:r>
          </w:p>
        </w:tc>
      </w:tr>
      <w:tr>
        <w:trPr>
          <w:trHeight w:val="238"/>
        </w:trPr>
        <w:tc>
          <w:tcPr>
            <w:tcW w:w="556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PSUs</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($CAD)</w:t>
            </w:r>
          </w:p>
        </w:tc>
      </w:tr>
      <w:tr>
        <w:trPr>
          <w:trHeight w:val="223"/>
        </w:trPr>
        <w:tc>
          <w:tcPr>
            <w:tcW w:w="5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January 1,</w:t>
            </w:r>
          </w:p>
        </w:tc>
        <w:tc>
          <w:tcPr>
            <w:tcW w:w="44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Granted</w:t>
            </w:r>
          </w:p>
        </w:tc>
        <w:tc>
          <w:tcPr>
            <w:tcW w:w="4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4,349,985</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1.41</w:t>
            </w:r>
          </w:p>
        </w:tc>
      </w:tr>
      <w:tr>
        <w:trPr>
          <w:trHeight w:val="230"/>
        </w:trPr>
        <w:tc>
          <w:tcPr>
            <w:tcW w:w="5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September 30,</w:t>
            </w:r>
          </w:p>
        </w:tc>
        <w:tc>
          <w:tcPr>
            <w:tcW w:w="44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4,349,985</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1.41</w:t>
            </w:r>
          </w:p>
        </w:tc>
      </w:tr>
    </w:tbl>
    <w:p>
      <w:pPr>
        <w:spacing w:after="0" w:line="198" w:lineRule="exact"/>
        <w:rPr>
          <w:sz w:val="20"/>
          <w:szCs w:val="20"/>
          <w:color w:val="auto"/>
        </w:rPr>
      </w:pPr>
    </w:p>
    <w:p>
      <w:pPr>
        <w:ind w:left="20" w:hanging="4"/>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granted 4,349,985 PSUs to senior executives as part of the 2025 LTIP, which will vest at the end of the three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25: ADDITIONAL DETAILS TO THE STATEMENT OF PROFIT OR LOSS AND COMPREHENSIVE PROFIT OR LOSS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7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10"/>
        </w:trPr>
        <w:tc>
          <w:tcPr>
            <w:tcW w:w="4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760" w:type="dxa"/>
            <w:vAlign w:val="bottom"/>
            <w:gridSpan w:val="2"/>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38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43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760" w:type="dxa"/>
            <w:vAlign w:val="bottom"/>
            <w:tcBorders>
              <w:bottom w:val="single" w:sz="8" w:color="auto"/>
            </w:tcBorders>
          </w:tcPr>
          <w:p>
            <w:pPr>
              <w:spacing w:after="0"/>
              <w:rPr>
                <w:sz w:val="20"/>
                <w:szCs w:val="20"/>
                <w:color w:val="auto"/>
              </w:rPr>
            </w:pPr>
          </w:p>
        </w:tc>
      </w:tr>
      <w:tr>
        <w:trPr>
          <w:trHeight w:val="236"/>
        </w:trPr>
        <w:tc>
          <w:tcPr>
            <w:tcW w:w="43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6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Cryptocurrency Mining</w:t>
            </w:r>
          </w:p>
        </w:tc>
        <w:tc>
          <w:tcPr>
            <w:tcW w:w="174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60,439</w:t>
            </w:r>
          </w:p>
        </w:tc>
        <w:tc>
          <w:tcPr>
            <w:tcW w:w="10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25,621</w:t>
            </w:r>
          </w:p>
        </w:tc>
        <w:tc>
          <w:tcPr>
            <w:tcW w:w="162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161,751</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92,012</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Cryptocurrency Hosting</w:t>
            </w:r>
          </w:p>
        </w:tc>
        <w:tc>
          <w:tcPr>
            <w:tcW w:w="1740" w:type="dxa"/>
            <w:vAlign w:val="bottom"/>
          </w:tcPr>
          <w:p>
            <w:pPr>
              <w:spacing w:after="0"/>
              <w:rPr>
                <w:sz w:val="18"/>
                <w:szCs w:val="18"/>
                <w:color w:val="auto"/>
              </w:rPr>
            </w:pPr>
          </w:p>
        </w:tc>
        <w:tc>
          <w:tcPr>
            <w:tcW w:w="17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2,737</w:t>
            </w: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5,861</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Electrical services</w:t>
            </w:r>
          </w:p>
        </w:tc>
        <w:tc>
          <w:tcPr>
            <w:tcW w:w="174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1,122</w:t>
            </w:r>
          </w:p>
        </w:tc>
        <w:tc>
          <w:tcPr>
            <w:tcW w:w="10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1,451</w:t>
            </w:r>
          </w:p>
        </w:tc>
        <w:tc>
          <w:tcPr>
            <w:tcW w:w="162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3,222</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3,510</w:t>
            </w:r>
          </w:p>
        </w:tc>
      </w:tr>
      <w:tr>
        <w:trPr>
          <w:trHeight w:val="243"/>
        </w:trPr>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Energy sales</w:t>
            </w:r>
          </w:p>
        </w:tc>
        <w:tc>
          <w:tcPr>
            <w:tcW w:w="17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4,947</w:t>
            </w: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8,216</w:t>
            </w: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36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69,245</w:t>
            </w:r>
          </w:p>
        </w:tc>
        <w:tc>
          <w:tcPr>
            <w:tcW w:w="10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27,072</w:t>
            </w:r>
          </w:p>
        </w:tc>
        <w:tc>
          <w:tcPr>
            <w:tcW w:w="162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179,050</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95,522</w:t>
            </w:r>
          </w:p>
        </w:tc>
      </w:tr>
      <w:tr>
        <w:trPr>
          <w:trHeight w:val="432"/>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10"/>
        </w:trPr>
        <w:tc>
          <w:tcPr>
            <w:tcW w:w="4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760" w:type="dxa"/>
            <w:vAlign w:val="bottom"/>
            <w:gridSpan w:val="2"/>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38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43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760" w:type="dxa"/>
            <w:vAlign w:val="bottom"/>
            <w:tcBorders>
              <w:bottom w:val="single" w:sz="8" w:color="auto"/>
            </w:tcBorders>
          </w:tcPr>
          <w:p>
            <w:pPr>
              <w:spacing w:after="0"/>
              <w:rPr>
                <w:sz w:val="20"/>
                <w:szCs w:val="20"/>
                <w:color w:val="auto"/>
              </w:rPr>
            </w:pPr>
          </w:p>
        </w:tc>
      </w:tr>
      <w:tr>
        <w:trPr>
          <w:trHeight w:val="236"/>
        </w:trPr>
        <w:tc>
          <w:tcPr>
            <w:tcW w:w="43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7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6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w:t>
            </w:r>
          </w:p>
        </w:tc>
        <w:tc>
          <w:tcPr>
            <w:tcW w:w="17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 b</w:t>
            </w:r>
          </w:p>
        </w:tc>
        <w:tc>
          <w:tcPr>
            <w:tcW w:w="1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(21,861)</w:t>
            </w:r>
          </w:p>
        </w:tc>
        <w:tc>
          <w:tcPr>
            <w:tcW w:w="10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(13,108)</w:t>
            </w:r>
          </w:p>
        </w:tc>
        <w:tc>
          <w:tcPr>
            <w:tcW w:w="16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(57,153)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(44,620)</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Sales tax recovery - energy</w:t>
            </w:r>
          </w:p>
        </w:tc>
        <w:tc>
          <w:tcPr>
            <w:tcW w:w="1740" w:type="dxa"/>
            <w:vAlign w:val="bottom"/>
          </w:tcPr>
          <w:p>
            <w:pPr>
              <w:spacing w:after="0"/>
              <w:rPr>
                <w:sz w:val="18"/>
                <w:szCs w:val="18"/>
                <w:color w:val="auto"/>
              </w:rPr>
            </w:pPr>
          </w:p>
        </w:tc>
        <w:tc>
          <w:tcPr>
            <w:tcW w:w="176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17,017</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27</w:t>
            </w:r>
          </w:p>
        </w:tc>
        <w:tc>
          <w:tcPr>
            <w:tcW w:w="1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(27,386)</w:t>
            </w:r>
          </w:p>
        </w:tc>
        <w:tc>
          <w:tcPr>
            <w:tcW w:w="10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(13,583)</w:t>
            </w:r>
          </w:p>
        </w:tc>
        <w:tc>
          <w:tcPr>
            <w:tcW w:w="16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(73,773)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(91,884)</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Sales tax recovery - depreciation and amortization</w:t>
            </w:r>
          </w:p>
        </w:tc>
        <w:tc>
          <w:tcPr>
            <w:tcW w:w="1740" w:type="dxa"/>
            <w:vAlign w:val="bottom"/>
          </w:tcPr>
          <w:p>
            <w:pPr>
              <w:spacing w:after="0"/>
              <w:rPr>
                <w:sz w:val="18"/>
                <w:szCs w:val="18"/>
                <w:color w:val="auto"/>
              </w:rPr>
            </w:pPr>
          </w:p>
        </w:tc>
        <w:tc>
          <w:tcPr>
            <w:tcW w:w="176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8,760</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Hosting expenses</w:t>
            </w:r>
          </w:p>
        </w:tc>
        <w:tc>
          <w:tcPr>
            <w:tcW w:w="174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(7,735)</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Infrastructure expenses</w:t>
            </w:r>
          </w:p>
        </w:tc>
        <w:tc>
          <w:tcPr>
            <w:tcW w:w="1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w:t>
            </w:r>
          </w:p>
        </w:tc>
        <w:tc>
          <w:tcPr>
            <w:tcW w:w="17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(21,799)</w:t>
            </w: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(1,284)</w:t>
            </w:r>
          </w:p>
        </w:tc>
        <w:tc>
          <w:tcPr>
            <w:tcW w:w="16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(40,235)</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w:t>
            </w:r>
          </w:p>
        </w:tc>
      </w:tr>
      <w:tr>
        <w:trPr>
          <w:trHeight w:val="243"/>
        </w:trPr>
        <w:tc>
          <w:tcPr>
            <w:tcW w:w="4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Electrical components and salaries</w:t>
            </w:r>
          </w:p>
        </w:tc>
        <w:tc>
          <w:tcPr>
            <w:tcW w:w="17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w:t>
            </w:r>
          </w:p>
        </w:tc>
        <w:tc>
          <w:tcPr>
            <w:tcW w:w="17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(1,081)</w:t>
            </w:r>
          </w:p>
        </w:tc>
        <w:tc>
          <w:tcPr>
            <w:tcW w:w="10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(1,097)</w:t>
            </w:r>
          </w:p>
        </w:tc>
        <w:tc>
          <w:tcPr>
            <w:tcW w:w="16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(2,788)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w:t>
            </w:r>
          </w:p>
        </w:tc>
      </w:tr>
      <w:tr>
        <w:trPr>
          <w:trHeight w:val="244"/>
        </w:trPr>
        <w:tc>
          <w:tcPr>
            <w:tcW w:w="43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(72,127)</w:t>
            </w: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(29,072)</w:t>
            </w:r>
          </w:p>
        </w:tc>
        <w:tc>
          <w:tcPr>
            <w:tcW w:w="16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(181,684)</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(117,475)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48  Page</w:t>
      </w:r>
    </w:p>
    <w:p>
      <w:pPr>
        <w:sectPr>
          <w:pgSz w:w="11900" w:h="16838" w:orient="portrait"/>
          <w:cols w:equalWidth="0" w:num="1">
            <w:col w:w="11240"/>
          </w:cols>
          <w:pgMar w:left="320" w:top="90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25: ADDITIONAL DETAILS TO THE STATEMENT OF PROFIT OR LOSS AND COMPREHENSIVE PROFIT OR LOSS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Cost of revenues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cost of electrical component inventory and waste, limestone and fuel oil recognized as an expense and included in cost of revenues was $15,290 and $31,054, respectively (three and nine months ended September 30, 2024: $1,085 and $26,966, respectively).</w:t>
      </w:r>
    </w:p>
    <w:p>
      <w:pPr>
        <w:spacing w:after="0" w:line="182"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Energy costs are net of RECs and WTCs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and nine months ended September 30, 2025, RECs amounted to $6,436 and $12,997, respectively, and the WTCs amounted to $1,888 and $4,003, respectively (three and nine months ended September 30, 2024: RECs and WTCs were nil), all of which offset energy expenses in the cost of revenues.</w:t>
      </w:r>
    </w:p>
    <w:p>
      <w:pPr>
        <w:spacing w:after="0" w:line="182"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Custom duties</w:t>
      </w:r>
    </w:p>
    <w:p>
      <w:pPr>
        <w:spacing w:after="0" w:line="3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During the three and nine months ended September 30, 2025, infrastructure expenses included $9,244 of customs duties in connection with important of Miners in 2021. Refer to Note 16 for more details.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12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10"/>
        </w:trPr>
        <w:tc>
          <w:tcPr>
            <w:tcW w:w="4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76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38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8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720" w:type="dxa"/>
            <w:vAlign w:val="bottom"/>
            <w:tcBorders>
              <w:bottom w:val="single" w:sz="8" w:color="auto"/>
            </w:tcBorders>
          </w:tcPr>
          <w:p>
            <w:pPr>
              <w:spacing w:after="0"/>
              <w:rPr>
                <w:sz w:val="20"/>
                <w:szCs w:val="20"/>
                <w:color w:val="auto"/>
              </w:rPr>
            </w:pPr>
          </w:p>
        </w:tc>
      </w:tr>
      <w:tr>
        <w:trPr>
          <w:trHeight w:val="237"/>
        </w:trPr>
        <w:tc>
          <w:tcPr>
            <w:tcW w:w="48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7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6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wages</w:t>
            </w:r>
          </w:p>
        </w:tc>
        <w:tc>
          <w:tcPr>
            <w:tcW w:w="124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(6,992)</w:t>
            </w:r>
          </w:p>
        </w:tc>
        <w:tc>
          <w:tcPr>
            <w:tcW w:w="10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(6,774)</w:t>
            </w:r>
          </w:p>
        </w:tc>
        <w:tc>
          <w:tcPr>
            <w:tcW w:w="16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(19,630)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(15,777)</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2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24</w:t>
            </w:r>
          </w:p>
        </w:tc>
        <w:tc>
          <w:tcPr>
            <w:tcW w:w="17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(2,851)</w:t>
            </w: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(4,968)</w:t>
            </w:r>
          </w:p>
        </w:tc>
        <w:tc>
          <w:tcPr>
            <w:tcW w:w="16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(10,687)</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(9,504)</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24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(3,755)</w:t>
            </w:r>
          </w:p>
        </w:tc>
        <w:tc>
          <w:tcPr>
            <w:tcW w:w="10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(11,366)</w:t>
            </w:r>
          </w:p>
        </w:tc>
        <w:tc>
          <w:tcPr>
            <w:tcW w:w="16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(13,067)</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(18,077)</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Sales tax recovery - professional services</w:t>
            </w:r>
          </w:p>
        </w:tc>
        <w:tc>
          <w:tcPr>
            <w:tcW w:w="1240" w:type="dxa"/>
            <w:vAlign w:val="bottom"/>
          </w:tcPr>
          <w:p>
            <w:pPr>
              <w:spacing w:after="0"/>
              <w:rPr>
                <w:sz w:val="18"/>
                <w:szCs w:val="18"/>
                <w:color w:val="auto"/>
              </w:rPr>
            </w:pPr>
          </w:p>
        </w:tc>
        <w:tc>
          <w:tcPr>
            <w:tcW w:w="176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1,389</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duties and other</w:t>
            </w:r>
          </w:p>
        </w:tc>
        <w:tc>
          <w:tcPr>
            <w:tcW w:w="124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(2,507)</w:t>
            </w:r>
          </w:p>
        </w:tc>
        <w:tc>
          <w:tcPr>
            <w:tcW w:w="10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(1,514)</w:t>
            </w:r>
          </w:p>
        </w:tc>
        <w:tc>
          <w:tcPr>
            <w:tcW w:w="16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(7,421)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Travel, motor vehicle and meals</w:t>
            </w:r>
          </w:p>
        </w:tc>
        <w:tc>
          <w:tcPr>
            <w:tcW w:w="1240" w:type="dxa"/>
            <w:vAlign w:val="bottom"/>
          </w:tcPr>
          <w:p>
            <w:pPr>
              <w:spacing w:after="0"/>
              <w:rPr>
                <w:sz w:val="18"/>
                <w:szCs w:val="18"/>
                <w:color w:val="auto"/>
              </w:rPr>
            </w:pPr>
          </w:p>
        </w:tc>
        <w:tc>
          <w:tcPr>
            <w:tcW w:w="17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(491)</w:t>
            </w: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(310)</w:t>
            </w:r>
          </w:p>
        </w:tc>
        <w:tc>
          <w:tcPr>
            <w:tcW w:w="16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(1,444)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Telecom hosting and telecommunications</w:t>
            </w:r>
          </w:p>
        </w:tc>
        <w:tc>
          <w:tcPr>
            <w:tcW w:w="124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(127)</w:t>
            </w:r>
          </w:p>
        </w:tc>
        <w:tc>
          <w:tcPr>
            <w:tcW w:w="10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(57)</w:t>
            </w:r>
          </w:p>
        </w:tc>
        <w:tc>
          <w:tcPr>
            <w:tcW w:w="16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(436)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Advertising and promotion</w:t>
            </w:r>
          </w:p>
        </w:tc>
        <w:tc>
          <w:tcPr>
            <w:tcW w:w="1240" w:type="dxa"/>
            <w:vAlign w:val="bottom"/>
          </w:tcPr>
          <w:p>
            <w:pPr>
              <w:spacing w:after="0"/>
              <w:rPr>
                <w:sz w:val="18"/>
                <w:szCs w:val="18"/>
                <w:color w:val="auto"/>
              </w:rPr>
            </w:pPr>
          </w:p>
        </w:tc>
        <w:tc>
          <w:tcPr>
            <w:tcW w:w="17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(313)</w:t>
            </w: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(321)</w:t>
            </w:r>
          </w:p>
        </w:tc>
        <w:tc>
          <w:tcPr>
            <w:tcW w:w="16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(1,518)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43"/>
        </w:trPr>
        <w:tc>
          <w:tcPr>
            <w:tcW w:w="4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 recovery - other general and administrative expenses</w:t>
            </w:r>
          </w:p>
        </w:tc>
        <w:tc>
          <w:tcPr>
            <w:tcW w:w="124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753</w:t>
            </w:r>
          </w:p>
        </w:tc>
      </w:tr>
      <w:tr>
        <w:trPr>
          <w:trHeight w:val="243"/>
        </w:trPr>
        <w:tc>
          <w:tcPr>
            <w:tcW w:w="48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(17,036)</w:t>
            </w: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(25,310)</w:t>
            </w:r>
          </w:p>
        </w:tc>
        <w:tc>
          <w:tcPr>
            <w:tcW w:w="16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(54,203)</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49  Page</w:t>
      </w:r>
    </w:p>
    <w:p>
      <w:pPr>
        <w:sectPr>
          <w:pgSz w:w="11900" w:h="16838" w:orient="portrait"/>
          <w:cols w:equalWidth="0" w:num="1">
            <w:col w:w="11240"/>
          </w:cols>
          <w:pgMar w:left="320" w:top="90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25: ADDITIONAL DETAILS TO THE STATEMENT OF PROFIT OR LOSS AND COMPREHENSIVE PROFIT OR LOSS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financial (expenses) income</w:t>
            </w:r>
          </w:p>
        </w:tc>
        <w:tc>
          <w:tcPr>
            <w:tcW w:w="16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10"/>
        </w:trPr>
        <w:tc>
          <w:tcPr>
            <w:tcW w:w="4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600" w:type="dxa"/>
            <w:vAlign w:val="bottom"/>
          </w:tcPr>
          <w:p>
            <w:pPr>
              <w:spacing w:after="0"/>
              <w:rPr>
                <w:sz w:val="24"/>
                <w:szCs w:val="24"/>
                <w:color w:val="auto"/>
              </w:rPr>
            </w:pPr>
          </w:p>
        </w:tc>
      </w:tr>
      <w:tr>
        <w:trPr>
          <w:trHeight w:val="238"/>
        </w:trPr>
        <w:tc>
          <w:tcPr>
            <w:tcW w:w="44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00" w:type="dxa"/>
            <w:vAlign w:val="bottom"/>
            <w:tcBorders>
              <w:bottom w:val="single" w:sz="8" w:color="auto"/>
            </w:tcBorders>
          </w:tcPr>
          <w:p>
            <w:pPr>
              <w:spacing w:after="0"/>
              <w:rPr>
                <w:sz w:val="20"/>
                <w:szCs w:val="20"/>
                <w:color w:val="auto"/>
              </w:rPr>
            </w:pPr>
          </w:p>
        </w:tc>
      </w:tr>
      <w:tr>
        <w:trPr>
          <w:trHeight w:val="236"/>
        </w:trPr>
        <w:tc>
          <w:tcPr>
            <w:tcW w:w="44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9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7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on revaluation of warrants</w:t>
            </w:r>
          </w:p>
        </w:tc>
        <w:tc>
          <w:tcPr>
            <w:tcW w:w="1620" w:type="dxa"/>
            <w:vAlign w:val="bottom"/>
            <w:shd w:val="clear" w:color="auto" w:fill="CCEEFF"/>
          </w:tcPr>
          <w:p>
            <w:pPr>
              <w:spacing w:after="0"/>
              <w:rPr>
                <w:sz w:val="18"/>
                <w:szCs w:val="18"/>
                <w:color w:val="auto"/>
              </w:rPr>
            </w:pPr>
          </w:p>
        </w:tc>
        <w:tc>
          <w:tcPr>
            <w:tcW w:w="1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(26,340)</w:t>
            </w:r>
          </w:p>
        </w:tc>
        <w:tc>
          <w:tcPr>
            <w:tcW w:w="8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5,704</w:t>
            </w:r>
          </w:p>
        </w:tc>
        <w:tc>
          <w:tcPr>
            <w:tcW w:w="17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(20,577)</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13,289</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derivative assets and liabilities</w:t>
            </w:r>
          </w:p>
        </w:tc>
        <w:tc>
          <w:tcPr>
            <w:tcW w:w="162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196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12,135</w:t>
            </w: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(78)</w:t>
            </w:r>
          </w:p>
        </w:tc>
        <w:tc>
          <w:tcPr>
            <w:tcW w:w="178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12,161</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277</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settlement of Refundable Hosting Deposits</w:t>
            </w:r>
          </w:p>
        </w:tc>
        <w:tc>
          <w:tcPr>
            <w:tcW w:w="162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14, 21</w:t>
            </w:r>
          </w:p>
        </w:tc>
        <w:tc>
          <w:tcPr>
            <w:tcW w:w="19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945</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Loss on initial recognition of refundable deposits</w:t>
            </w:r>
          </w:p>
        </w:tc>
        <w:tc>
          <w:tcPr>
            <w:tcW w:w="162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14, 21</w:t>
            </w:r>
          </w:p>
        </w:tc>
        <w:tc>
          <w:tcPr>
            <w:tcW w:w="196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(74)</w:t>
            </w: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(675)</w:t>
            </w:r>
          </w:p>
        </w:tc>
        <w:tc>
          <w:tcPr>
            <w:tcW w:w="17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(74)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20" w:type="dxa"/>
            <w:vAlign w:val="bottom"/>
            <w:shd w:val="clear" w:color="auto" w:fill="CCEEFF"/>
          </w:tcPr>
          <w:p>
            <w:pPr>
              <w:spacing w:after="0"/>
              <w:rPr>
                <w:sz w:val="18"/>
                <w:szCs w:val="18"/>
                <w:color w:val="auto"/>
              </w:rPr>
            </w:pPr>
          </w:p>
        </w:tc>
        <w:tc>
          <w:tcPr>
            <w:tcW w:w="19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585</w:t>
            </w:r>
          </w:p>
        </w:tc>
        <w:tc>
          <w:tcPr>
            <w:tcW w:w="8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2,452</w:t>
            </w:r>
          </w:p>
        </w:tc>
        <w:tc>
          <w:tcPr>
            <w:tcW w:w="178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1,921</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5,174</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Interest on long-term debt and lease liabilities</w:t>
            </w:r>
          </w:p>
        </w:tc>
        <w:tc>
          <w:tcPr>
            <w:tcW w:w="1620" w:type="dxa"/>
            <w:vAlign w:val="bottom"/>
          </w:tcPr>
          <w:p>
            <w:pPr>
              <w:spacing w:after="0"/>
              <w:rPr>
                <w:sz w:val="18"/>
                <w:szCs w:val="18"/>
                <w:color w:val="auto"/>
              </w:rPr>
            </w:pPr>
          </w:p>
        </w:tc>
        <w:tc>
          <w:tcPr>
            <w:tcW w:w="196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(1,884)</w:t>
            </w: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(415)</w:t>
            </w:r>
          </w:p>
        </w:tc>
        <w:tc>
          <w:tcPr>
            <w:tcW w:w="17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(4,591)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on exchange rates</w:t>
            </w:r>
          </w:p>
        </w:tc>
        <w:tc>
          <w:tcPr>
            <w:tcW w:w="1620" w:type="dxa"/>
            <w:vAlign w:val="bottom"/>
            <w:shd w:val="clear" w:color="auto" w:fill="CCEEFF"/>
          </w:tcPr>
          <w:p>
            <w:pPr>
              <w:spacing w:after="0"/>
              <w:rPr>
                <w:sz w:val="18"/>
                <w:szCs w:val="18"/>
                <w:color w:val="auto"/>
              </w:rPr>
            </w:pPr>
          </w:p>
        </w:tc>
        <w:tc>
          <w:tcPr>
            <w:tcW w:w="1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w:t>
            </w:r>
          </w:p>
        </w:tc>
        <w:tc>
          <w:tcPr>
            <w:tcW w:w="8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104</w:t>
            </w:r>
          </w:p>
        </w:tc>
        <w:tc>
          <w:tcPr>
            <w:tcW w:w="17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(450)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r>
      <w:tr>
        <w:trPr>
          <w:trHeight w:val="243"/>
        </w:trPr>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financial (expenses) income</w:t>
            </w:r>
          </w:p>
        </w:tc>
        <w:tc>
          <w:tcPr>
            <w:tcW w:w="162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(3,869)</w:t>
            </w: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(224)</w:t>
            </w:r>
          </w:p>
        </w:tc>
        <w:tc>
          <w:tcPr>
            <w:tcW w:w="17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(5,011)</w:t>
            </w: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331</w:t>
            </w:r>
          </w:p>
        </w:tc>
      </w:tr>
      <w:tr>
        <w:trPr>
          <w:trHeight w:val="243"/>
        </w:trPr>
        <w:tc>
          <w:tcPr>
            <w:tcW w:w="446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spacing w:after="0"/>
              <w:rPr>
                <w:sz w:val="21"/>
                <w:szCs w:val="21"/>
                <w:color w:val="auto"/>
              </w:rPr>
            </w:pPr>
          </w:p>
        </w:tc>
        <w:tc>
          <w:tcPr>
            <w:tcW w:w="196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(19,649)</w:t>
            </w:r>
          </w:p>
        </w:tc>
        <w:tc>
          <w:tcPr>
            <w:tcW w:w="8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6,868</w:t>
            </w:r>
          </w:p>
        </w:tc>
        <w:tc>
          <w:tcPr>
            <w:tcW w:w="178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(15,676)</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16,387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26: GEOGRAPHICAL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reporting segments are identified on the basis of information that is reviewed by the chief operating decision maker (“CODM”) to make decisions about resources to be allocated and to assess performance. Accordingly, for Management purposes, the Company is organized into one operating segment which meets the definition of a reportable segment, cryptocurrency Mining, which is the operation of data centers that support the validation and verification of transactions on the BTC blockchain, earning cryptocurrency for providing these services, as described in Note 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country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502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600" w:type="dxa"/>
            <w:vAlign w:val="bottom"/>
          </w:tcPr>
          <w:p>
            <w:pPr>
              <w:spacing w:after="0"/>
              <w:rPr>
                <w:sz w:val="18"/>
                <w:szCs w:val="18"/>
                <w:color w:val="auto"/>
              </w:rPr>
            </w:pPr>
          </w:p>
        </w:tc>
      </w:tr>
      <w:tr>
        <w:trPr>
          <w:trHeight w:val="238"/>
        </w:trPr>
        <w:tc>
          <w:tcPr>
            <w:tcW w:w="380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00" w:type="dxa"/>
            <w:vAlign w:val="bottom"/>
            <w:tcBorders>
              <w:bottom w:val="single" w:sz="8" w:color="auto"/>
            </w:tcBorders>
          </w:tcPr>
          <w:p>
            <w:pPr>
              <w:spacing w:after="0"/>
              <w:rPr>
                <w:sz w:val="20"/>
                <w:szCs w:val="20"/>
                <w:color w:val="auto"/>
              </w:rPr>
            </w:pPr>
          </w:p>
        </w:tc>
      </w:tr>
      <w:tr>
        <w:trPr>
          <w:trHeight w:val="237"/>
        </w:trPr>
        <w:tc>
          <w:tcPr>
            <w:tcW w:w="380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82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4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40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39,386</w:t>
            </w:r>
          </w:p>
        </w:tc>
        <w:tc>
          <w:tcPr>
            <w:tcW w:w="9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2,171</w:t>
            </w:r>
          </w:p>
        </w:tc>
        <w:tc>
          <w:tcPr>
            <w:tcW w:w="182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90,484</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10,354</w:t>
            </w:r>
          </w:p>
        </w:tc>
      </w:tr>
      <w:tr>
        <w:trPr>
          <w:trHeight w:val="243"/>
        </w:trPr>
        <w:tc>
          <w:tcPr>
            <w:tcW w:w="3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Canada</w:t>
            </w:r>
          </w:p>
        </w:tc>
        <w:tc>
          <w:tcPr>
            <w:tcW w:w="40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29,859</w:t>
            </w: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24,901</w:t>
            </w:r>
          </w:p>
        </w:tc>
        <w:tc>
          <w:tcPr>
            <w:tcW w:w="182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88,566</w:t>
            </w: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6"/>
              </w:rPr>
              <w:t>85,168</w:t>
            </w:r>
          </w:p>
        </w:tc>
      </w:tr>
      <w:tr>
        <w:trPr>
          <w:trHeight w:val="244"/>
        </w:trPr>
        <w:tc>
          <w:tcPr>
            <w:tcW w:w="3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8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69,245</w:t>
            </w:r>
          </w:p>
        </w:tc>
        <w:tc>
          <w:tcPr>
            <w:tcW w:w="9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27,072</w:t>
            </w:r>
          </w:p>
        </w:tc>
        <w:tc>
          <w:tcPr>
            <w:tcW w:w="182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179,050</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95,522</w:t>
            </w:r>
          </w:p>
        </w:tc>
      </w:tr>
    </w:tbl>
    <w:p>
      <w:pPr>
        <w:spacing w:after="0" w:line="196" w:lineRule="exact"/>
        <w:rPr>
          <w:sz w:val="20"/>
          <w:szCs w:val="20"/>
          <w:color w:val="auto"/>
        </w:rPr>
      </w:pPr>
    </w:p>
    <w:p>
      <w:pPr>
        <w:jc w:val="both"/>
        <w:ind w:left="20" w:hanging="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Revenues are presented based on the geographical contribution of computational power used for hashing calculations (measured by hashrate) or sales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external customers. During the three and nine months ended September 30, 2025 and 2024, the Company earned </w:t>
      </w:r>
      <w:r>
        <w:rPr>
          <w:rFonts w:ascii="Times New Roman" w:cs="Times New Roman" w:eastAsia="Times New Roman" w:hAnsi="Times New Roman"/>
          <w:sz w:val="18"/>
          <w:szCs w:val="18"/>
          <w:color w:val="auto"/>
        </w:rPr>
        <w:t>86%</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89%</w:t>
      </w:r>
      <w:r>
        <w:rPr>
          <w:rFonts w:ascii="Times New Roman" w:cs="Times New Roman" w:eastAsia="Times New Roman" w:hAnsi="Times New Roman"/>
          <w:sz w:val="18"/>
          <w:szCs w:val="18"/>
          <w:i w:val="1"/>
          <w:iCs w:val="1"/>
          <w:color w:val="auto"/>
        </w:rPr>
        <w:t xml:space="preserve"> of its revenues, respectively, from one Mining pool operator (three and nine months ended September 30, 2024: 95% and 96%). The Company has the ability to switch Mining Pools or to mine independently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50  Page</w:t>
      </w:r>
    </w:p>
    <w:p>
      <w:pPr>
        <w:sectPr>
          <w:pgSz w:w="11900" w:h="16838" w:orient="portrait"/>
          <w:cols w:equalWidth="0" w:num="1">
            <w:col w:w="11240"/>
          </w:cols>
          <w:pgMar w:left="320" w:top="90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26: GEOGRAPHICAL INFORMATION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and other non-current assets</w:t>
      </w:r>
    </w:p>
    <w:p>
      <w:pPr>
        <w:spacing w:after="0" w:line="3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 net book value of property, plant and equipment and other non-current assets (excluding financial assets and deferred tax assets) by country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12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37"/>
        </w:trPr>
        <w:tc>
          <w:tcPr>
            <w:tcW w:w="24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187"/>
        </w:trPr>
        <w:tc>
          <w:tcPr>
            <w:tcW w:w="24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60" w:type="dxa"/>
            <w:vAlign w:val="bottom"/>
          </w:tcPr>
          <w:p>
            <w:pPr>
              <w:jc w:val="right"/>
              <w:ind w:right="390"/>
              <w:spacing w:after="0" w:line="188" w:lineRule="exact"/>
              <w:rPr>
                <w:sz w:val="20"/>
                <w:szCs w:val="20"/>
                <w:color w:val="auto"/>
              </w:rPr>
            </w:pPr>
            <w:r>
              <w:rPr>
                <w:rFonts w:ascii="Times New Roman" w:cs="Times New Roman" w:eastAsia="Times New Roman" w:hAnsi="Times New Roman"/>
                <w:sz w:val="18"/>
                <w:szCs w:val="18"/>
                <w:b w:val="1"/>
                <w:bCs w:val="1"/>
                <w:color w:val="auto"/>
              </w:rPr>
              <w:t>Total non-</w:t>
            </w:r>
          </w:p>
        </w:tc>
        <w:tc>
          <w:tcPr>
            <w:tcW w:w="1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8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color w:val="auto"/>
              </w:rPr>
              <w:t>Total non-</w:t>
            </w:r>
          </w:p>
        </w:tc>
      </w:tr>
      <w:tr>
        <w:trPr>
          <w:trHeight w:val="238"/>
        </w:trPr>
        <w:tc>
          <w:tcPr>
            <w:tcW w:w="24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PPE</w:t>
            </w: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5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PPE</w:t>
            </w:r>
          </w:p>
        </w:tc>
        <w:tc>
          <w:tcPr>
            <w:tcW w:w="12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current assets</w:t>
            </w:r>
          </w:p>
        </w:tc>
      </w:tr>
      <w:tr>
        <w:trPr>
          <w:trHeight w:val="209"/>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2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2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282,088</w:t>
            </w: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18,194</w:t>
            </w:r>
          </w:p>
        </w:tc>
        <w:tc>
          <w:tcPr>
            <w:tcW w:w="15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300,282</w:t>
            </w: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62,854</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15,491</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78,345</w:t>
            </w:r>
          </w:p>
        </w:tc>
      </w:tr>
      <w:tr>
        <w:trPr>
          <w:trHeight w:val="243"/>
        </w:trPr>
        <w:tc>
          <w:tcPr>
            <w:tcW w:w="24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2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77,770</w:t>
            </w: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17,451</w:t>
            </w:r>
          </w:p>
        </w:tc>
        <w:tc>
          <w:tcPr>
            <w:tcW w:w="15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95,221</w:t>
            </w: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117,615</w:t>
            </w: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54,291</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171,906</w:t>
            </w:r>
          </w:p>
        </w:tc>
      </w:tr>
      <w:tr>
        <w:trPr>
          <w:trHeight w:val="209"/>
        </w:trPr>
        <w:tc>
          <w:tcPr>
            <w:tcW w:w="2420" w:type="dxa"/>
            <w:vAlign w:val="bottom"/>
            <w:shd w:val="clear" w:color="auto" w:fill="CCEEFF"/>
          </w:tcPr>
          <w:p>
            <w:pPr>
              <w:spacing w:after="0"/>
              <w:rPr>
                <w:sz w:val="18"/>
                <w:szCs w:val="18"/>
                <w:color w:val="auto"/>
              </w:rPr>
            </w:pPr>
          </w:p>
        </w:tc>
        <w:tc>
          <w:tcPr>
            <w:tcW w:w="22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359,858</w:t>
            </w: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35,645</w:t>
            </w:r>
          </w:p>
        </w:tc>
        <w:tc>
          <w:tcPr>
            <w:tcW w:w="15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395,503</w:t>
            </w: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180,469</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69,782</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250,251</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2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Paraguay</w:t>
            </w:r>
          </w:p>
        </w:tc>
        <w:tc>
          <w:tcPr>
            <w:tcW w:w="22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112,452</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12,594</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125,046</w:t>
            </w:r>
          </w:p>
        </w:tc>
      </w:tr>
      <w:tr>
        <w:trPr>
          <w:trHeight w:val="243"/>
        </w:trPr>
        <w:tc>
          <w:tcPr>
            <w:tcW w:w="24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Argentina</w:t>
            </w:r>
          </w:p>
        </w:tc>
        <w:tc>
          <w:tcPr>
            <w:tcW w:w="2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12</w:t>
            </w: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107</w:t>
            </w:r>
          </w:p>
        </w:tc>
        <w:tc>
          <w:tcPr>
            <w:tcW w:w="15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119</w:t>
            </w: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55,604</w:t>
            </w: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1,050</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56,654</w:t>
            </w:r>
          </w:p>
        </w:tc>
      </w:tr>
      <w:tr>
        <w:trPr>
          <w:trHeight w:val="237"/>
        </w:trPr>
        <w:tc>
          <w:tcPr>
            <w:tcW w:w="2420" w:type="dxa"/>
            <w:vAlign w:val="bottom"/>
            <w:tcBorders>
              <w:bottom w:val="single" w:sz="8" w:color="auto"/>
            </w:tcBorders>
            <w:shd w:val="clear" w:color="auto" w:fill="CCEEFF"/>
          </w:tcPr>
          <w:p>
            <w:pPr>
              <w:spacing w:after="0"/>
              <w:rPr>
                <w:sz w:val="20"/>
                <w:szCs w:val="20"/>
                <w:color w:val="auto"/>
              </w:rPr>
            </w:pPr>
          </w:p>
        </w:tc>
        <w:tc>
          <w:tcPr>
            <w:tcW w:w="22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12</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107</w:t>
            </w:r>
          </w:p>
        </w:tc>
        <w:tc>
          <w:tcPr>
            <w:tcW w:w="15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119</w:t>
            </w: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168,056</w:t>
            </w: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13,644</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181,700</w:t>
            </w:r>
          </w:p>
        </w:tc>
      </w:tr>
      <w:tr>
        <w:trPr>
          <w:trHeight w:val="243"/>
        </w:trPr>
        <w:tc>
          <w:tcPr>
            <w:tcW w:w="2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359,870</w:t>
            </w: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35,752</w:t>
            </w:r>
          </w:p>
        </w:tc>
        <w:tc>
          <w:tcPr>
            <w:tcW w:w="15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395,622</w:t>
            </w: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348,525</w:t>
            </w: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83,426</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431,951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51  Page</w:t>
      </w:r>
    </w:p>
    <w:p>
      <w:pPr>
        <w:sectPr>
          <w:pgSz w:w="11900" w:h="16838" w:orient="portrait"/>
          <w:cols w:equalWidth="0" w:num="1">
            <w:col w:w="11240"/>
          </w:cols>
          <w:pgMar w:left="320" w:top="90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27: ADDITIONAL DETAILS TO THE STATEMENTS OF CASH FLOWS</w:t>
      </w:r>
    </w:p>
    <w:p>
      <w:pPr>
        <w:spacing w:after="0" w:line="252"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426"/>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working capital components:</w:t>
            </w:r>
          </w:p>
        </w:tc>
        <w:tc>
          <w:tcPr>
            <w:tcW w:w="2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trade receivables, net</w:t>
            </w:r>
          </w:p>
        </w:tc>
        <w:tc>
          <w:tcPr>
            <w:tcW w:w="21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(587)</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in other current assets</w:t>
            </w:r>
          </w:p>
        </w:tc>
        <w:tc>
          <w:tcPr>
            <w:tcW w:w="2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8,363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(9,123)</w:t>
            </w: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inventories</w:t>
            </w:r>
          </w:p>
        </w:tc>
        <w:tc>
          <w:tcPr>
            <w:tcW w:w="21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(3,210)</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Increase in deposits</w:t>
            </w:r>
          </w:p>
        </w:tc>
        <w:tc>
          <w:tcPr>
            <w:tcW w:w="2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(1,011)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(5,097)</w:t>
            </w: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trade payables and accrued liabilities</w:t>
            </w:r>
          </w:p>
        </w:tc>
        <w:tc>
          <w:tcPr>
            <w:tcW w:w="21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13,710</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9,264</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taxes payable</w:t>
            </w:r>
          </w:p>
        </w:tc>
        <w:tc>
          <w:tcPr>
            <w:tcW w:w="2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180</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43"/>
        </w:trPr>
        <w:tc>
          <w:tcPr>
            <w:tcW w:w="8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other non-current liabilities</w:t>
            </w:r>
          </w:p>
        </w:tc>
        <w:tc>
          <w:tcPr>
            <w:tcW w:w="21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(403)</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0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17,042</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(6,439)</w:t>
            </w:r>
          </w:p>
        </w:tc>
      </w:tr>
      <w:tr>
        <w:trPr>
          <w:trHeight w:val="210"/>
        </w:trPr>
        <w:tc>
          <w:tcPr>
            <w:tcW w:w="80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Significant non-cash transactions:</w:t>
            </w:r>
          </w:p>
        </w:tc>
        <w:tc>
          <w:tcPr>
            <w:tcW w:w="2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shares, warrants and RSUs in connection with the acquisition of Stronghold</w:t>
            </w:r>
          </w:p>
        </w:tc>
        <w:tc>
          <w:tcPr>
            <w:tcW w:w="21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78,161</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Equipment prepayments realized as additions to PPE</w:t>
            </w:r>
          </w:p>
        </w:tc>
        <w:tc>
          <w:tcPr>
            <w:tcW w:w="2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41,045</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29,674</w:t>
            </w: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related to assets held for sale</w:t>
            </w:r>
          </w:p>
        </w:tc>
        <w:tc>
          <w:tcPr>
            <w:tcW w:w="21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9,120</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Addition of ROU assets and related lease liabilities</w:t>
            </w:r>
          </w:p>
        </w:tc>
        <w:tc>
          <w:tcPr>
            <w:tcW w:w="2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565</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9,226</w:t>
            </w: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PPE financed by short-term credit</w:t>
            </w:r>
          </w:p>
        </w:tc>
        <w:tc>
          <w:tcPr>
            <w:tcW w:w="21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8,975</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4,846</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shares in connection with acquisitions of assets</w:t>
            </w:r>
          </w:p>
        </w:tc>
        <w:tc>
          <w:tcPr>
            <w:tcW w:w="2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3,000</w:t>
            </w:r>
          </w:p>
        </w:tc>
      </w:tr>
      <w:tr>
        <w:trPr>
          <w:trHeight w:val="243"/>
        </w:trPr>
        <w:tc>
          <w:tcPr>
            <w:tcW w:w="8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Computational power revenue and its related service expense</w:t>
            </w:r>
          </w:p>
        </w:tc>
        <w:tc>
          <w:tcPr>
            <w:tcW w:w="210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2,777</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564</w:t>
            </w:r>
          </w:p>
        </w:tc>
      </w:tr>
      <w:tr>
        <w:trPr>
          <w:trHeight w:val="210"/>
        </w:trPr>
        <w:tc>
          <w:tcPr>
            <w:tcW w:w="80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2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96,571</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113,766</w:t>
            </w: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ROU assets</w:t>
            </w:r>
          </w:p>
        </w:tc>
        <w:tc>
          <w:tcPr>
            <w:tcW w:w="21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3,220</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2,213</w:t>
            </w:r>
          </w:p>
        </w:tc>
      </w:tr>
      <w:tr>
        <w:trPr>
          <w:trHeight w:val="243"/>
        </w:trPr>
        <w:tc>
          <w:tcPr>
            <w:tcW w:w="8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388</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404</w:t>
            </w:r>
          </w:p>
        </w:tc>
      </w:tr>
      <w:tr>
        <w:trPr>
          <w:trHeight w:val="244"/>
        </w:trPr>
        <w:tc>
          <w:tcPr>
            <w:tcW w:w="8080" w:type="dxa"/>
            <w:vAlign w:val="bottom"/>
            <w:tcBorders>
              <w:bottom w:val="single" w:sz="8" w:color="auto"/>
            </w:tcBorders>
            <w:shd w:val="clear" w:color="auto" w:fill="CCEEFF"/>
          </w:tcPr>
          <w:p>
            <w:pPr>
              <w:spacing w:after="0"/>
              <w:rPr>
                <w:sz w:val="21"/>
                <w:szCs w:val="21"/>
                <w:color w:val="auto"/>
              </w:rPr>
            </w:pPr>
          </w:p>
        </w:tc>
        <w:tc>
          <w:tcPr>
            <w:tcW w:w="210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100,179</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116,383</w:t>
            </w:r>
          </w:p>
        </w:tc>
      </w:tr>
    </w:tbl>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expenses are part of the non-cash adjustments in the cash flow statement, and these amounts also include figures from discontinued operations. See Note </w:t>
      </w:r>
      <w:r>
        <w:rPr>
          <w:rFonts w:ascii="Times New Roman" w:cs="Times New Roman" w:eastAsia="Times New Roman" w:hAnsi="Times New Roman"/>
          <w:sz w:val="18"/>
          <w:szCs w:val="18"/>
          <w:color w:val="auto"/>
        </w:rPr>
        <w:t>22</w:t>
      </w:r>
      <w:r>
        <w:rPr>
          <w:rFonts w:ascii="Times New Roman" w:cs="Times New Roman" w:eastAsia="Times New Roman" w:hAnsi="Times New Roman"/>
          <w:sz w:val="18"/>
          <w:szCs w:val="18"/>
          <w:i w:val="1"/>
          <w:iCs w:val="1"/>
          <w:color w:val="auto"/>
        </w:rPr>
        <w:t xml:space="preserve"> for more details.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28: LAWSUITS, COMMITMENTS AND CONTINGENCIES</w:t>
            </w:r>
          </w:p>
        </w:tc>
        <w:tc>
          <w:tcPr>
            <w:tcW w:w="17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Lawsuits</w:t>
            </w:r>
          </w:p>
        </w:tc>
        <w:tc>
          <w:tcPr>
            <w:tcW w:w="17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10"/>
        </w:trPr>
        <w:tc>
          <w:tcPr>
            <w:tcW w:w="6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As of</w:t>
            </w:r>
          </w:p>
        </w:tc>
      </w:tr>
      <w:tr>
        <w:trPr>
          <w:trHeight w:val="238"/>
        </w:trPr>
        <w:tc>
          <w:tcPr>
            <w:tcW w:w="66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r>
      <w:tr>
        <w:trPr>
          <w:trHeight w:val="223"/>
        </w:trPr>
        <w:tc>
          <w:tcPr>
            <w:tcW w:w="66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FERC Matters</w:t>
            </w:r>
          </w:p>
        </w:tc>
        <w:tc>
          <w:tcPr>
            <w:tcW w:w="176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i.</w:t>
            </w:r>
          </w:p>
        </w:tc>
        <w:tc>
          <w:tcPr>
            <w:tcW w:w="16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1,065</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Stronghold Shareholder Securities Lawsuit</w:t>
            </w:r>
          </w:p>
        </w:tc>
        <w:tc>
          <w:tcPr>
            <w:tcW w:w="176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ii.</w:t>
            </w:r>
          </w:p>
        </w:tc>
        <w:tc>
          <w:tcPr>
            <w:tcW w:w="1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1,825</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settlement accruals</w:t>
            </w:r>
          </w:p>
        </w:tc>
        <w:tc>
          <w:tcPr>
            <w:tcW w:w="17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2,890</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w:t>
            </w:r>
          </w:p>
        </w:tc>
        <w:tc>
          <w:tcPr>
            <w:tcW w:w="1760" w:type="dxa"/>
            <w:vAlign w:val="bottom"/>
          </w:tcPr>
          <w:p>
            <w:pPr>
              <w:spacing w:after="0"/>
              <w:rPr>
                <w:sz w:val="18"/>
                <w:szCs w:val="18"/>
                <w:color w:val="auto"/>
              </w:rPr>
            </w:pPr>
          </w:p>
        </w:tc>
        <w:tc>
          <w:tcPr>
            <w:tcW w:w="16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(1,635)</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discounting</w:t>
            </w:r>
          </w:p>
        </w:tc>
        <w:tc>
          <w:tcPr>
            <w:tcW w:w="17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(67)</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Non-current portion</w:t>
            </w:r>
          </w:p>
        </w:tc>
        <w:tc>
          <w:tcPr>
            <w:tcW w:w="17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1,188</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undiscounted legal settlement accruals amounted to $2,890 as of September 30, 2025. The current portion and the non-current portion were recorded in trade payables and accrued liabilities and in other non-current liabilities, respectively, in the consolidated statements of financial position (December 31, 2024: nil).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54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9"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52  Page</w:t>
      </w:r>
    </w:p>
    <w:p>
      <w:pPr>
        <w:sectPr>
          <w:pgSz w:w="11900" w:h="16838" w:orient="portrait"/>
          <w:cols w:equalWidth="0" w:num="1">
            <w:col w:w="11240"/>
          </w:cols>
          <w:pgMar w:left="320" w:top="90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NOTE 28: LAWSUITS, COMMITMENTS AND CONTINGENCIES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Lawsuits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 Federal Energy Regulatory Commission (“FERC”) Matters</w:t>
      </w:r>
    </w:p>
    <w:p>
      <w:pPr>
        <w:spacing w:after="0" w:line="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November 19, 2021, Scrubgrass received a notice of breach from PJM Interconnection, LLC alleging that Scrubgrass breached Interconnection Service Agreement – No. 1795 (the “ISA”) by failing to provide advance notice to PJM Interconnection, LLC and Mid-Atlantic Interstate Transmission, LLC pursuant to ISA, Appendix 2, section 3, of modifications made to the Scrubgrass plant. On May 11, 2022, the Division of Investigations of the FERC Office of Enforcement (“OE”) informed the Company that the OE was conducting a non-public preliminary investigation concerning Scrubgrass’ compliance with various aspects of the PJM tariff. On January 30, 2025, the Federal Energy Regulatory Commission (the “Commission”) approved a Stipulation and Settlement Agreement between the OE and Scrubgrass (the “Settlement Agreement”). Pursuant to the Settlement Agreement, Scrubgrass agreed to: (a) disgorge to PJM $679 in capacity revenues received during the relevant period; (b) pay a civil penalty of $741 ,for a total of $1,420 to the United States Treasury; and (c) provide compliance training to relevant personnel and compliance monitoring reports. Scrubgrass is to pay the settlement amount over a period of three years. In the first year, Scrubgrass is to pay a lump sum of $355, which Scrubgrass paid in February of 2025. In the second and third years, Scrubgrass shall make 8 payments of $133 on a calendar quarter basis. For a period of five years following the effective date of the Settlement Agreement, Scrubgrass is to provide annual compliance training focused primarily on the applicable tariff and related rules, regulations, and requirements applicable to operating generators, to all personnel whose job responsibilities relate to the generators’ participation in Commission jurisdictional markets. As of September 30, 2025, the settlement accrual was $1,065 and represents the 8 remaining installment payments.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ii. Shareholder Securities Lawsuit</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April 14, 2022, Stronghold, and certain of its former directors, officers and underwriters were named in a putative class action complaint filed in the United States District Court for the Southern District of New York (Winter v. Stronghold Digital Mining, Case No. 1:22-cv-3088). On October 18, 2022, the plaintiffs filed an amended complaint, alleging that the Company made misleading statements and/or failed to disclose material facts in violation of Section 11 of the Securities Act, 15 U.S.C. §77k and Section 15 of the Securities Act of 1933, as amended (the “Securities Act”), about the Company’s business, operations, and prospects in the Company’s registration statement on Form S-1 related to its initial public offering, and when subsequent disclosures were made regarding these operational issues when the Company announced its fourth quarter and full year 2021 financial results, the Company’s stock price fell, causing significant losses and damages.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16, 2024, the District Court issued an Order granting Preliminary Approval of the Class Action Settlement, Approving Form and Manner of Notice, and Setting Date for Hearing on Final Approval of Settlement. The Company agreed to pay $4,750 in cash and 25 BTC. On January 15, 2025, $2,500 was covered by the Company’s insurance providers and Stronghold paid the remaining $2,250 into escrow. One BTC will be paid monthly for two years. The cash value of each Bitcoin is expected to be calculated monthly according to a price set by the Nasdaq Bitcoin reference price index. As of September 30, 2025, the settlement accrual was $1,825 and represents the value of the remaining 16 BTC to be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543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53  Page</w:t>
      </w:r>
    </w:p>
    <w:p>
      <w:pPr>
        <w:sectPr>
          <w:pgSz w:w="11900" w:h="16838" w:orient="portrait"/>
          <w:cols w:equalWidth="0" w:num="1">
            <w:col w:w="11240"/>
          </w:cols>
          <w:pgMar w:left="320" w:top="90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28: LAWSUITS, COMMITMENTS AND CONTINGENCIES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Lawsuits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iii. Class Action Lawsuit</w:t>
      </w:r>
    </w:p>
    <w:p>
      <w:pPr>
        <w:spacing w:after="0" w:line="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May 9, 2025, and as amended on October 21, 2025, a purported shareholder filed a putative class action complaint in the United States District Court for the Eastern District of New York, in a case now titled In re: Bitfarms Securities Litigation, case no 1:25-cv-02630. Co-Lead Plaintiffs Zhao Jun, Gong Lanfang, Michael Pearl, Kazim Khan, and Michael Lawarre sued Bitfarms Ltd., Benjamin Gagnon, Jeffrey Lucas and Geoffrey Morphy alleging violations of Sections 10(b) and 20(a) of the Securities Exchange Act of 1934 and Rule 10b-5, promulgated thereunder. The lawsuit alleges that the Company, its current CEO, its former CFO and its former CEO made materially false and/or misleading statements regarding the Company’s business, operations and internal controls over financial reporting. The Plaintiff seeks class certification, unspecified damages plus interest and attorney and expert witness fees and other costs on behalf of a purported class consisting of all persons and entities (subject to specified exceptions) that purchased or otherwise acquired Company common stock from March 21, 2023 and December 9, 2024. The lawsuit was filed by Pomerantz Law Firm. The Company cannot predict the duration or outcome of this lawsuit at this time. As a result, the Company is unable to estimate the reasonably possible loss or range of reasonably possible loss arising from this lawsuit and no provision was recorded as of September 30, 2025. The Company intends to vigorously defend itself in this matter.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committed to purchase the following property, plant and equipment as of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Borders>
              <w:bottom w:val="single" w:sz="8" w:color="auto"/>
            </w:tcBorders>
          </w:tcPr>
          <w:p>
            <w:pPr>
              <w:ind w:left="768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7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20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i.</w:t>
            </w:r>
          </w:p>
        </w:tc>
        <w:tc>
          <w:tcPr>
            <w:tcW w:w="12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5,348</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HPC/AI infrastructure projects</w:t>
            </w:r>
          </w:p>
        </w:tc>
        <w:tc>
          <w:tcPr>
            <w:tcW w:w="700" w:type="dxa"/>
            <w:vAlign w:val="bottom"/>
          </w:tcPr>
          <w:p>
            <w:pPr>
              <w:spacing w:after="0"/>
              <w:rPr>
                <w:sz w:val="18"/>
                <w:szCs w:val="18"/>
                <w:color w:val="auto"/>
              </w:rPr>
            </w:pPr>
          </w:p>
        </w:tc>
        <w:tc>
          <w:tcPr>
            <w:tcW w:w="12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1,289</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8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HPC/AI infrastructure projects in Sharon, Pennsylvania, United States</w:t>
            </w:r>
          </w:p>
        </w:tc>
        <w:tc>
          <w:tcPr>
            <w:tcW w:w="7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14,775</w:t>
            </w:r>
          </w:p>
        </w:tc>
      </w:tr>
      <w:tr>
        <w:trPr>
          <w:trHeight w:val="237"/>
        </w:trPr>
        <w:tc>
          <w:tcPr>
            <w:tcW w:w="8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6,637</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14,775</w:t>
            </w:r>
          </w:p>
        </w:tc>
      </w:tr>
    </w:tbl>
    <w:p>
      <w:pPr>
        <w:spacing w:after="0" w:line="196" w:lineRule="exact"/>
        <w:rPr>
          <w:sz w:val="20"/>
          <w:szCs w:val="20"/>
          <w:color w:val="auto"/>
        </w:rPr>
      </w:pPr>
    </w:p>
    <w:p>
      <w:pPr>
        <w:ind w:left="420" w:hanging="412"/>
        <w:spacing w:after="0"/>
        <w:tabs>
          <w:tab w:leader="none" w:pos="420" w:val="left"/>
        </w:tabs>
        <w:numPr>
          <w:ilvl w:val="0"/>
          <w:numId w:val="3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Agreements to purchase land</w:t>
      </w:r>
    </w:p>
    <w:p>
      <w:pPr>
        <w:spacing w:after="0" w:line="2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In August 2025, the Company entered into agreements to purchase 3 acres of land in Washington State, United States and 181 acres of land in Pennsylvania, United States for $1,898 and $3,500,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54  Page</w:t>
      </w:r>
    </w:p>
    <w:p>
      <w:pPr>
        <w:sectPr>
          <w:pgSz w:w="11900" w:h="16838" w:orient="portrait"/>
          <w:cols w:equalWidth="0" w:num="1">
            <w:col w:w="11240"/>
          </w:cols>
          <w:pgMar w:left="320" w:top="90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28: LAWSUITS, COMMITMENTS AND CONTINGENCIES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Liability</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the Company continues to periodically import products into the United States, it is subject to review by the CBP regarding the classification and origin of such imports. Refer to Note 16 for more details regarding the Company's Miners imported in 2021. There were no Miners imported into the United States in 2022 or 2023; and for 2024 and 2025, the Company has not received any assessment or communication of a potential assessment.</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the Company took several steps to ensure compliance with CBP rules and regulations by sourcing non-Chinese origin equipment including, but not limited to, the specifications of which non-Chinese production facilities could be supplied under our purchase agreements with Bitmain Development PTE. Ltd., in person factory inspections by the Company’s employees to verify production, and the collection of various importation documents that confer non-Chinese origin. While the Company has addressed certain concerns related to previous importations, additional assessments may be made by the CBP in connection with other importations.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imported 9,399 and 34,179 Miners in the United States during 2024 and 2025, respectively, and had delivered asset values of $25,782 and $130,698, respectively. Importation tariffs from China were 22.4% in 2024 and fluctuated between 22.4% and 150.5% in 2025. Any assessments made on previous importations by the CBP could also include penalties and interest.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this time, while the Company believes it has taken the appropriate steps to reduce the risk of potential exposure, the Company is unable to predict the outcome of any future assessments or to reasonably estimate the amount, if any, that may be payable in connection with these matters. The facts surrounding each importation may vary and the Company reserves the right and may challenge any assessments.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9"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55  Page</w:t>
      </w:r>
    </w:p>
    <w:p>
      <w:pPr>
        <w:sectPr>
          <w:pgSz w:w="11900" w:h="16838" w:orient="portrait"/>
          <w:cols w:equalWidth="0" w:num="1">
            <w:col w:w="11240"/>
          </w:cols>
          <w:pgMar w:left="320" w:top="90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29: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ATM Program</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period from October 1, 2025 to October 7, 2025, the Company issued 10,445,797 common shares through the 2024 ATM Program in exchange for gross proceeds of $35,811 at an average share price of approximately $3.43. The Company received net proceeds of $34,705 after paying commissions of $1,106 to the sales agent. The 2024 ATM Program was terminated on October 7, 2025 after $375,000 of gross proceeds was reached. Refer to Note 20 for further details of the Company’s 2024 ATM program.</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Credit Facility with Macquarie</w:t>
      </w:r>
    </w:p>
    <w:p>
      <w:pPr>
        <w:spacing w:after="0" w:line="31" w:lineRule="exact"/>
        <w:rPr>
          <w:sz w:val="20"/>
          <w:szCs w:val="20"/>
          <w:color w:val="auto"/>
        </w:rPr>
      </w:pPr>
    </w:p>
    <w:p>
      <w:pPr>
        <w:jc w:val="both"/>
        <w:ind w:left="20" w:hanging="4"/>
        <w:spacing w:after="0" w:line="253" w:lineRule="auto"/>
        <w:rPr>
          <w:sz w:val="20"/>
          <w:szCs w:val="20"/>
          <w:color w:val="auto"/>
        </w:rPr>
      </w:pPr>
      <w:r>
        <w:rPr>
          <w:rFonts w:ascii="Times New Roman" w:cs="Times New Roman" w:eastAsia="Times New Roman" w:hAnsi="Times New Roman"/>
          <w:sz w:val="18"/>
          <w:szCs w:val="18"/>
          <w:color w:val="auto"/>
        </w:rPr>
        <w:t>In October 2025, the Company converted its Credit Facility with Macquarie as described in Note 18 to an up to $300,000 project-specific financing facility for the development of its data center campus in Panther Creek, Pennsylvania, United States. The Company drew an additional $50,000 from the converted facility, for a total of $100,000 drawn and issued an additional 2,197,127 warrants with a strike price of $5.69 and a term of 5 years. As a result of the project-specific financing facility’s requirements, the restricted cash balance increased from $25,000 to $50,000.</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Convertible Senior Notes</w:t>
      </w:r>
    </w:p>
    <w:p>
      <w:pPr>
        <w:spacing w:after="0" w:line="31"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In October 2025, the Company issued $588,000 aggregate principal amount of convertible senior notes (the “Convertible Notes”), which included the full exercise of the purchasers’ option to purchase up to an additional $88,000 aggregate amount of Convertible Notes. The Convertible Notes are unsecured, bear interest at 1.375% per annum payable semi-annually and mature on January 15, 2031.</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October 15, 2030, the Convertible Notes may be converted only upon the occurrence of certain events. Thereafter, holders may convert their notes at any time until maturity. Upon conversion, the Company may settle the obligation in cash, common shares, or a combination of both, at its discretion. The initial conversion rate is 145.6876 common shares per $1 principal amount (equivalent to a conversion price of approximately $6.86 per share), representing a 30% premium over the $5.28 reference price (the last reported sale price per common share of Bitfarms on Nasdaq on October 16, 2025), subjected to adjustments upon the occurrence of certain events.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Convertible Notes are not redeemable prior to October 20, 2028, except in the event of certain changes in Canadian tax law. After that date, the Company may redeem the Convertible Notes, in whole or in part, for cash if the market price of its common shares exceeds 130% of the conversion price for a specified period. In the event of a fundamental change, holders may require the Company to repurchase their notes for cash.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proceeds from the offering were approximately $568,860.</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Capped call transactions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In October 2025, in connection with the Convertible notes, the Company entered into capped call transactions, with a cap price of $11.88 per share (representing a 125% premium over the reference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54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56  Page</w:t>
      </w:r>
    </w:p>
    <w:p>
      <w:pPr>
        <w:sectPr>
          <w:pgSz w:w="11900" w:h="16838" w:orient="portrait"/>
          <w:cols w:equalWidth="0" w:num="1">
            <w:col w:w="11240"/>
          </w:cols>
          <w:pgMar w:left="320" w:top="90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29: SUBSEQUENT EVENTS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options of BTC</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October 2025, the Company exercised its option to redeem the fourth and last installment of the BTC pledged in relation to the purchase of Miners under the November 2024 Order. The Company redeemed 89 BTC for $8,307.</w:t>
      </w:r>
    </w:p>
    <w:p>
      <w:pPr>
        <w:spacing w:after="0" w:line="1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Also in November 2025, the Company exercised its option to redeem the third and fourth installments of the BTC pledged in relation to the purchase of Miners under the March 2025 Swap Order. The Company redeemed 14 BTC for $1,187.</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during October 2025, the Company exercised its option to redeem the first installment of the BTC pledged in relation to the purchase of Miners under the July 2025 Swap Order. The Company redeemed 14 BTC for $1,492.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8 and 10 for more details.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Sharon Purchase of Leased Property</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October 2025, the Company acquired the property it was leasing in Sharon, Pennsylvania, from the landlord for a total consideration of $38,745 consisting of $5,000 in cash and $33,745 worth of the Company's shares as at the date of the close. This resulted in the issuance of 8,500,000 shares of the Company to the seller.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 for HPC/AI Infrastructure Projects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2025, the Company entered into a purchase commitment of $128,742, payable over the next 12 months, for the development and expansion of HPC/AI infrastructure projects with a large publicly traded American multinational provider of critical infrastructure and services for data centers. Under the terms of the agreement, the provider will deliver a range of services that include engineering, project management assistance, procurement and manufacturing, site management support and factory acceptance testing, all contributing, in addition to other expenses, to the construction of a fully integrated 18 MW hybrid-built data center in Washington State,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color w:val="auto"/>
        </w:rPr>
        <w:t>57  Page</w:t>
      </w:r>
    </w:p>
    <w:p>
      <w:pPr>
        <w:sectPr>
          <w:pgSz w:w="11900" w:h="16838" w:orient="portrait"/>
          <w:cols w:equalWidth="0" w:num="1">
            <w:col w:w="11240"/>
          </w:cols>
          <w:pgMar w:left="320" w:top="900"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1677035</wp:posOffset>
            </wp:positionV>
            <wp:extent cx="2743200" cy="4540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274320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2388870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1651635</wp:posOffset>
            </wp:positionV>
            <wp:extent cx="1285875" cy="3086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10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10080" w:type="dxa"/>
            <w:vAlign w:val="bottom"/>
            <w:tcBorders>
              <w:right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Introduction</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10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Company Overview</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10080" w:type="dxa"/>
            <w:vAlign w:val="bottom"/>
            <w:tcBorders>
              <w:right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Financial Highlights from Continuing Operations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10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Third Quarter 2025 Financial Results and Operational Highlights from Continuing Operations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10080" w:type="dxa"/>
            <w:vAlign w:val="bottom"/>
            <w:tcBorders>
              <w:right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Recent and Subsequent Events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10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Production and Mining Operations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w:t>
            </w:r>
          </w:p>
        </w:tc>
        <w:tc>
          <w:tcPr>
            <w:tcW w:w="10080" w:type="dxa"/>
            <w:vAlign w:val="bottom"/>
            <w:tcBorders>
              <w:right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HPC/AI Infrastructure and BTC Mining Expansion Projects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10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Financial Performance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w:t>
            </w:r>
          </w:p>
        </w:tc>
        <w:tc>
          <w:tcPr>
            <w:tcW w:w="10080" w:type="dxa"/>
            <w:vAlign w:val="bottom"/>
            <w:tcBorders>
              <w:right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Selected Quarterly Information from Continuing Operations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10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Non-IFRS and Other Financial Measures and Ratios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10080" w:type="dxa"/>
            <w:vAlign w:val="bottom"/>
            <w:tcBorders>
              <w:right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Liquidity and Capital Resources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10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Financial Position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13.</w:t>
            </w:r>
          </w:p>
        </w:tc>
        <w:tc>
          <w:tcPr>
            <w:tcW w:w="10080" w:type="dxa"/>
            <w:vAlign w:val="bottom"/>
            <w:tcBorders>
              <w:right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Financial Instruments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10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15.</w:t>
            </w:r>
          </w:p>
        </w:tc>
        <w:tc>
          <w:tcPr>
            <w:tcW w:w="10080" w:type="dxa"/>
            <w:vAlign w:val="bottom"/>
            <w:tcBorders>
              <w:right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Internal Controls Over Financial Reporting</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10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Share Capital</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17.</w:t>
            </w:r>
          </w:p>
        </w:tc>
        <w:tc>
          <w:tcPr>
            <w:tcW w:w="10080" w:type="dxa"/>
            <w:vAlign w:val="bottom"/>
            <w:tcBorders>
              <w:right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Regulatory Compliance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10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Risk Factors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19.</w:t>
            </w:r>
          </w:p>
        </w:tc>
        <w:tc>
          <w:tcPr>
            <w:tcW w:w="10080" w:type="dxa"/>
            <w:vAlign w:val="bottom"/>
            <w:tcBorders>
              <w:right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Significant Accounting Estimates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20.</w:t>
            </w:r>
          </w:p>
        </w:tc>
        <w:tc>
          <w:tcPr>
            <w:tcW w:w="10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Material Accounting Policy Information and New Accounting Policies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21.</w:t>
            </w:r>
          </w:p>
        </w:tc>
        <w:tc>
          <w:tcPr>
            <w:tcW w:w="10080" w:type="dxa"/>
            <w:vAlign w:val="bottom"/>
            <w:tcBorders>
              <w:right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Cautionary Note Regarding Forward-Looking Statements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10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Cautionary Note Regarding Non-IFRS and Other Financial Measures and Ratios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23.</w:t>
            </w:r>
          </w:p>
        </w:tc>
        <w:tc>
          <w:tcPr>
            <w:tcW w:w="10080" w:type="dxa"/>
            <w:vAlign w:val="bottom"/>
            <w:tcBorders>
              <w:right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Additional Information</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10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Glossary of Terms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20" w:type="dxa"/>
            <w:vAlign w:val="bottom"/>
            <w:tcBorders>
              <w:bottom w:val="single" w:sz="8" w:color="auto"/>
            </w:tcBorders>
          </w:tcPr>
          <w:p>
            <w:pPr>
              <w:spacing w:after="0"/>
              <w:rPr>
                <w:sz w:val="24"/>
                <w:szCs w:val="24"/>
                <w:color w:val="auto"/>
              </w:rPr>
            </w:pPr>
          </w:p>
        </w:tc>
        <w:tc>
          <w:tcPr>
            <w:tcW w:w="100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10080" w:type="dxa"/>
            <w:vAlign w:val="bottom"/>
            <w:tcBorders>
              <w:right w:val="single" w:sz="8" w:color="auto"/>
            </w:tcBorders>
          </w:tcPr>
          <w:p>
            <w:pPr>
              <w:ind w:left="990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1008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92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INTRODUCTION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Management’s Discussion and Analysis (the “MD&amp;A”) for Bitfarms Ltd. (together with its subsidiaries, the “Company” or “Bitfarms”) has been prepared as of November 12, 2025. This MD&amp;A should be read in conjunction with the Company’s unaudited interim condensed consolidated financial statements for the three and nine months ended September 30, 2025 and its accompanying notes (the “Financial Statements”), the Company’s 2024 audited annual consolidated financial statements and its accompanying notes (the “2024 Annual Financial Statements”) and the Company’s Annual Information Form dated March 26, 2025 (the “2024 AIF”), which are available on SEDAR+ at www.sedarplus.ca and EDGAR at www.sec.gov/edgar.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Financial Statements have been prepared in accordance with International Financial Reporting Standards as issued by the International Accounting Standards Board (“IFRS Accounting Standards”) applicable to the preparation of interim financial statements, including IAS 34, Interim Financial Reporting. The Company’s Financial Statements and this MD&amp;A are reported in thousands of U.S. dollars and U.S. dollars, respectively, except where otherwise noted.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management team (“Management”) is responsible for the preparation and integrity of the Financial Statements including the maintenance of appropriate information systems, procedures and internal controls. Management is also responsible for ensuring that information disclosed externally, including the Financial Statements and MD&amp;A, is complete and reliable.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utilizes non-IFRS financial measures and ratios in assessing operating performance. Non-IFRS financial measures and ratios may exclude the impact of certain items and are used internally when analyzing operating performance. Refer to Section 10 - </w:t>
      </w:r>
      <w:r>
        <w:rPr>
          <w:rFonts w:ascii="Times New Roman" w:cs="Times New Roman" w:eastAsia="Times New Roman" w:hAnsi="Times New Roman"/>
          <w:sz w:val="18"/>
          <w:szCs w:val="18"/>
          <w:i w:val="1"/>
          <w:iCs w:val="1"/>
          <w:color w:val="auto"/>
        </w:rPr>
        <w:t>Non-IFRS and Other Financial Measures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Ratios </w:t>
      </w:r>
      <w:r>
        <w:rPr>
          <w:rFonts w:ascii="Times New Roman" w:cs="Times New Roman" w:eastAsia="Times New Roman" w:hAnsi="Times New Roman"/>
          <w:sz w:val="18"/>
          <w:szCs w:val="18"/>
          <w:color w:val="auto"/>
        </w:rPr>
        <w:t>and Section 22 -</w:t>
      </w:r>
      <w:r>
        <w:rPr>
          <w:rFonts w:ascii="Times New Roman" w:cs="Times New Roman" w:eastAsia="Times New Roman" w:hAnsi="Times New Roman"/>
          <w:sz w:val="18"/>
          <w:szCs w:val="18"/>
          <w:i w:val="1"/>
          <w:iCs w:val="1"/>
          <w:color w:val="auto"/>
        </w:rPr>
        <w:t xml:space="preserve"> Cautionary Note Regarding Non-IFRS and Other Financial Measures and Ratios </w:t>
      </w:r>
      <w:r>
        <w:rPr>
          <w:rFonts w:ascii="Times New Roman" w:cs="Times New Roman" w:eastAsia="Times New Roman" w:hAnsi="Times New Roman"/>
          <w:sz w:val="18"/>
          <w:szCs w:val="18"/>
          <w:color w:val="auto"/>
        </w:rPr>
        <w:t>of this MD&amp;A for more information.</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This MD&amp;A contains forward-looking statements. Refer to the risk factors described in Section 18 -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this MD&amp;A and in Section 19 -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w:t>
      </w:r>
      <w:r>
        <w:rPr>
          <w:rFonts w:ascii="Times New Roman" w:cs="Times New Roman" w:eastAsia="Times New Roman" w:hAnsi="Times New Roman"/>
          <w:sz w:val="18"/>
          <w:szCs w:val="18"/>
          <w:color w:val="auto"/>
        </w:rPr>
        <w:t>of the Company’s MD&amp;A for the year ended December 31, 2024, dated March 26, 2025 and to Section 21 -</w:t>
      </w:r>
      <w:r>
        <w:rPr>
          <w:rFonts w:ascii="Times New Roman" w:cs="Times New Roman" w:eastAsia="Times New Roman" w:hAnsi="Times New Roman"/>
          <w:sz w:val="18"/>
          <w:szCs w:val="18"/>
          <w:i w:val="1"/>
          <w:iCs w:val="1"/>
          <w:color w:val="auto"/>
        </w:rPr>
        <w:t xml:space="preserve"> Cautionary Note Regarding Forward-Looking Statements </w:t>
      </w:r>
      <w:r>
        <w:rPr>
          <w:rFonts w:ascii="Times New Roman" w:cs="Times New Roman" w:eastAsia="Times New Roman" w:hAnsi="Times New Roman"/>
          <w:sz w:val="18"/>
          <w:szCs w:val="18"/>
          <w:color w:val="auto"/>
        </w:rPr>
        <w:t>of this MD&amp;A for more information. This MD&amp;A contains various terms related to the Company’s business and industry which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defined in Section 24 - </w:t>
      </w:r>
      <w:r>
        <w:rPr>
          <w:rFonts w:ascii="Times New Roman" w:cs="Times New Roman" w:eastAsia="Times New Roman" w:hAnsi="Times New Roman"/>
          <w:sz w:val="18"/>
          <w:szCs w:val="18"/>
          <w:i w:val="1"/>
          <w:iCs w:val="1"/>
          <w:color w:val="auto"/>
        </w:rPr>
        <w:t>Glossary of Terms</w:t>
      </w:r>
      <w:r>
        <w:rPr>
          <w:rFonts w:ascii="Times New Roman" w:cs="Times New Roman" w:eastAsia="Times New Roman" w:hAnsi="Times New Roman"/>
          <w:sz w:val="18"/>
          <w:szCs w:val="18"/>
          <w:color w:val="auto"/>
        </w:rPr>
        <w:t xml:space="preserve"> of this MD&amp;A.</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MD&amp;A, the following terms shall have the following definitions: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8860" w:type="dxa"/>
            <w:vAlign w:val="bottom"/>
            <w:tcBorders>
              <w:top w:val="single" w:sz="8" w:color="auto"/>
              <w:bottom w:val="single" w:sz="8" w:color="auto"/>
            </w:tcBorders>
          </w:tcPr>
          <w:p>
            <w:pPr>
              <w:ind w:left="134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191"/>
        </w:trPr>
        <w:tc>
          <w:tcPr>
            <w:tcW w:w="2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Q3 2025</w:t>
            </w:r>
          </w:p>
        </w:tc>
        <w:tc>
          <w:tcPr>
            <w:tcW w:w="8860" w:type="dxa"/>
            <w:vAlign w:val="bottom"/>
          </w:tcPr>
          <w:p>
            <w:pPr>
              <w:ind w:left="1340"/>
              <w:spacing w:after="0" w:line="191" w:lineRule="exact"/>
              <w:rPr>
                <w:sz w:val="20"/>
                <w:szCs w:val="20"/>
                <w:color w:val="auto"/>
              </w:rPr>
            </w:pPr>
            <w:r>
              <w:rPr>
                <w:rFonts w:ascii="Times New Roman" w:cs="Times New Roman" w:eastAsia="Times New Roman" w:hAnsi="Times New Roman"/>
                <w:sz w:val="18"/>
                <w:szCs w:val="18"/>
                <w:color w:val="auto"/>
              </w:rPr>
              <w:t>Three months ended September 30, 2025</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Q3 2024</w:t>
            </w:r>
          </w:p>
        </w:tc>
        <w:tc>
          <w:tcPr>
            <w:tcW w:w="886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Three months ended September 30, 2024</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YTD Q3 2025</w:t>
            </w:r>
          </w:p>
        </w:tc>
        <w:tc>
          <w:tcPr>
            <w:tcW w:w="886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Nine months ended September 30, 2025</w:t>
            </w:r>
          </w:p>
        </w:tc>
      </w:tr>
      <w:tr>
        <w:trPr>
          <w:trHeight w:val="234"/>
        </w:trPr>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YTD Q3 2024</w:t>
            </w:r>
          </w:p>
        </w:tc>
        <w:tc>
          <w:tcPr>
            <w:tcW w:w="886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Nine months ended September 30, 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97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10520"/>
        <w:spacing w:after="0"/>
        <w:tabs>
          <w:tab w:leader="none" w:pos="10840" w:val="left"/>
        </w:tabs>
        <w:rPr>
          <w:sz w:val="20"/>
          <w:szCs w:val="20"/>
          <w:color w:val="auto"/>
        </w:rPr>
      </w:pPr>
      <w:r>
        <w:rPr>
          <w:rFonts w:ascii="Times New Roman" w:cs="Times New Roman" w:eastAsia="Times New Roman" w:hAnsi="Times New Roman"/>
          <w:sz w:val="18"/>
          <w:szCs w:val="18"/>
          <w:color w:val="auto"/>
        </w:rPr>
        <w:t>3</w:t>
        <w:tab/>
        <w:t>Page</w:t>
      </w:r>
    </w:p>
    <w:p>
      <w:pPr>
        <w:sectPr>
          <w:pgSz w:w="11900" w:h="16838" w:orient="portrait"/>
          <w:cols w:equalWidth="0" w:num="1">
            <w:col w:w="11240"/>
          </w:cols>
          <w:pgMar w:left="320" w:top="92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COMPANY 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Founded in 2017, Bitfarms (Nasdaq/TSX: BITF) is a North American, publicly traded energy and compute infrastructure company. Since 2017, Bitfarms develops and operates data centers primarily for Bitcoin mining with in-house management and company-owned electrical engineering, installation service, and multiple onsite technical repair centers. Having completed planned investments into Bitcoin mining operations, the Company is now focused on converting its existing energy and data center infrastructure to HPC and AI uses. Through the conversion of the Company’s assets to HPC and AI infrastructure projects , the Company aims to realize greater value for its portfolio of North American energy assets in Pennsylvania, United States; Washington State, United States; and Quebec, Canada.</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Currently, Bitfarms primarily owns and operates data centers housing computers (referred to as “Miners”) designed for the purpose of validating transactions on the Bitcoin Blockchain (referred to as “Mining”). Bitfarms generally operates its Miners 24 hours per day to produce computational power used for hashing calculations (measured by hashrate) that Bitfarms sells to Mining pool operators under a formula-driven rate commonly known in the industry as Full Pay Per Share (“FPPS”). Under FPPS, Mining pool operators compensate Mining companies for their computational power used for hashing calculations, measured by hashrate, based on what the Mining pool operator would expect to generate in revenue for a given time period if there was no randomness involved. The fee paid by a Mining pool operator to Bitfarms for its computational power used for hashing calculations may be in cryptocurrency, U.S. dollars, or another currency. However, the fees are paid to the Company on a daily basis in Bitcoin (“BTC”). Bitfarms accumulates the cryptocurrency fees it receives or exchanges them for U.S. dollars through reputable and established cryptocurrency trading platforms.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in Note 5 to the Financial Statements, the Company acquired Stronghold Digital Mining, Inc. (“Stronghold”) on March 14, 2025 (the “Stronghold Transaction”). Through the acquisition of Stronghold, the Company now owns and operates two refuse power generation facilities with a combined capacity of 473 MW. Both facilities qualify as an “Alternative Energy System” under Pennsylvania, United States law because mining refuse is classified as a Tier II Alternative Energy Source (large-scale hydropower is also classified in this tier). The Company sells its electricity into the Pennsylvania, New Jersey, Maryland Interconnection (“PJM”) Merchant Market under a professional services agreement with Customized Energy Solutions, Ltd. To support its co-located data centers, the Company’s primary fuel source at these facilities is waste which is provided by various third parties. Waste tax credits are earned by the Company by utilizing refuse to generate electricity. The Company either consumes the energy internally to support computational activities related to hashing calculations or sells the energy it produces to the local energy supplier (the “Grid”).</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To support and accelerate the development of the Company’s HPC/AI infrastructure projects, the Company undertook several significant initiatives. In October 2025, the Company raised $588.0 million and $50.0 million through the issuance of convertible notes and the conversion of its credit facility with Macquarie Equipment Capital, Inc. (“Macquarie”), respectively. In November 2025, the Company advanced its HPC/AI infrastructure strategy by acquiring the Sharon property in Pennsylvania, United States, for $32.3 million and entered into a purchase commitment of $128.7 million, payable in the next 12 months, for the development and expansion of HPC/AI infrastructure projects with a large publicly traded American multinational provider of critical infrastructure and services for data centers. Refer to Section 5 - </w:t>
      </w:r>
      <w:r>
        <w:rPr>
          <w:rFonts w:ascii="Times New Roman" w:cs="Times New Roman" w:eastAsia="Times New Roman" w:hAnsi="Times New Roman"/>
          <w:sz w:val="18"/>
          <w:szCs w:val="18"/>
          <w:i w:val="1"/>
          <w:iCs w:val="1"/>
          <w:color w:val="auto"/>
        </w:rPr>
        <w:t>Recent and Subsequent Events</w:t>
      </w:r>
      <w:r>
        <w:rPr>
          <w:rFonts w:ascii="Times New Roman" w:cs="Times New Roman" w:eastAsia="Times New Roman" w:hAnsi="Times New Roman"/>
          <w:sz w:val="18"/>
          <w:szCs w:val="18"/>
          <w:color w:val="auto"/>
        </w:rPr>
        <w:t xml:space="preserve">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97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0520"/>
        <w:spacing w:after="0"/>
        <w:tabs>
          <w:tab w:leader="none" w:pos="10840" w:val="left"/>
        </w:tabs>
        <w:rPr>
          <w:sz w:val="20"/>
          <w:szCs w:val="20"/>
          <w:color w:val="auto"/>
        </w:rPr>
      </w:pPr>
      <w:r>
        <w:rPr>
          <w:rFonts w:ascii="Times New Roman" w:cs="Times New Roman" w:eastAsia="Times New Roman" w:hAnsi="Times New Roman"/>
          <w:sz w:val="18"/>
          <w:szCs w:val="18"/>
          <w:color w:val="auto"/>
        </w:rPr>
        <w:t>4</w:t>
        <w:tab/>
        <w:t>Page</w:t>
      </w:r>
    </w:p>
    <w:p>
      <w:pPr>
        <w:sectPr>
          <w:pgSz w:w="11900" w:h="16838" w:orient="portrait"/>
          <w:cols w:equalWidth="0" w:num="1">
            <w:col w:w="11240"/>
          </w:cols>
          <w:pgMar w:left="320" w:top="92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COMPANY OVERVIEW </w:t>
      </w:r>
      <w:r>
        <w:rPr>
          <w:rFonts w:ascii="Times New Roman" w:cs="Times New Roman" w:eastAsia="Times New Roman" w:hAnsi="Times New Roman"/>
          <w:sz w:val="18"/>
          <w:szCs w:val="18"/>
          <w:color w:val="auto"/>
        </w:rPr>
        <w:t>(Continued)</w:t>
      </w:r>
    </w:p>
    <w:p>
      <w:pPr>
        <w:spacing w:after="0" w:line="233"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8"/>
          <w:szCs w:val="18"/>
          <w:color w:val="auto"/>
        </w:rPr>
        <w:t>Bitfarms currently has 13</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operating Bitcoin data centers situated in three countries: Canada, the United States and Paraguay, powered by long-term competitively priced power contracts.</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ability to operate and secure power through its production sites as of November 12, 2025 are summarized below. The Company intends to allocate some or all of this power pipeline to its HPC/AI infrastructure strategy.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Region</w:t>
            </w:r>
            <w:r>
              <w:rPr>
                <w:rFonts w:ascii="Times New Roman" w:cs="Times New Roman" w:eastAsia="Times New Roman" w:hAnsi="Times New Roman"/>
                <w:sz w:val="29"/>
                <w:szCs w:val="29"/>
                <w:b w:val="1"/>
                <w:bCs w:val="1"/>
                <w:color w:val="auto"/>
                <w:vertAlign w:val="superscript"/>
              </w:rPr>
              <w:t>1</w:t>
            </w:r>
          </w:p>
        </w:tc>
        <w:tc>
          <w:tcPr>
            <w:tcW w:w="180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Secured contracted</w:t>
            </w:r>
          </w:p>
        </w:tc>
        <w:tc>
          <w:tcPr>
            <w:tcW w:w="4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Capacity under</w:t>
            </w:r>
          </w:p>
        </w:tc>
        <w:tc>
          <w:tcPr>
            <w:tcW w:w="8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760" w:type="dxa"/>
            <w:vAlign w:val="bottom"/>
            <w:tcBorders>
              <w:bottom w:val="single" w:sz="8" w:color="auto"/>
            </w:tcBorders>
            <w:vMerge w:val="continue"/>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Energized capacity</w:t>
            </w:r>
          </w:p>
        </w:tc>
        <w:tc>
          <w:tcPr>
            <w:tcW w:w="4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growth capacity</w:t>
            </w:r>
          </w:p>
        </w:tc>
        <w:tc>
          <w:tcPr>
            <w:tcW w:w="4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application</w:t>
            </w: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Total pipeline</w:t>
            </w:r>
          </w:p>
        </w:tc>
        <w:tc>
          <w:tcPr>
            <w:tcW w:w="0" w:type="dxa"/>
            <w:vAlign w:val="bottom"/>
          </w:tcPr>
          <w:p>
            <w:pPr>
              <w:spacing w:after="0"/>
              <w:rPr>
                <w:sz w:val="1"/>
                <w:szCs w:val="1"/>
                <w:color w:val="auto"/>
              </w:rPr>
            </w:pPr>
          </w:p>
        </w:tc>
      </w:tr>
      <w:tr>
        <w:trPr>
          <w:trHeight w:val="209"/>
        </w:trPr>
        <w:tc>
          <w:tcPr>
            <w:tcW w:w="1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18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180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720" w:type="dxa"/>
            <w:vAlign w:val="bottom"/>
            <w:shd w:val="clear" w:color="auto" w:fill="CCEEFF"/>
          </w:tcPr>
          <w:p>
            <w:pPr>
              <w:ind w:left="100"/>
              <w:spacing w:after="0" w:line="256" w:lineRule="exact"/>
              <w:rPr>
                <w:sz w:val="20"/>
                <w:szCs w:val="20"/>
                <w:color w:val="auto"/>
              </w:rPr>
            </w:pPr>
            <w:r>
              <w:rPr>
                <w:rFonts w:ascii="Times New Roman" w:cs="Times New Roman" w:eastAsia="Times New Roman" w:hAnsi="Times New Roman"/>
                <w:sz w:val="18"/>
                <w:szCs w:val="18"/>
                <w:color w:val="auto"/>
              </w:rPr>
              <w:t>MW</w:t>
            </w:r>
            <w:r>
              <w:rPr>
                <w:rFonts w:ascii="Times New Roman" w:cs="Times New Roman" w:eastAsia="Times New Roman" w:hAnsi="Times New Roman"/>
                <w:sz w:val="29"/>
                <w:szCs w:val="29"/>
                <w:color w:val="auto"/>
                <w:vertAlign w:val="superscript"/>
              </w:rPr>
              <w:t>2</w:t>
            </w:r>
          </w:p>
        </w:tc>
        <w:tc>
          <w:tcPr>
            <w:tcW w:w="4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540" w:type="dxa"/>
            <w:vAlign w:val="bottom"/>
            <w:shd w:val="clear" w:color="auto" w:fill="CCEEFF"/>
          </w:tcPr>
          <w:p>
            <w:pPr>
              <w:jc w:val="right"/>
              <w:spacing w:after="0" w:line="256" w:lineRule="exact"/>
              <w:rPr>
                <w:sz w:val="20"/>
                <w:szCs w:val="20"/>
                <w:color w:val="auto"/>
              </w:rPr>
            </w:pPr>
            <w:r>
              <w:rPr>
                <w:rFonts w:ascii="Times New Roman" w:cs="Times New Roman" w:eastAsia="Times New Roman" w:hAnsi="Times New Roman"/>
                <w:sz w:val="18"/>
                <w:szCs w:val="18"/>
                <w:color w:val="auto"/>
              </w:rPr>
              <w:t>MW</w:t>
            </w:r>
            <w:r>
              <w:rPr>
                <w:rFonts w:ascii="Times New Roman" w:cs="Times New Roman" w:eastAsia="Times New Roman" w:hAnsi="Times New Roman"/>
                <w:sz w:val="29"/>
                <w:szCs w:val="29"/>
                <w:color w:val="auto"/>
                <w:vertAlign w:val="superscript"/>
              </w:rPr>
              <w:t>3</w:t>
            </w:r>
          </w:p>
        </w:tc>
        <w:tc>
          <w:tcPr>
            <w:tcW w:w="4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90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MW</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4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MW</w:t>
            </w:r>
          </w:p>
        </w:tc>
        <w:tc>
          <w:tcPr>
            <w:tcW w:w="0" w:type="dxa"/>
            <w:vAlign w:val="bottom"/>
          </w:tcPr>
          <w:p>
            <w:pPr>
              <w:spacing w:after="0"/>
              <w:rPr>
                <w:sz w:val="1"/>
                <w:szCs w:val="1"/>
                <w:color w:val="auto"/>
              </w:rPr>
            </w:pPr>
          </w:p>
        </w:tc>
      </w:tr>
      <w:tr>
        <w:trPr>
          <w:trHeight w:val="257"/>
        </w:trPr>
        <w:tc>
          <w:tcPr>
            <w:tcW w:w="1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180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MW</w:t>
            </w:r>
          </w:p>
        </w:tc>
        <w:tc>
          <w:tcPr>
            <w:tcW w:w="4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40" w:type="dxa"/>
            <w:vAlign w:val="bottom"/>
            <w:tcBorders>
              <w:bottom w:val="single" w:sz="8" w:color="auto"/>
            </w:tcBorders>
          </w:tcPr>
          <w:p>
            <w:pPr>
              <w:jc w:val="right"/>
              <w:spacing w:after="0" w:line="256" w:lineRule="exact"/>
              <w:rPr>
                <w:sz w:val="20"/>
                <w:szCs w:val="20"/>
                <w:color w:val="auto"/>
              </w:rPr>
            </w:pPr>
            <w:r>
              <w:rPr>
                <w:rFonts w:ascii="Times New Roman" w:cs="Times New Roman" w:eastAsia="Times New Roman" w:hAnsi="Times New Roman"/>
                <w:sz w:val="18"/>
                <w:szCs w:val="18"/>
                <w:color w:val="auto"/>
              </w:rPr>
              <w:t>MW</w:t>
            </w:r>
            <w:r>
              <w:rPr>
                <w:rFonts w:ascii="Times New Roman" w:cs="Times New Roman" w:eastAsia="Times New Roman" w:hAnsi="Times New Roman"/>
                <w:sz w:val="29"/>
                <w:szCs w:val="29"/>
                <w:color w:val="auto"/>
                <w:vertAlign w:val="superscript"/>
              </w:rPr>
              <w:t>4</w:t>
            </w:r>
          </w:p>
        </w:tc>
        <w:tc>
          <w:tcPr>
            <w:tcW w:w="4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4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MW</w:t>
            </w:r>
          </w:p>
        </w:tc>
        <w:tc>
          <w:tcPr>
            <w:tcW w:w="0" w:type="dxa"/>
            <w:vAlign w:val="bottom"/>
          </w:tcPr>
          <w:p>
            <w:pPr>
              <w:spacing w:after="0"/>
              <w:rPr>
                <w:sz w:val="1"/>
                <w:szCs w:val="1"/>
                <w:color w:val="auto"/>
              </w:rPr>
            </w:pPr>
          </w:p>
        </w:tc>
      </w:tr>
      <w:tr>
        <w:trPr>
          <w:trHeight w:val="209"/>
        </w:trPr>
        <w:tc>
          <w:tcPr>
            <w:tcW w:w="17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MW</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MW</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90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MW</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4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MW</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18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760" w:type="dxa"/>
            <w:vAlign w:val="bottom"/>
            <w:tcBorders>
              <w:bottom w:val="single" w:sz="8" w:color="auto"/>
            </w:tcBorders>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Paraguay</w:t>
            </w:r>
            <w:r>
              <w:rPr>
                <w:rFonts w:ascii="Times New Roman" w:cs="Times New Roman" w:eastAsia="Times New Roman" w:hAnsi="Times New Roman"/>
                <w:sz w:val="29"/>
                <w:szCs w:val="29"/>
                <w:color w:val="auto"/>
                <w:vertAlign w:val="superscript"/>
              </w:rPr>
              <w:t>5</w:t>
            </w:r>
          </w:p>
        </w:tc>
        <w:tc>
          <w:tcPr>
            <w:tcW w:w="1800" w:type="dxa"/>
            <w:vAlign w:val="bottom"/>
            <w:tcBorders>
              <w:bottom w:val="single" w:sz="8" w:color="auto"/>
            </w:tcBorders>
            <w:shd w:val="clear" w:color="auto" w:fill="CCEEFF"/>
          </w:tcPr>
          <w:p>
            <w:pPr>
              <w:spacing w:after="0"/>
              <w:rPr>
                <w:sz w:val="22"/>
                <w:szCs w:val="22"/>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7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MW</w:t>
            </w:r>
          </w:p>
        </w:tc>
        <w:tc>
          <w:tcPr>
            <w:tcW w:w="4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40" w:type="dxa"/>
            <w:vAlign w:val="bottom"/>
            <w:tcBorders>
              <w:bottom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MW</w:t>
            </w:r>
          </w:p>
        </w:tc>
        <w:tc>
          <w:tcPr>
            <w:tcW w:w="0" w:type="dxa"/>
            <w:vAlign w:val="bottom"/>
          </w:tcPr>
          <w:p>
            <w:pPr>
              <w:spacing w:after="0"/>
              <w:rPr>
                <w:sz w:val="1"/>
                <w:szCs w:val="1"/>
                <w:color w:val="auto"/>
              </w:rPr>
            </w:pPr>
          </w:p>
        </w:tc>
      </w:tr>
      <w:tr>
        <w:trPr>
          <w:trHeight w:val="217"/>
        </w:trPr>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2"/>
          </w:tcPr>
          <w:p>
            <w:pPr>
              <w:ind w:left="1580"/>
              <w:spacing w:after="0"/>
              <w:rPr>
                <w:sz w:val="20"/>
                <w:szCs w:val="20"/>
                <w:color w:val="auto"/>
              </w:rPr>
            </w:pPr>
            <w:r>
              <w:rPr>
                <w:rFonts w:ascii="Times New Roman" w:cs="Times New Roman" w:eastAsia="Times New Roman" w:hAnsi="Times New Roman"/>
                <w:sz w:val="18"/>
                <w:szCs w:val="18"/>
                <w:b w:val="1"/>
                <w:bCs w:val="1"/>
                <w:color w:val="auto"/>
              </w:rPr>
              <w:t>411MW</w:t>
            </w:r>
          </w:p>
        </w:tc>
        <w:tc>
          <w:tcPr>
            <w:tcW w:w="4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440MW</w:t>
            </w:r>
          </w:p>
        </w:tc>
        <w:tc>
          <w:tcPr>
            <w:tcW w:w="4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1,360MW</w:t>
            </w:r>
          </w:p>
        </w:tc>
        <w:tc>
          <w:tcPr>
            <w:tcW w:w="12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2,211MW</w:t>
            </w:r>
          </w:p>
        </w:tc>
        <w:tc>
          <w:tcPr>
            <w:tcW w:w="0" w:type="dxa"/>
            <w:vAlign w:val="bottom"/>
          </w:tcPr>
          <w:p>
            <w:pPr>
              <w:spacing w:after="0"/>
              <w:rPr>
                <w:sz w:val="1"/>
                <w:szCs w:val="1"/>
                <w:color w:val="auto"/>
              </w:rPr>
            </w:pPr>
          </w:p>
        </w:tc>
      </w:tr>
      <w:tr>
        <w:trPr>
          <w:trHeight w:val="216"/>
        </w:trPr>
        <w:tc>
          <w:tcPr>
            <w:tcW w:w="17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Bitcoin data</w:t>
            </w:r>
          </w:p>
        </w:tc>
        <w:tc>
          <w:tcPr>
            <w:tcW w:w="18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Secured</w:t>
            </w:r>
          </w:p>
        </w:tc>
        <w:tc>
          <w:tcPr>
            <w:tcW w:w="740" w:type="dxa"/>
            <w:vAlign w:val="bottom"/>
          </w:tcPr>
          <w:p>
            <w:pPr>
              <w:spacing w:after="0"/>
              <w:rPr>
                <w:sz w:val="16"/>
                <w:szCs w:val="16"/>
                <w:color w:val="auto"/>
              </w:rPr>
            </w:pPr>
          </w:p>
        </w:tc>
        <w:tc>
          <w:tcPr>
            <w:tcW w:w="900" w:type="dxa"/>
            <w:vAlign w:val="bottom"/>
            <w:gridSpan w:val="2"/>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Capacity</w:t>
            </w: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760" w:type="dxa"/>
            <w:vAlign w:val="bottom"/>
            <w:vMerge w:val="continue"/>
          </w:tcPr>
          <w:p>
            <w:pPr>
              <w:spacing w:after="0"/>
              <w:rPr>
                <w:sz w:val="16"/>
                <w:szCs w:val="16"/>
                <w:color w:val="auto"/>
              </w:rPr>
            </w:pPr>
          </w:p>
        </w:tc>
        <w:tc>
          <w:tcPr>
            <w:tcW w:w="1800" w:type="dxa"/>
            <w:vAlign w:val="bottom"/>
          </w:tcPr>
          <w:p>
            <w:pPr>
              <w:ind w:left="580"/>
              <w:spacing w:after="0" w:line="184" w:lineRule="exact"/>
              <w:rPr>
                <w:sz w:val="20"/>
                <w:szCs w:val="20"/>
                <w:color w:val="auto"/>
              </w:rPr>
            </w:pPr>
            <w:r>
              <w:rPr>
                <w:rFonts w:ascii="Times New Roman" w:cs="Times New Roman" w:eastAsia="Times New Roman" w:hAnsi="Times New Roman"/>
                <w:sz w:val="18"/>
                <w:szCs w:val="18"/>
                <w:b w:val="1"/>
                <w:bCs w:val="1"/>
                <w:color w:val="auto"/>
              </w:rPr>
              <w:t>State/</w:t>
            </w:r>
          </w:p>
        </w:tc>
        <w:tc>
          <w:tcPr>
            <w:tcW w:w="1920" w:type="dxa"/>
            <w:vAlign w:val="bottom"/>
          </w:tcPr>
          <w:p>
            <w:pPr>
              <w:spacing w:after="0"/>
              <w:rPr>
                <w:sz w:val="16"/>
                <w:szCs w:val="16"/>
                <w:color w:val="auto"/>
              </w:rPr>
            </w:pPr>
          </w:p>
        </w:tc>
        <w:tc>
          <w:tcPr>
            <w:tcW w:w="1160" w:type="dxa"/>
            <w:vAlign w:val="bottom"/>
            <w:gridSpan w:val="2"/>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rPr>
              <w:t>Energized</w:t>
            </w:r>
          </w:p>
        </w:tc>
        <w:tc>
          <w:tcPr>
            <w:tcW w:w="760" w:type="dxa"/>
            <w:vAlign w:val="bottom"/>
          </w:tcPr>
          <w:p>
            <w:pPr>
              <w:spacing w:after="0"/>
              <w:rPr>
                <w:sz w:val="16"/>
                <w:szCs w:val="16"/>
                <w:color w:val="auto"/>
              </w:rPr>
            </w:pPr>
          </w:p>
        </w:tc>
        <w:tc>
          <w:tcPr>
            <w:tcW w:w="960" w:type="dxa"/>
            <w:vAlign w:val="bottom"/>
            <w:gridSpan w:val="2"/>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rPr>
              <w:t>contracted</w:t>
            </w: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ind w:right="11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under</w:t>
            </w:r>
          </w:p>
        </w:tc>
        <w:tc>
          <w:tcPr>
            <w:tcW w:w="800" w:type="dxa"/>
            <w:vAlign w:val="bottom"/>
          </w:tcPr>
          <w:p>
            <w:pPr>
              <w:spacing w:after="0"/>
              <w:rPr>
                <w:sz w:val="16"/>
                <w:szCs w:val="16"/>
                <w:color w:val="auto"/>
              </w:rPr>
            </w:pPr>
          </w:p>
        </w:tc>
        <w:tc>
          <w:tcPr>
            <w:tcW w:w="4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70"/>
        </w:trPr>
        <w:tc>
          <w:tcPr>
            <w:tcW w:w="1760" w:type="dxa"/>
            <w:vAlign w:val="bottom"/>
            <w:tcBorders>
              <w:bottom w:val="single" w:sz="8" w:color="auto"/>
            </w:tcBorders>
          </w:tcPr>
          <w:p>
            <w:pPr>
              <w:spacing w:after="0" w:line="270" w:lineRule="exact"/>
              <w:rPr>
                <w:sz w:val="20"/>
                <w:szCs w:val="20"/>
                <w:color w:val="auto"/>
              </w:rPr>
            </w:pPr>
            <w:r>
              <w:rPr>
                <w:rFonts w:ascii="Times New Roman" w:cs="Times New Roman" w:eastAsia="Times New Roman" w:hAnsi="Times New Roman"/>
                <w:sz w:val="18"/>
                <w:szCs w:val="18"/>
                <w:b w:val="1"/>
                <w:bCs w:val="1"/>
                <w:color w:val="auto"/>
              </w:rPr>
              <w:t>centers</w:t>
            </w:r>
            <w:r>
              <w:rPr>
                <w:rFonts w:ascii="Times New Roman" w:cs="Times New Roman" w:eastAsia="Times New Roman" w:hAnsi="Times New Roman"/>
                <w:sz w:val="29"/>
                <w:szCs w:val="29"/>
                <w:b w:val="1"/>
                <w:bCs w:val="1"/>
                <w:color w:val="auto"/>
                <w:vertAlign w:val="superscript"/>
              </w:rPr>
              <w:t>1</w:t>
            </w:r>
          </w:p>
        </w:tc>
        <w:tc>
          <w:tcPr>
            <w:tcW w:w="18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Province</w:t>
            </w:r>
          </w:p>
        </w:tc>
        <w:tc>
          <w:tcPr>
            <w:tcW w:w="19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growth capacity</w:t>
            </w:r>
          </w:p>
        </w:tc>
        <w:tc>
          <w:tcPr>
            <w:tcW w:w="16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application</w:t>
            </w: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pipeline</w:t>
            </w:r>
          </w:p>
        </w:tc>
        <w:tc>
          <w:tcPr>
            <w:tcW w:w="0" w:type="dxa"/>
            <w:vAlign w:val="bottom"/>
          </w:tcPr>
          <w:p>
            <w:pPr>
              <w:spacing w:after="0"/>
              <w:rPr>
                <w:sz w:val="1"/>
                <w:szCs w:val="1"/>
                <w:color w:val="auto"/>
              </w:rPr>
            </w:pPr>
          </w:p>
        </w:tc>
      </w:tr>
      <w:tr>
        <w:trPr>
          <w:trHeight w:val="210"/>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Bunker</w:t>
            </w:r>
          </w:p>
        </w:tc>
        <w:tc>
          <w:tcPr>
            <w:tcW w:w="18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Quebec</w:t>
            </w:r>
          </w:p>
        </w:tc>
        <w:tc>
          <w:tcPr>
            <w:tcW w:w="1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Canada</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MW</w:t>
            </w: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MW</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Leger</w:t>
            </w:r>
          </w:p>
        </w:tc>
        <w:tc>
          <w:tcPr>
            <w:tcW w:w="18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Quebec</w:t>
            </w:r>
          </w:p>
        </w:tc>
        <w:tc>
          <w:tcPr>
            <w:tcW w:w="1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Canada</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MW</w:t>
            </w:r>
          </w:p>
        </w:tc>
        <w:tc>
          <w:tcPr>
            <w:tcW w:w="76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6"/>
              </w:rPr>
              <w:t>MW</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Baie-Comeau</w:t>
            </w:r>
          </w:p>
        </w:tc>
        <w:tc>
          <w:tcPr>
            <w:tcW w:w="18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Quebec</w:t>
            </w:r>
          </w:p>
        </w:tc>
        <w:tc>
          <w:tcPr>
            <w:tcW w:w="1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Canada</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MW</w:t>
            </w: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MW</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Garlock</w:t>
            </w:r>
          </w:p>
        </w:tc>
        <w:tc>
          <w:tcPr>
            <w:tcW w:w="18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Quebec</w:t>
            </w:r>
          </w:p>
        </w:tc>
        <w:tc>
          <w:tcPr>
            <w:tcW w:w="1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Canada</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MW</w:t>
            </w:r>
          </w:p>
        </w:tc>
        <w:tc>
          <w:tcPr>
            <w:tcW w:w="76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6"/>
              </w:rPr>
              <w:t>MW</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Cowansville</w:t>
            </w:r>
          </w:p>
        </w:tc>
        <w:tc>
          <w:tcPr>
            <w:tcW w:w="18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Quebec</w:t>
            </w:r>
          </w:p>
        </w:tc>
        <w:tc>
          <w:tcPr>
            <w:tcW w:w="1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Canada</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MW</w:t>
            </w: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MW</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Saint-Hyacinthe</w:t>
            </w:r>
          </w:p>
        </w:tc>
        <w:tc>
          <w:tcPr>
            <w:tcW w:w="18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Quebec</w:t>
            </w:r>
          </w:p>
        </w:tc>
        <w:tc>
          <w:tcPr>
            <w:tcW w:w="1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Canada</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MW</w:t>
            </w:r>
          </w:p>
        </w:tc>
        <w:tc>
          <w:tcPr>
            <w:tcW w:w="76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6"/>
              </w:rPr>
              <w:t>MW</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Magog</w:t>
            </w:r>
          </w:p>
        </w:tc>
        <w:tc>
          <w:tcPr>
            <w:tcW w:w="18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Quebec</w:t>
            </w:r>
          </w:p>
        </w:tc>
        <w:tc>
          <w:tcPr>
            <w:tcW w:w="1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Canada</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MW</w:t>
            </w: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MW</w:t>
            </w:r>
          </w:p>
        </w:tc>
        <w:tc>
          <w:tcPr>
            <w:tcW w:w="0" w:type="dxa"/>
            <w:vAlign w:val="bottom"/>
          </w:tcPr>
          <w:p>
            <w:pPr>
              <w:spacing w:after="0"/>
              <w:rPr>
                <w:sz w:val="1"/>
                <w:szCs w:val="1"/>
                <w:color w:val="auto"/>
              </w:rPr>
            </w:pPr>
          </w:p>
        </w:tc>
      </w:tr>
      <w:tr>
        <w:trPr>
          <w:trHeight w:val="216"/>
        </w:trPr>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Farnham</w:t>
            </w:r>
          </w:p>
        </w:tc>
        <w:tc>
          <w:tcPr>
            <w:tcW w:w="18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Quebec</w:t>
            </w:r>
          </w:p>
        </w:tc>
        <w:tc>
          <w:tcPr>
            <w:tcW w:w="19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Canada</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MW</w:t>
            </w:r>
          </w:p>
        </w:tc>
        <w:tc>
          <w:tcPr>
            <w:tcW w:w="7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6"/>
              </w:rPr>
              <w:t>MW</w:t>
            </w:r>
          </w:p>
        </w:tc>
        <w:tc>
          <w:tcPr>
            <w:tcW w:w="0" w:type="dxa"/>
            <w:vAlign w:val="bottom"/>
          </w:tcPr>
          <w:p>
            <w:pPr>
              <w:spacing w:after="0"/>
              <w:rPr>
                <w:sz w:val="1"/>
                <w:szCs w:val="1"/>
                <w:color w:val="auto"/>
              </w:rPr>
            </w:pPr>
          </w:p>
        </w:tc>
      </w:tr>
      <w:tr>
        <w:trPr>
          <w:trHeight w:val="250"/>
        </w:trPr>
        <w:tc>
          <w:tcPr>
            <w:tcW w:w="176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Panther Creek</w:t>
            </w:r>
            <w:r>
              <w:rPr>
                <w:rFonts w:ascii="Times New Roman" w:cs="Times New Roman" w:eastAsia="Times New Roman" w:hAnsi="Times New Roman"/>
                <w:sz w:val="28"/>
                <w:szCs w:val="28"/>
                <w:color w:val="auto"/>
                <w:vertAlign w:val="superscript"/>
              </w:rPr>
              <w:t>3</w:t>
            </w:r>
          </w:p>
        </w:tc>
        <w:tc>
          <w:tcPr>
            <w:tcW w:w="18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Pennsylvania</w:t>
            </w:r>
          </w:p>
        </w:tc>
        <w:tc>
          <w:tcPr>
            <w:tcW w:w="1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United States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MW</w:t>
            </w:r>
          </w:p>
        </w:tc>
        <w:tc>
          <w:tcPr>
            <w:tcW w:w="76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350</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MW</w:t>
            </w: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60</w:t>
            </w:r>
          </w:p>
        </w:tc>
        <w:tc>
          <w:tcPr>
            <w:tcW w:w="6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MW</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4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MW</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Sharon</w:t>
            </w:r>
          </w:p>
        </w:tc>
        <w:tc>
          <w:tcPr>
            <w:tcW w:w="18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Pennsylvania</w:t>
            </w:r>
          </w:p>
        </w:tc>
        <w:tc>
          <w:tcPr>
            <w:tcW w:w="1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United States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MW</w:t>
            </w:r>
          </w:p>
        </w:tc>
        <w:tc>
          <w:tcPr>
            <w:tcW w:w="76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MW</w:t>
            </w:r>
          </w:p>
        </w:tc>
        <w:tc>
          <w:tcPr>
            <w:tcW w:w="7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6"/>
              </w:rPr>
              <w:t>MW</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Scrubgrass</w:t>
            </w:r>
          </w:p>
        </w:tc>
        <w:tc>
          <w:tcPr>
            <w:tcW w:w="18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Pennsylvania</w:t>
            </w:r>
          </w:p>
        </w:tc>
        <w:tc>
          <w:tcPr>
            <w:tcW w:w="1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United States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MW</w:t>
            </w: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6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MW</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4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MW</w:t>
            </w:r>
          </w:p>
        </w:tc>
        <w:tc>
          <w:tcPr>
            <w:tcW w:w="0" w:type="dxa"/>
            <w:vAlign w:val="bottom"/>
          </w:tcPr>
          <w:p>
            <w:pPr>
              <w:spacing w:after="0"/>
              <w:rPr>
                <w:sz w:val="1"/>
                <w:szCs w:val="1"/>
                <w:color w:val="auto"/>
              </w:rPr>
            </w:pPr>
          </w:p>
        </w:tc>
      </w:tr>
      <w:tr>
        <w:trPr>
          <w:trHeight w:val="216"/>
        </w:trPr>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Washington</w:t>
            </w:r>
          </w:p>
        </w:tc>
        <w:tc>
          <w:tcPr>
            <w:tcW w:w="18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Washington</w:t>
            </w:r>
          </w:p>
        </w:tc>
        <w:tc>
          <w:tcPr>
            <w:tcW w:w="19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United States</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MW</w:t>
            </w:r>
          </w:p>
        </w:tc>
        <w:tc>
          <w:tcPr>
            <w:tcW w:w="7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4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6"/>
              </w:rPr>
              <w:t>MW</w:t>
            </w:r>
          </w:p>
        </w:tc>
        <w:tc>
          <w:tcPr>
            <w:tcW w:w="0" w:type="dxa"/>
            <w:vAlign w:val="bottom"/>
          </w:tcPr>
          <w:p>
            <w:pPr>
              <w:spacing w:after="0"/>
              <w:rPr>
                <w:sz w:val="1"/>
                <w:szCs w:val="1"/>
                <w:color w:val="auto"/>
              </w:rPr>
            </w:pPr>
          </w:p>
        </w:tc>
      </w:tr>
      <w:tr>
        <w:trPr>
          <w:trHeight w:val="191"/>
        </w:trPr>
        <w:tc>
          <w:tcPr>
            <w:tcW w:w="1760" w:type="dxa"/>
            <w:vAlign w:val="bottom"/>
            <w:shd w:val="clear" w:color="auto" w:fill="CCEEFF"/>
          </w:tcPr>
          <w:p>
            <w:pPr>
              <w:spacing w:after="0"/>
              <w:rPr>
                <w:sz w:val="16"/>
                <w:szCs w:val="16"/>
                <w:color w:val="auto"/>
              </w:rPr>
            </w:pPr>
          </w:p>
        </w:tc>
        <w:tc>
          <w:tcPr>
            <w:tcW w:w="1800" w:type="dxa"/>
            <w:vAlign w:val="bottom"/>
            <w:shd w:val="clear" w:color="auto" w:fill="CCEEFF"/>
          </w:tcPr>
          <w:p>
            <w:pPr>
              <w:ind w:left="580"/>
              <w:spacing w:after="0" w:line="191" w:lineRule="exact"/>
              <w:rPr>
                <w:sz w:val="20"/>
                <w:szCs w:val="20"/>
                <w:color w:val="auto"/>
              </w:rPr>
            </w:pPr>
            <w:r>
              <w:rPr>
                <w:rFonts w:ascii="Times New Roman" w:cs="Times New Roman" w:eastAsia="Times New Roman" w:hAnsi="Times New Roman"/>
                <w:sz w:val="18"/>
                <w:szCs w:val="18"/>
                <w:color w:val="auto"/>
              </w:rPr>
              <w:t>Guaira</w:t>
            </w:r>
          </w:p>
        </w:tc>
        <w:tc>
          <w:tcPr>
            <w:tcW w:w="19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1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Paso Pe</w:t>
            </w:r>
          </w:p>
        </w:tc>
        <w:tc>
          <w:tcPr>
            <w:tcW w:w="180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Department</w:t>
            </w:r>
          </w:p>
        </w:tc>
        <w:tc>
          <w:tcPr>
            <w:tcW w:w="192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Paraguay</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MW</w:t>
            </w:r>
          </w:p>
        </w:tc>
        <w:tc>
          <w:tcPr>
            <w:tcW w:w="7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4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MW</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left="340" w:hanging="332"/>
        <w:spacing w:after="0" w:line="224" w:lineRule="auto"/>
        <w:tabs>
          <w:tab w:leader="none" w:pos="340" w:val="left"/>
        </w:tabs>
        <w:numPr>
          <w:ilvl w:val="0"/>
          <w:numId w:val="3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This data excludes the discontinued operations in Rio Cuarto, Argentina and in Paraguay. On May 12, 2025, the Company’s energy provider, Generación Mediterránea S.A. (“GMSA”), halted the supply of electricity to the Company’s Rio Cuarto Bitcoin data center with energized capacity of 58 MW. On August 11, 2025, three months after being informed that electricity supply was being halted and with no expected path forward to resume operations in the future, the decision was made to shut down the plant, which was abandoned as of September 30, 2025. Refer to Section 8 -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performance (Discontinued operations) </w:t>
      </w:r>
      <w:r>
        <w:rPr>
          <w:rFonts w:ascii="Times New Roman" w:cs="Times New Roman" w:eastAsia="Times New Roman" w:hAnsi="Times New Roman"/>
          <w:sz w:val="18"/>
          <w:szCs w:val="18"/>
          <w:color w:val="auto"/>
        </w:rPr>
        <w:t>and Section 18 -</w:t>
      </w:r>
      <w:r>
        <w:rPr>
          <w:rFonts w:ascii="Times New Roman" w:cs="Times New Roman" w:eastAsia="Times New Roman" w:hAnsi="Times New Roman"/>
          <w:sz w:val="18"/>
          <w:szCs w:val="18"/>
          <w:i w:val="1"/>
          <w:iCs w:val="1"/>
          <w:color w:val="auto"/>
        </w:rPr>
        <w:t xml:space="preserve"> Risk Factors (The Company’s operations in Rio Cuarto have been suspended due to a halt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-691515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its supply of electrical power on May 12, 2025) </w:t>
      </w:r>
      <w:r>
        <w:rPr>
          <w:rFonts w:ascii="Times New Roman" w:cs="Times New Roman" w:eastAsia="Times New Roman" w:hAnsi="Times New Roman"/>
          <w:sz w:val="18"/>
          <w:szCs w:val="18"/>
          <w:color w:val="auto"/>
        </w:rPr>
        <w:t>of this MD&amp;A.</w:t>
      </w:r>
    </w:p>
    <w:p>
      <w:pPr>
        <w:ind w:left="340" w:hanging="332"/>
        <w:spacing w:after="0" w:line="180" w:lineRule="auto"/>
        <w:tabs>
          <w:tab w:leader="none" w:pos="340" w:val="left"/>
        </w:tabs>
        <w:numPr>
          <w:ilvl w:val="0"/>
          <w:numId w:val="3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The Company has a hosting contract to operate 21 MW of Miners on behalf of a third party at the Panther Creek Bitcoin data center.</w:t>
      </w:r>
    </w:p>
    <w:p>
      <w:pPr>
        <w:ind w:left="340" w:hanging="332"/>
        <w:spacing w:after="0" w:line="180" w:lineRule="auto"/>
        <w:tabs>
          <w:tab w:leader="none" w:pos="340" w:val="left"/>
        </w:tabs>
        <w:numPr>
          <w:ilvl w:val="0"/>
          <w:numId w:val="4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 xml:space="preserve">Refer to Section 7 - </w:t>
      </w:r>
      <w:r>
        <w:rPr>
          <w:rFonts w:ascii="Times New Roman" w:cs="Times New Roman" w:eastAsia="Times New Roman" w:hAnsi="Times New Roman"/>
          <w:sz w:val="15"/>
          <w:szCs w:val="15"/>
          <w:i w:val="1"/>
          <w:iCs w:val="1"/>
          <w:color w:val="auto"/>
        </w:rPr>
        <w:t>HPC/AI Infrastructure and BTC Mining Expansion Projects</w:t>
      </w:r>
      <w:r>
        <w:rPr>
          <w:rFonts w:ascii="Times New Roman" w:cs="Times New Roman" w:eastAsia="Times New Roman" w:hAnsi="Times New Roman"/>
          <w:sz w:val="15"/>
          <w:szCs w:val="15"/>
          <w:color w:val="auto"/>
        </w:rPr>
        <w:t xml:space="preserve"> for details on the timing of the remaining MW not yet operational.</w:t>
      </w:r>
    </w:p>
    <w:p>
      <w:pPr>
        <w:spacing w:after="0" w:line="3" w:lineRule="exact"/>
        <w:rPr>
          <w:sz w:val="20"/>
          <w:szCs w:val="20"/>
          <w:color w:val="auto"/>
        </w:rPr>
      </w:pPr>
    </w:p>
    <w:p>
      <w:pPr>
        <w:ind w:left="340" w:hanging="332"/>
        <w:spacing w:after="0" w:line="187" w:lineRule="auto"/>
        <w:tabs>
          <w:tab w:leader="none" w:pos="340" w:val="left"/>
        </w:tabs>
        <w:numPr>
          <w:ilvl w:val="0"/>
          <w:numId w:val="4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Company has secured the rights for 10 MW of hydro-electricity in the province of Quebec, Canada and is continuing its efforts to search for economically viable properties for the available 10 MW of hydro-electricity.</w:t>
      </w:r>
    </w:p>
    <w:p>
      <w:pPr>
        <w:spacing w:after="0" w:line="1" w:lineRule="exact"/>
        <w:rPr>
          <w:sz w:val="20"/>
          <w:szCs w:val="20"/>
          <w:color w:val="auto"/>
        </w:rPr>
      </w:pPr>
    </w:p>
    <w:p>
      <w:pPr>
        <w:jc w:val="both"/>
        <w:ind w:left="340" w:hanging="332"/>
        <w:spacing w:after="0" w:line="204" w:lineRule="auto"/>
        <w:tabs>
          <w:tab w:leader="none" w:pos="340" w:val="left"/>
        </w:tabs>
        <w:numPr>
          <w:ilvl w:val="0"/>
          <w:numId w:val="4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As of September 30, 2025, the Paso Pe operations were classified as a disposal group held for sale, and all operations in Paraguay were designated as discontinued operations as the Company makes a strategic shift towards HPC/AI infrastructure in North America. Refer to Section 8 -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performance (Discontinued operations) </w:t>
      </w:r>
      <w:r>
        <w:rPr>
          <w:rFonts w:ascii="Times New Roman" w:cs="Times New Roman" w:eastAsia="Times New Roman" w:hAnsi="Times New Roman"/>
          <w:sz w:val="18"/>
          <w:szCs w:val="18"/>
          <w:color w:val="auto"/>
        </w:rPr>
        <w:t>of this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1803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10520"/>
        <w:spacing w:after="0"/>
        <w:tabs>
          <w:tab w:leader="none" w:pos="10840" w:val="left"/>
        </w:tabs>
        <w:rPr>
          <w:sz w:val="20"/>
          <w:szCs w:val="20"/>
          <w:color w:val="auto"/>
        </w:rPr>
      </w:pPr>
      <w:r>
        <w:rPr>
          <w:rFonts w:ascii="Times New Roman" w:cs="Times New Roman" w:eastAsia="Times New Roman" w:hAnsi="Times New Roman"/>
          <w:sz w:val="18"/>
          <w:szCs w:val="18"/>
          <w:color w:val="auto"/>
        </w:rPr>
        <w:t>5</w:t>
        <w:tab/>
        <w:t>Page</w:t>
      </w:r>
    </w:p>
    <w:p>
      <w:pPr>
        <w:sectPr>
          <w:pgSz w:w="11900" w:h="16838" w:orient="portrait"/>
          <w:cols w:equalWidth="0" w:num="1">
            <w:col w:w="11240"/>
          </w:cols>
          <w:pgMar w:left="320" w:top="92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398"/>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FINANCIAL HIGHLIGHTS FROM CONTINUING OPERATIONS</w:t>
            </w:r>
            <w:r>
              <w:rPr>
                <w:rFonts w:ascii="Times New Roman" w:cs="Times New Roman" w:eastAsia="Times New Roman" w:hAnsi="Times New Roman"/>
                <w:sz w:val="29"/>
                <w:szCs w:val="29"/>
                <w:b w:val="1"/>
                <w:bCs w:val="1"/>
                <w:color w:val="auto"/>
                <w:vertAlign w:val="superscript"/>
              </w:rPr>
              <w:t>1</w:t>
            </w:r>
          </w:p>
        </w:tc>
        <w:tc>
          <w:tcPr>
            <w:tcW w:w="1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87"/>
        </w:trPr>
        <w:tc>
          <w:tcPr>
            <w:tcW w:w="5840" w:type="dxa"/>
            <w:vAlign w:val="bottom"/>
          </w:tcPr>
          <w:p>
            <w:pPr>
              <w:spacing w:after="0"/>
              <w:rPr>
                <w:sz w:val="24"/>
                <w:szCs w:val="24"/>
                <w:color w:val="auto"/>
              </w:rPr>
            </w:pPr>
          </w:p>
        </w:tc>
        <w:tc>
          <w:tcPr>
            <w:tcW w:w="278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2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8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r>
      <w:tr>
        <w:trPr>
          <w:trHeight w:val="210"/>
        </w:trPr>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16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176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68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69,245</w:t>
            </w:r>
          </w:p>
        </w:tc>
        <w:tc>
          <w:tcPr>
            <w:tcW w:w="11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27,072</w:t>
            </w:r>
          </w:p>
        </w:tc>
        <w:tc>
          <w:tcPr>
            <w:tcW w:w="17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179,050</w:t>
            </w: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95,522</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Gross loss</w:t>
            </w:r>
          </w:p>
        </w:tc>
        <w:tc>
          <w:tcPr>
            <w:tcW w:w="16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(2,882)</w:t>
            </w: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(2,000)</w:t>
            </w:r>
          </w:p>
        </w:tc>
        <w:tc>
          <w:tcPr>
            <w:tcW w:w="176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(2,634)</w:t>
            </w: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(21,953)</w:t>
            </w:r>
          </w:p>
        </w:tc>
      </w:tr>
      <w:tr>
        <w:trPr>
          <w:trHeight w:val="257"/>
        </w:trPr>
        <w:tc>
          <w:tcPr>
            <w:tcW w:w="58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margin </w:t>
            </w:r>
            <w:r>
              <w:rPr>
                <w:rFonts w:ascii="Times New Roman" w:cs="Times New Roman" w:eastAsia="Times New Roman" w:hAnsi="Times New Roman"/>
                <w:sz w:val="29"/>
                <w:szCs w:val="29"/>
                <w:color w:val="auto"/>
                <w:vertAlign w:val="superscript"/>
              </w:rPr>
              <w:t>(2)</w:t>
            </w:r>
          </w:p>
        </w:tc>
        <w:tc>
          <w:tcPr>
            <w:tcW w:w="16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(4)%</w:t>
            </w:r>
          </w:p>
        </w:tc>
        <w:tc>
          <w:tcPr>
            <w:tcW w:w="1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w:t>
            </w:r>
          </w:p>
        </w:tc>
        <w:tc>
          <w:tcPr>
            <w:tcW w:w="17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6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(28,956)</w:t>
            </w: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(30,950)</w:t>
            </w:r>
          </w:p>
        </w:tc>
        <w:tc>
          <w:tcPr>
            <w:tcW w:w="176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(58,513)</w:t>
            </w: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(73,289)</w:t>
            </w:r>
          </w:p>
        </w:tc>
      </w:tr>
      <w:tr>
        <w:trPr>
          <w:trHeight w:val="257"/>
        </w:trPr>
        <w:tc>
          <w:tcPr>
            <w:tcW w:w="5840" w:type="dxa"/>
            <w:vAlign w:val="bottom"/>
            <w:tcBorders>
              <w:bottom w:val="single" w:sz="8" w:color="auto"/>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Operating margin </w:t>
            </w:r>
            <w:r>
              <w:rPr>
                <w:rFonts w:ascii="Times New Roman" w:cs="Times New Roman" w:eastAsia="Times New Roman" w:hAnsi="Times New Roman"/>
                <w:sz w:val="29"/>
                <w:szCs w:val="29"/>
                <w:color w:val="auto"/>
                <w:vertAlign w:val="superscript"/>
              </w:rPr>
              <w:t>(2)</w:t>
            </w:r>
          </w:p>
        </w:tc>
        <w:tc>
          <w:tcPr>
            <w:tcW w:w="16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(42)%</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(114)%</w:t>
            </w:r>
          </w:p>
        </w:tc>
        <w:tc>
          <w:tcPr>
            <w:tcW w:w="17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(33)%</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0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16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(46,258)</w:t>
            </w: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(23,984)</w:t>
            </w:r>
          </w:p>
        </w:tc>
        <w:tc>
          <w:tcPr>
            <w:tcW w:w="176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(68,635)</w:t>
            </w: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(52,485)</w:t>
            </w:r>
          </w:p>
        </w:tc>
      </w:tr>
      <w:tr>
        <w:trPr>
          <w:trHeight w:val="216"/>
        </w:trPr>
        <w:tc>
          <w:tcPr>
            <w:tcW w:w="5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168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(34,511)</w:t>
            </w:r>
          </w:p>
        </w:tc>
        <w:tc>
          <w:tcPr>
            <w:tcW w:w="11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(12,665)</w:t>
            </w:r>
          </w:p>
        </w:tc>
        <w:tc>
          <w:tcPr>
            <w:tcW w:w="176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(74,734)</w:t>
            </w: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(16,743)</w:t>
            </w:r>
          </w:p>
        </w:tc>
      </w:tr>
      <w:tr>
        <w:trPr>
          <w:trHeight w:val="209"/>
        </w:trPr>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6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(80,769)</w:t>
            </w:r>
          </w:p>
        </w:tc>
        <w:tc>
          <w:tcPr>
            <w:tcW w:w="1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(36,649)</w:t>
            </w:r>
          </w:p>
        </w:tc>
        <w:tc>
          <w:tcPr>
            <w:tcW w:w="17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(143,369)</w:t>
            </w:r>
          </w:p>
        </w:tc>
        <w:tc>
          <w:tcPr>
            <w:tcW w:w="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(69,228)</w:t>
            </w:r>
          </w:p>
        </w:tc>
      </w:tr>
      <w:tr>
        <w:trPr>
          <w:trHeight w:val="209"/>
        </w:trPr>
        <w:tc>
          <w:tcPr>
            <w:tcW w:w="58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loss per share from continuing operations</w:t>
            </w:r>
          </w:p>
        </w:tc>
        <w:tc>
          <w:tcPr>
            <w:tcW w:w="16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(0.08)</w:t>
            </w: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(0.05)</w:t>
            </w:r>
          </w:p>
        </w:tc>
        <w:tc>
          <w:tcPr>
            <w:tcW w:w="176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(0.13)</w:t>
            </w: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(0.13)</w:t>
            </w:r>
          </w:p>
        </w:tc>
      </w:tr>
      <w:tr>
        <w:trPr>
          <w:trHeight w:val="256"/>
        </w:trPr>
        <w:tc>
          <w:tcPr>
            <w:tcW w:w="58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Mining profit </w:t>
            </w:r>
            <w:r>
              <w:rPr>
                <w:rFonts w:ascii="Times New Roman" w:cs="Times New Roman" w:eastAsia="Times New Roman" w:hAnsi="Times New Roman"/>
                <w:sz w:val="29"/>
                <w:szCs w:val="29"/>
                <w:color w:val="auto"/>
                <w:vertAlign w:val="superscript"/>
              </w:rPr>
              <w:t>(3)</w:t>
            </w:r>
          </w:p>
        </w:tc>
        <w:tc>
          <w:tcPr>
            <w:tcW w:w="168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21,091</w:t>
            </w:r>
          </w:p>
        </w:tc>
        <w:tc>
          <w:tcPr>
            <w:tcW w:w="11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11,242</w:t>
            </w:r>
          </w:p>
        </w:tc>
        <w:tc>
          <w:tcPr>
            <w:tcW w:w="17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68,936</w:t>
            </w: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47,223</w:t>
            </w:r>
          </w:p>
        </w:tc>
      </w:tr>
      <w:tr>
        <w:trPr>
          <w:trHeight w:val="257"/>
        </w:trPr>
        <w:tc>
          <w:tcPr>
            <w:tcW w:w="58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Mining margin </w:t>
            </w:r>
            <w:r>
              <w:rPr>
                <w:rFonts w:ascii="Times New Roman" w:cs="Times New Roman" w:eastAsia="Times New Roman" w:hAnsi="Times New Roman"/>
                <w:sz w:val="29"/>
                <w:szCs w:val="29"/>
                <w:color w:val="auto"/>
                <w:vertAlign w:val="superscript"/>
              </w:rPr>
              <w:t>(3)</w:t>
            </w:r>
          </w:p>
        </w:tc>
        <w:tc>
          <w:tcPr>
            <w:tcW w:w="16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35%</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44%</w:t>
            </w:r>
          </w:p>
        </w:tc>
        <w:tc>
          <w:tcPr>
            <w:tcW w:w="17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43%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57"/>
        </w:trPr>
        <w:tc>
          <w:tcPr>
            <w:tcW w:w="58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9"/>
                <w:szCs w:val="29"/>
                <w:color w:val="auto"/>
                <w:vertAlign w:val="superscript"/>
              </w:rPr>
              <w:t>(3)</w:t>
            </w:r>
          </w:p>
        </w:tc>
        <w:tc>
          <w:tcPr>
            <w:tcW w:w="168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19,563</w:t>
            </w:r>
          </w:p>
        </w:tc>
        <w:tc>
          <w:tcPr>
            <w:tcW w:w="11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2,198</w:t>
            </w:r>
          </w:p>
        </w:tc>
        <w:tc>
          <w:tcPr>
            <w:tcW w:w="17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38,538</w:t>
            </w: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23,845</w:t>
            </w:r>
          </w:p>
        </w:tc>
      </w:tr>
      <w:tr>
        <w:trPr>
          <w:trHeight w:val="257"/>
        </w:trPr>
        <w:tc>
          <w:tcPr>
            <w:tcW w:w="5840" w:type="dxa"/>
            <w:vAlign w:val="bottom"/>
            <w:tcBorders>
              <w:bottom w:val="single" w:sz="8" w:color="auto"/>
            </w:tcBorders>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Adjusted EBITDA margin </w:t>
            </w:r>
            <w:r>
              <w:rPr>
                <w:rFonts w:ascii="Times New Roman" w:cs="Times New Roman" w:eastAsia="Times New Roman" w:hAnsi="Times New Roman"/>
                <w:sz w:val="29"/>
                <w:szCs w:val="29"/>
                <w:color w:val="auto"/>
                <w:vertAlign w:val="superscript"/>
              </w:rPr>
              <w:t>(3)</w:t>
            </w:r>
          </w:p>
        </w:tc>
        <w:tc>
          <w:tcPr>
            <w:tcW w:w="16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28%</w:t>
            </w:r>
          </w:p>
        </w:tc>
        <w:tc>
          <w:tcPr>
            <w:tcW w:w="11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8%</w:t>
            </w:r>
          </w:p>
        </w:tc>
        <w:tc>
          <w:tcPr>
            <w:tcW w:w="17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22%</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52"/>
        </w:trPr>
        <w:tc>
          <w:tcPr>
            <w:tcW w:w="58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xml:space="preserve">As of September 30,  </w:t>
            </w:r>
            <w:r>
              <w:rPr>
                <w:rFonts w:ascii="Times New Roman" w:cs="Times New Roman" w:eastAsia="Times New Roman" w:hAnsi="Times New Roman"/>
                <w:sz w:val="18"/>
                <w:szCs w:val="18"/>
                <w:color w:val="auto"/>
              </w:rPr>
              <w:t>As of December 31,</w:t>
            </w:r>
          </w:p>
        </w:tc>
      </w:tr>
      <w:tr>
        <w:trPr>
          <w:trHeight w:val="210"/>
        </w:trPr>
        <w:tc>
          <w:tcPr>
            <w:tcW w:w="58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801,279</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667,616</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Current financial liabilities</w:t>
            </w:r>
          </w:p>
        </w:tc>
        <w:tc>
          <w:tcPr>
            <w:tcW w:w="1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6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81,453</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30,445</w:t>
            </w:r>
          </w:p>
        </w:tc>
      </w:tr>
      <w:tr>
        <w:trPr>
          <w:trHeight w:val="223"/>
        </w:trPr>
        <w:tc>
          <w:tcPr>
            <w:tcW w:w="5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financial liabilities</w:t>
            </w:r>
          </w:p>
        </w:tc>
        <w:tc>
          <w:tcPr>
            <w:tcW w:w="16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50,843</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not been any distributions or cash dividends declared for the periods disclosed above.</w:t>
      </w:r>
    </w:p>
    <w:p>
      <w:pPr>
        <w:spacing w:after="0" w:line="239" w:lineRule="exact"/>
        <w:rPr>
          <w:sz w:val="20"/>
          <w:szCs w:val="20"/>
          <w:color w:val="auto"/>
        </w:rPr>
      </w:pPr>
    </w:p>
    <w:p>
      <w:pPr>
        <w:jc w:val="both"/>
        <w:ind w:left="340" w:hanging="332"/>
        <w:spacing w:after="0" w:line="210" w:lineRule="auto"/>
        <w:tabs>
          <w:tab w:leader="none" w:pos="340" w:val="left"/>
        </w:tabs>
        <w:numPr>
          <w:ilvl w:val="0"/>
          <w:numId w:val="4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Discontinued operations refer to the operations in Rio Cuarto, Argentina, which have been abandoned due to the halting of the energy supply since May 12, 2025 and economic uncertainty in the region, and to the Paso Pe, Paraguay, operations that met the criteria to be classified as held for sale as the Company makes a strategic shift towards HPC/AI infrastructure in North America. Refer to Sections 8 - </w:t>
      </w:r>
      <w:r>
        <w:rPr>
          <w:rFonts w:ascii="Times New Roman" w:cs="Times New Roman" w:eastAsia="Times New Roman" w:hAnsi="Times New Roman"/>
          <w:sz w:val="18"/>
          <w:szCs w:val="18"/>
          <w:i w:val="1"/>
          <w:iCs w:val="1"/>
          <w:color w:val="auto"/>
        </w:rPr>
        <w:t>Financial performance (Discontinued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340" w:right="20"/>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operations) </w:t>
      </w:r>
      <w:r>
        <w:rPr>
          <w:rFonts w:ascii="Times New Roman" w:cs="Times New Roman" w:eastAsia="Times New Roman" w:hAnsi="Times New Roman"/>
          <w:sz w:val="18"/>
          <w:szCs w:val="18"/>
          <w:color w:val="auto"/>
        </w:rPr>
        <w:t>and 18 -</w:t>
      </w:r>
      <w:r>
        <w:rPr>
          <w:rFonts w:ascii="Times New Roman" w:cs="Times New Roman" w:eastAsia="Times New Roman" w:hAnsi="Times New Roman"/>
          <w:sz w:val="18"/>
          <w:szCs w:val="18"/>
          <w:i w:val="1"/>
          <w:iCs w:val="1"/>
          <w:color w:val="auto"/>
        </w:rPr>
        <w:t xml:space="preserve"> Risk Factors (The Company’s operations in Rio Cuarto have been suspended due to a halt in its supply of electrical power on May 12, 2025) </w:t>
      </w:r>
      <w:r>
        <w:rPr>
          <w:rFonts w:ascii="Times New Roman" w:cs="Times New Roman" w:eastAsia="Times New Roman" w:hAnsi="Times New Roman"/>
          <w:sz w:val="18"/>
          <w:szCs w:val="18"/>
          <w:color w:val="auto"/>
        </w:rPr>
        <w:t>of this MD&amp;A.</w:t>
      </w:r>
    </w:p>
    <w:p>
      <w:pPr>
        <w:ind w:left="340" w:hanging="332"/>
        <w:spacing w:after="0" w:line="180" w:lineRule="auto"/>
        <w:tabs>
          <w:tab w:leader="none" w:pos="340" w:val="left"/>
        </w:tabs>
        <w:numPr>
          <w:ilvl w:val="0"/>
          <w:numId w:val="4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 xml:space="preserve">Gross margin and Operating margin are supplemental financial ratios; refer to Section 10 - </w:t>
      </w:r>
      <w:r>
        <w:rPr>
          <w:rFonts w:ascii="Times New Roman" w:cs="Times New Roman" w:eastAsia="Times New Roman" w:hAnsi="Times New Roman"/>
          <w:sz w:val="15"/>
          <w:szCs w:val="15"/>
          <w:i w:val="1"/>
          <w:iCs w:val="1"/>
          <w:color w:val="auto"/>
        </w:rPr>
        <w:t>Non-IFRS and Other Financial Measures and Ratios</w:t>
      </w:r>
      <w:r>
        <w:rPr>
          <w:rFonts w:ascii="Times New Roman" w:cs="Times New Roman" w:eastAsia="Times New Roman" w:hAnsi="Times New Roman"/>
          <w:sz w:val="15"/>
          <w:szCs w:val="15"/>
          <w:color w:val="auto"/>
        </w:rPr>
        <w:t>.</w:t>
      </w:r>
    </w:p>
    <w:p>
      <w:pPr>
        <w:spacing w:after="0" w:line="3" w:lineRule="exact"/>
        <w:rPr>
          <w:sz w:val="20"/>
          <w:szCs w:val="20"/>
          <w:color w:val="auto"/>
        </w:rPr>
      </w:pPr>
    </w:p>
    <w:p>
      <w:pPr>
        <w:ind w:left="340" w:hanging="332"/>
        <w:spacing w:after="0" w:line="187" w:lineRule="auto"/>
        <w:tabs>
          <w:tab w:leader="none" w:pos="340" w:val="left"/>
        </w:tabs>
        <w:numPr>
          <w:ilvl w:val="0"/>
          <w:numId w:val="4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Mining profit, Gross Mining margin, Adjusted EBITDA and Adjusted EBITDA margin are non-IFRS measures or ratios; refer to Section 10 -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1803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520"/>
        <w:spacing w:after="0"/>
        <w:tabs>
          <w:tab w:leader="none" w:pos="10840" w:val="left"/>
        </w:tabs>
        <w:rPr>
          <w:sz w:val="20"/>
          <w:szCs w:val="20"/>
          <w:color w:val="auto"/>
        </w:rPr>
      </w:pPr>
      <w:r>
        <w:rPr>
          <w:rFonts w:ascii="Times New Roman" w:cs="Times New Roman" w:eastAsia="Times New Roman" w:hAnsi="Times New Roman"/>
          <w:sz w:val="18"/>
          <w:szCs w:val="18"/>
          <w:color w:val="auto"/>
        </w:rPr>
        <w:t>6</w:t>
        <w:tab/>
        <w:t>Page</w:t>
      </w:r>
    </w:p>
    <w:p>
      <w:pPr>
        <w:sectPr>
          <w:pgSz w:w="11900" w:h="16838" w:orient="portrait"/>
          <w:cols w:equalWidth="0" w:num="1">
            <w:col w:w="11240"/>
          </w:cols>
          <w:pgMar w:left="320" w:top="92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THIRD QUARTER 2025 FINANCIAL RESULTS AND OPERATIONAL HIGHLIGHTS FROM CONTINUING OPERATIONS</w:t>
      </w:r>
      <w:r>
        <w:rPr>
          <w:rFonts w:ascii="Times New Roman" w:cs="Times New Roman" w:eastAsia="Times New Roman" w:hAnsi="Times New Roman"/>
          <w:sz w:val="29"/>
          <w:szCs w:val="29"/>
          <w:b w:val="1"/>
          <w:bCs w:val="1"/>
          <w:color w:val="auto"/>
          <w:vertAlign w:val="superscript"/>
        </w:rPr>
        <w:t>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w:t>
      </w:r>
    </w:p>
    <w:p>
      <w:pPr>
        <w:spacing w:after="0" w:line="31" w:lineRule="exact"/>
        <w:rPr>
          <w:sz w:val="20"/>
          <w:szCs w:val="20"/>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$69.2 million;</w:t>
      </w:r>
    </w:p>
    <w:p>
      <w:pPr>
        <w:spacing w:after="0" w:line="9" w:lineRule="exact"/>
        <w:rPr>
          <w:rFonts w:ascii="Times New Roman" w:cs="Times New Roman" w:eastAsia="Times New Roman" w:hAnsi="Times New Roman"/>
          <w:sz w:val="18"/>
          <w:szCs w:val="18"/>
          <w:color w:val="auto"/>
        </w:rPr>
      </w:pPr>
    </w:p>
    <w:p>
      <w:pPr>
        <w:ind w:left="340" w:hanging="332"/>
        <w:spacing w:after="0" w:line="183" w:lineRule="auto"/>
        <w:tabs>
          <w:tab w:leader="none" w:pos="340" w:val="left"/>
        </w:tabs>
        <w:numPr>
          <w:ilvl w:val="0"/>
          <w:numId w:val="46"/>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Gross Mining profit</w:t>
      </w:r>
      <w:r>
        <w:rPr>
          <w:rFonts w:ascii="Times New Roman" w:cs="Times New Roman" w:eastAsia="Times New Roman" w:hAnsi="Times New Roman"/>
          <w:sz w:val="27"/>
          <w:szCs w:val="27"/>
          <w:color w:val="auto"/>
          <w:vertAlign w:val="superscript"/>
        </w:rPr>
        <w:t>3</w:t>
      </w:r>
      <w:r>
        <w:rPr>
          <w:rFonts w:ascii="Times New Roman" w:cs="Times New Roman" w:eastAsia="Times New Roman" w:hAnsi="Times New Roman"/>
          <w:sz w:val="17"/>
          <w:szCs w:val="17"/>
          <w:color w:val="auto"/>
        </w:rPr>
        <w:t xml:space="preserve"> of $21.1 million (35% Gross Mining margin</w:t>
      </w:r>
      <w:r>
        <w:rPr>
          <w:rFonts w:ascii="Times New Roman" w:cs="Times New Roman" w:eastAsia="Times New Roman" w:hAnsi="Times New Roman"/>
          <w:sz w:val="27"/>
          <w:szCs w:val="27"/>
          <w:color w:val="auto"/>
          <w:vertAlign w:val="superscript"/>
        </w:rPr>
        <w:t>3</w:t>
      </w:r>
      <w:r>
        <w:rPr>
          <w:rFonts w:ascii="Times New Roman" w:cs="Times New Roman" w:eastAsia="Times New Roman" w:hAnsi="Times New Roman"/>
          <w:sz w:val="17"/>
          <w:szCs w:val="17"/>
          <w:color w:val="auto"/>
        </w:rPr>
        <w:t>);</w:t>
      </w:r>
    </w:p>
    <w:p>
      <w:pPr>
        <w:ind w:left="340" w:hanging="332"/>
        <w:spacing w:after="0" w:line="191" w:lineRule="auto"/>
        <w:tabs>
          <w:tab w:leader="none" w:pos="340" w:val="left"/>
        </w:tabs>
        <w:numPr>
          <w:ilvl w:val="0"/>
          <w:numId w:val="4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5"/>
          <w:szCs w:val="15"/>
          <w:color w:val="auto"/>
        </w:rPr>
        <w:t>Adjusted EBITDA</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5"/>
          <w:szCs w:val="15"/>
          <w:color w:val="auto"/>
        </w:rPr>
        <w:t xml:space="preserve"> of $19.6 million (28% Adjusted EBITDA margin</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5"/>
          <w:szCs w:val="15"/>
          <w:color w:val="auto"/>
        </w:rPr>
        <w:t>); and</w:t>
      </w:r>
    </w:p>
    <w:p>
      <w:pPr>
        <w:ind w:left="340" w:right="20" w:hanging="332"/>
        <w:spacing w:after="0" w:line="190" w:lineRule="auto"/>
        <w:tabs>
          <w:tab w:leader="none" w:pos="340" w:val="left"/>
        </w:tabs>
        <w:numPr>
          <w:ilvl w:val="0"/>
          <w:numId w:val="4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Gross loss of $2.9 million (Gross margin</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4%) including non-cash depreciation and amortization expense of $27.4 million, operating loss of $29.0 million (Operating margin</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of negative 42%) including an impairment loss of $9.1 million, and net loss of $46.3 million.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31" w:lineRule="exact"/>
        <w:rPr>
          <w:sz w:val="20"/>
          <w:szCs w:val="20"/>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Hashrate under Management remained consistent at 14.8 EH/s as of September 30, 2025 compared to June 30, 2025;</w:t>
      </w:r>
    </w:p>
    <w:p>
      <w:pPr>
        <w:spacing w:after="0" w:line="9" w:lineRule="exact"/>
        <w:rPr>
          <w:rFonts w:ascii="Times New Roman" w:cs="Times New Roman" w:eastAsia="Times New Roman" w:hAnsi="Times New Roman"/>
          <w:sz w:val="18"/>
          <w:szCs w:val="18"/>
          <w:color w:val="auto"/>
        </w:rPr>
      </w:pPr>
    </w:p>
    <w:p>
      <w:pPr>
        <w:ind w:left="340" w:right="20" w:hanging="332"/>
        <w:spacing w:after="0" w:line="182" w:lineRule="auto"/>
        <w:tabs>
          <w:tab w:leader="none" w:pos="340" w:val="left"/>
        </w:tabs>
        <w:numPr>
          <w:ilvl w:val="0"/>
          <w:numId w:val="4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Earned 520 BTC at an average direct cost of $48,200 per BTC</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or an average total cash cost of $82,400 per BTC</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and received 15 BTC through hosting revenue;</w:t>
      </w:r>
    </w:p>
    <w:p>
      <w:pPr>
        <w:spacing w:after="0" w:line="1" w:lineRule="exact"/>
        <w:rPr>
          <w:rFonts w:ascii="Times New Roman" w:cs="Times New Roman" w:eastAsia="Times New Roman" w:hAnsi="Times New Roman"/>
          <w:sz w:val="36"/>
          <w:szCs w:val="36"/>
          <w:color w:val="auto"/>
          <w:vertAlign w:val="superscript"/>
        </w:rPr>
      </w:pPr>
    </w:p>
    <w:p>
      <w:pPr>
        <w:ind w:left="340" w:hanging="332"/>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1,658 BTC, including 157 restricted BTC, valued at approximately $189.2 million as of September 30, 2025;</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185 BTC at an average price of $116,500 per BTC for total proceeds of $21.6 million, a portion of which was used to pay capital expenditures to support the Company’s growth and efficiency improvement objectives; and</w:t>
      </w:r>
    </w:p>
    <w:p>
      <w:pPr>
        <w:ind w:left="340" w:right="20" w:hanging="332"/>
        <w:spacing w:after="0" w:line="260"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realized and unrealized gain of $13.3 million on BTC option contracts. Total cash cost per BTC would be reduced to $55,200 after considering the realized gains and unrealized losses of BTC option contracts.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Share Buyback Program</w:t>
      </w:r>
    </w:p>
    <w:p>
      <w:pPr>
        <w:spacing w:after="0" w:line="31" w:lineRule="exact"/>
        <w:rPr>
          <w:sz w:val="20"/>
          <w:szCs w:val="20"/>
          <w:color w:val="auto"/>
        </w:rPr>
      </w:pPr>
    </w:p>
    <w:p>
      <w:pPr>
        <w:ind w:left="340" w:hanging="332"/>
        <w:spacing w:after="0" w:line="250"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Commenced a corporate share buyback program authorizing the Company to purchase up to 10% of the Company’s public float as of July 14, 2025; and</w:t>
      </w:r>
    </w:p>
    <w:p>
      <w:pPr>
        <w:ind w:left="340" w:hanging="332"/>
        <w:spacing w:after="0" w:line="260"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Repurchased 7,807,141 common shares for cancellation through the corporate share buyback program for net costs of $10.0 million at an average share price of approximately $1.27.</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Expansions</w:t>
      </w:r>
    </w:p>
    <w:p>
      <w:pPr>
        <w:spacing w:after="0" w:line="31" w:lineRule="exact"/>
        <w:rPr>
          <w:sz w:val="20"/>
          <w:szCs w:val="20"/>
          <w:color w:val="auto"/>
        </w:rPr>
      </w:pPr>
    </w:p>
    <w:p>
      <w:pPr>
        <w:ind w:left="340" w:right="20" w:hanging="332"/>
        <w:spacing w:after="0" w:line="260"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 partnership with T5 Data Centers, LLC (“T5”) to advance HPC/AI infrastructure projects at the Panther Creek campus in Pennsylvania, United States.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Divestitures</w:t>
      </w:r>
    </w:p>
    <w:p>
      <w:pPr>
        <w:spacing w:after="0" w:line="31" w:lineRule="exact"/>
        <w:rPr>
          <w:sz w:val="20"/>
          <w:szCs w:val="20"/>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Refocused its business from Latin American Mining to North America HPC/AI infrastructure projects;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Abandoned Argentina operations after the Rio Cuarto, Argentina Bitcoin data center lost its energy supply; and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Classified the Paso Pe, Paraguay Bitcoin data center as held for sale, reflecting the intention to exit the Paraguay Mining operations.</w:t>
      </w:r>
    </w:p>
    <w:p>
      <w:pPr>
        <w:spacing w:after="0" w:line="220" w:lineRule="exact"/>
        <w:rPr>
          <w:sz w:val="20"/>
          <w:szCs w:val="20"/>
          <w:color w:val="auto"/>
        </w:rPr>
      </w:pPr>
    </w:p>
    <w:p>
      <w:pPr>
        <w:jc w:val="both"/>
        <w:ind w:left="340" w:hanging="332"/>
        <w:spacing w:after="0" w:line="210" w:lineRule="auto"/>
        <w:tabs>
          <w:tab w:leader="none" w:pos="340" w:val="left"/>
        </w:tabs>
        <w:numPr>
          <w:ilvl w:val="0"/>
          <w:numId w:val="5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Excluding discontinued operations in Rio Cuarto, Argentina, which have been abandoned due to the halting of the energy supply since May 12, 2025 and economic uncertainty in the region, and in Paso Pe, Paraguay, which met the criteria to be classified as held for sale as the Company makes a strategic shift towards HPC/AI Infrastructure in North America. Refer to Sections 8 - </w:t>
      </w:r>
      <w:r>
        <w:rPr>
          <w:rFonts w:ascii="Times New Roman" w:cs="Times New Roman" w:eastAsia="Times New Roman" w:hAnsi="Times New Roman"/>
          <w:sz w:val="18"/>
          <w:szCs w:val="18"/>
          <w:i w:val="1"/>
          <w:iCs w:val="1"/>
          <w:color w:val="auto"/>
        </w:rPr>
        <w:t>Financial performance (Discontinued operations)</w:t>
      </w:r>
      <w:r>
        <w:rPr>
          <w:rFonts w:ascii="Times New Roman" w:cs="Times New Roman" w:eastAsia="Times New Roman" w:hAnsi="Times New Roman"/>
          <w:sz w:val="18"/>
          <w:szCs w:val="18"/>
          <w:color w:val="auto"/>
        </w:rPr>
        <w:t xml:space="preserve"> and 18 - </w:t>
      </w:r>
      <w:r>
        <w:rPr>
          <w:rFonts w:ascii="Times New Roman" w:cs="Times New Roman" w:eastAsia="Times New Roman" w:hAnsi="Times New Roman"/>
          <w:sz w:val="18"/>
          <w:szCs w:val="18"/>
          <w:i w:val="1"/>
          <w:iCs w:val="1"/>
          <w:color w:val="auto"/>
        </w:rPr>
        <w:t>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340"/>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Factors (The Company’s operations in Rio Cuarto have been suspended due to a halt in its supply of electrical power on May 12, 2025) </w:t>
      </w:r>
      <w:r>
        <w:rPr>
          <w:rFonts w:ascii="Times New Roman" w:cs="Times New Roman" w:eastAsia="Times New Roman" w:hAnsi="Times New Roman"/>
          <w:sz w:val="18"/>
          <w:szCs w:val="18"/>
          <w:color w:val="auto"/>
        </w:rPr>
        <w:t>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MD&amp;A.</w:t>
      </w:r>
    </w:p>
    <w:p>
      <w:pPr>
        <w:ind w:left="340" w:hanging="332"/>
        <w:spacing w:after="0" w:line="180" w:lineRule="auto"/>
        <w:tabs>
          <w:tab w:leader="none" w:pos="340" w:val="left"/>
        </w:tabs>
        <w:numPr>
          <w:ilvl w:val="0"/>
          <w:numId w:val="5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 xml:space="preserve">Gross margin and Operating margin are supplemental financial ratios; refer to Section 10 - </w:t>
      </w:r>
      <w:r>
        <w:rPr>
          <w:rFonts w:ascii="Times New Roman" w:cs="Times New Roman" w:eastAsia="Times New Roman" w:hAnsi="Times New Roman"/>
          <w:sz w:val="15"/>
          <w:szCs w:val="15"/>
          <w:i w:val="1"/>
          <w:iCs w:val="1"/>
          <w:color w:val="auto"/>
        </w:rPr>
        <w:t>Non-IFRS and Other Financial Measures and Ratios</w:t>
      </w:r>
      <w:r>
        <w:rPr>
          <w:rFonts w:ascii="Times New Roman" w:cs="Times New Roman" w:eastAsia="Times New Roman" w:hAnsi="Times New Roman"/>
          <w:sz w:val="15"/>
          <w:szCs w:val="15"/>
          <w:color w:val="auto"/>
        </w:rPr>
        <w:t>.</w:t>
      </w:r>
    </w:p>
    <w:p>
      <w:pPr>
        <w:spacing w:after="0" w:line="3" w:lineRule="exact"/>
        <w:rPr>
          <w:sz w:val="20"/>
          <w:szCs w:val="20"/>
          <w:color w:val="auto"/>
        </w:rPr>
      </w:pPr>
    </w:p>
    <w:p>
      <w:pPr>
        <w:ind w:left="340" w:hanging="332"/>
        <w:spacing w:after="0" w:line="187" w:lineRule="auto"/>
        <w:tabs>
          <w:tab w:leader="none" w:pos="340"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Mining profit, Gross Mining margin, Adjusted EBITDA, Adjusted EBITDA margin, Direct Cost per BTC and Total Cash Cost per BTC are non-IFRS measures or ratios; refer to Section 10 -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1803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520"/>
        <w:spacing w:after="0"/>
        <w:tabs>
          <w:tab w:leader="none" w:pos="10840" w:val="left"/>
        </w:tabs>
        <w:rPr>
          <w:sz w:val="20"/>
          <w:szCs w:val="20"/>
          <w:color w:val="auto"/>
        </w:rPr>
      </w:pPr>
      <w:r>
        <w:rPr>
          <w:rFonts w:ascii="Times New Roman" w:cs="Times New Roman" w:eastAsia="Times New Roman" w:hAnsi="Times New Roman"/>
          <w:sz w:val="18"/>
          <w:szCs w:val="18"/>
          <w:color w:val="auto"/>
        </w:rPr>
        <w:t>7</w:t>
        <w:tab/>
        <w:t>Page</w:t>
      </w:r>
    </w:p>
    <w:p>
      <w:pPr>
        <w:sectPr>
          <w:pgSz w:w="11900" w:h="16838" w:orient="portrait"/>
          <w:cols w:equalWidth="0" w:num="1">
            <w:col w:w="11240"/>
          </w:cols>
          <w:pgMar w:left="320" w:top="92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THIRD QUARTER 2025 FINANCIAL RESULTS AND OPERATIONAL HIGHLIGHTS FROM CONTINUING OPERATIONS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31" w:lineRule="exact"/>
        <w:rPr>
          <w:sz w:val="20"/>
          <w:szCs w:val="20"/>
          <w:color w:val="auto"/>
        </w:rPr>
      </w:pPr>
    </w:p>
    <w:p>
      <w:pPr>
        <w:ind w:left="340" w:hanging="332"/>
        <w:spacing w:after="0"/>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Wayne Duso as an independent director of the Board of Directors (the “Board”);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 second principal executive office in New York City, United States; and</w:t>
      </w:r>
    </w:p>
    <w:p>
      <w:pPr>
        <w:spacing w:after="0" w:line="9" w:lineRule="exact"/>
        <w:rPr>
          <w:rFonts w:ascii="Times New Roman" w:cs="Times New Roman" w:eastAsia="Times New Roman" w:hAnsi="Times New Roman"/>
          <w:sz w:val="18"/>
          <w:szCs w:val="18"/>
          <w:color w:val="auto"/>
        </w:rPr>
      </w:pPr>
    </w:p>
    <w:p>
      <w:pPr>
        <w:ind w:left="340" w:right="20" w:hanging="332"/>
        <w:spacing w:after="0" w:line="260"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Began the transition to reporting the Company’s financial statements according to U.S. Generally Accepted Accounting Principles which is expected to commence with the annual consolidated financial statements for the fiscal year ending December 31,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RECENT AND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2024 ATM Program</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period from October 1, 2025 to October 7, 2025, the Company issued 10,445,797 common shares through the 2024 ATM Program in exchange for gross proceeds of $35.8 million at an average share price of approximately $3.43. The Company received net proceeds of $34.7 million after paying commissions of $1.1 million to the sales agent. The 2024 ATM Program was terminated on October 7, 2025 after $375.0 million of gross proceeds was reached.</w:t>
      </w:r>
    </w:p>
    <w:p>
      <w:pPr>
        <w:spacing w:after="0" w:line="18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Convertible Senior Notes</w:t>
      </w:r>
    </w:p>
    <w:p>
      <w:pPr>
        <w:spacing w:after="0" w:line="31"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In October 2025, the Company issued $588.0 million aggregate principal amount of convertible senior notes (the “Convertible Notes”), which included the full exercise of the purchasers’ option to purchase up to an additional $88.0 million aggregate amount of Convertible Notes. The Convertible Notes are unsecured, bear interest at 1.375% per annum payable semi-annually and mature on January 15, 2031.</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October 15, 2030, the Convertible Notes may be converted only upon the occurrence of certain events. Thereafter, holders may convert their notes at any time until maturity. Upon conversion, the Company may settle the obligation in cash, common shares, or a combination of both, at its discretion. The initial conversion rate is 145.6876 common shares per $1,000 principal amount (equivalent to a conversion price of approximately $6.86 per share), representing a 30% premium over the $5.28 reference price (the last reported sale price per common share of Bitfarms on Nasdaq on October 16, 2025), subjected to adjustments upon the occurrence of certain events.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Convertible Notes are not redeemable prior to October 20, 2028, except in the event of certain changes in Canadian tax law. After that date, the Company may redeem the Convertible Notes, in whole or in part, for cash if the market price of its common shares exceeds 130% of the conversion price for a specified period. In the event of a fundamental change, holders may require the Company to repurchase their notes for cash.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proceeds from the offering were approximately $568.9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Capped call transactions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In October 2025, in connection with the Convertible notes, the Company entered into capped call transactions, with a cap price of $11.88 per share (representing a 125% premium over the reference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97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10520"/>
        <w:spacing w:after="0"/>
        <w:tabs>
          <w:tab w:leader="none" w:pos="10840" w:val="left"/>
        </w:tabs>
        <w:rPr>
          <w:sz w:val="20"/>
          <w:szCs w:val="20"/>
          <w:color w:val="auto"/>
        </w:rPr>
      </w:pPr>
      <w:r>
        <w:rPr>
          <w:rFonts w:ascii="Times New Roman" w:cs="Times New Roman" w:eastAsia="Times New Roman" w:hAnsi="Times New Roman"/>
          <w:sz w:val="18"/>
          <w:szCs w:val="18"/>
          <w:color w:val="auto"/>
        </w:rPr>
        <w:t>8</w:t>
        <w:tab/>
        <w:t>Page</w:t>
      </w:r>
    </w:p>
    <w:p>
      <w:pPr>
        <w:sectPr>
          <w:pgSz w:w="11900" w:h="16838" w:orient="portrait"/>
          <w:cols w:equalWidth="0" w:num="1">
            <w:col w:w="11240"/>
          </w:cols>
          <w:pgMar w:left="320" w:top="92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5. RECENT AND SUBSEQUENT EVENTS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Credit Facility with Macquarie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October 2025, the Company converted its Credit Facility with Macquarie as described in Note 18 to the Financial Statements to an up to $300.0 million project-specific financing facility for the development of its data center campus in Panther Creek, Pennsylvania, United States. The Company drew an additional $50.0 million from the converted facility, for a total of $100.0 million drawn and issued an additional 2,197,127 warrants with a strike price of $5.69 and a term of 5 years. As a result of the project-specific financing facility's requirements, the restricted cash balance increased from $25.0 million to $50.0 million.</w:t>
      </w:r>
    </w:p>
    <w:p>
      <w:pPr>
        <w:spacing w:after="0" w:line="18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Sharon Purchase of Leased Property</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October 2025, the Company acquired the property it was leasing in Sharon, Pennsylvania, from the landlord for a total consideration of $38.7 million consisting of $5.0 million in cash and $33.7 million worth of the Company's shares as at the date of the close. This resulted in the issuance of 8,500,000 shares of the Company to the seller.</w:t>
      </w:r>
    </w:p>
    <w:p>
      <w:pPr>
        <w:spacing w:after="0" w:line="182" w:lineRule="exact"/>
        <w:rPr>
          <w:sz w:val="20"/>
          <w:szCs w:val="20"/>
          <w:color w:val="auto"/>
        </w:rPr>
      </w:pPr>
    </w:p>
    <w:p>
      <w:pPr>
        <w:ind w:left="340" w:hanging="332"/>
        <w:spacing w:after="0"/>
        <w:tabs>
          <w:tab w:leader="none" w:pos="34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Redemption options of BTC</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October 2025, the Company exercised its option to redeem the fourth and last installment of the BTC pledged in relation to the purchase of Miners under the November 2024 Order. The Company redeemed 89 BTC for $8.3 million.</w:t>
      </w:r>
    </w:p>
    <w:p>
      <w:pPr>
        <w:spacing w:after="0" w:line="1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Also in November 2025, the Company exercised its option to redeem the third and fourth installments of the BTC pledged in relation to the purchase of Miners under the March 2025 Swap Order. The Company redeemed 14 BTC for $1.2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during October 2025, the Company exercised its option to redeem the first installment of the BTC pledged in relation to the purchase of Miners under the July 2025 Swap Order. The Company redeemed 14 BTC for $1.5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Commitment for HPC/AI Infrastructure Projects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2025, the Company entered into a purchase commitment of $128.7 million, payable over the next 12 months, for the development and expansion of HPC/AI infrastructure projects with a large publicly traded American multinational provider of critical infrastructure and services for data centers. Under the terms of the agreement, the provider will deliver a range of services that include engineering, project management assistance, procurement and manufacturing, site management support and factory acceptance testing, all contributing, in addition to other expenses, to the construction of a fully integrated 18 MW hybrid-built data center in Washington State,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97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10520"/>
        <w:spacing w:after="0"/>
        <w:tabs>
          <w:tab w:leader="none" w:pos="10840" w:val="left"/>
        </w:tabs>
        <w:rPr>
          <w:sz w:val="20"/>
          <w:szCs w:val="20"/>
          <w:color w:val="auto"/>
        </w:rPr>
      </w:pPr>
      <w:r>
        <w:rPr>
          <w:rFonts w:ascii="Times New Roman" w:cs="Times New Roman" w:eastAsia="Times New Roman" w:hAnsi="Times New Roman"/>
          <w:sz w:val="18"/>
          <w:szCs w:val="18"/>
          <w:color w:val="auto"/>
        </w:rPr>
        <w:t>9</w:t>
        <w:tab/>
        <w:t>Page</w:t>
      </w:r>
    </w:p>
    <w:p>
      <w:pPr>
        <w:sectPr>
          <w:pgSz w:w="11900" w:h="16838" w:orient="portrait"/>
          <w:cols w:equalWidth="0" w:num="1">
            <w:col w:w="11240"/>
          </w:cols>
          <w:pgMar w:left="320" w:top="92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PRODUCTION AND MINING OPERATIONS</w:t>
      </w:r>
      <w:r>
        <w:rPr>
          <w:rFonts w:ascii="Times New Roman" w:cs="Times New Roman" w:eastAsia="Times New Roman" w:hAnsi="Times New Roman"/>
          <w:sz w:val="29"/>
          <w:szCs w:val="29"/>
          <w:b w:val="1"/>
          <w:bCs w:val="1"/>
          <w:color w:val="auto"/>
          <w:vertAlign w:val="superscript"/>
        </w:rPr>
        <w:t>1</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tc>
        <w:tc>
          <w:tcPr>
            <w:tcW w:w="1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32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3"/>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74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09"/>
        </w:trPr>
        <w:tc>
          <w:tcPr>
            <w:tcW w:w="3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2024</w:t>
            </w:r>
          </w:p>
        </w:tc>
        <w:tc>
          <w:tcPr>
            <w:tcW w:w="15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 Change</w:t>
            </w: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2024</w:t>
            </w: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0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BTC earned</w:t>
            </w:r>
          </w:p>
        </w:tc>
        <w:tc>
          <w:tcPr>
            <w:tcW w:w="15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520</w:t>
            </w:r>
          </w:p>
        </w:tc>
        <w:tc>
          <w:tcPr>
            <w:tcW w:w="11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414</w:t>
            </w:r>
          </w:p>
        </w:tc>
        <w:tc>
          <w:tcPr>
            <w:tcW w:w="15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26%</w:t>
            </w:r>
          </w:p>
        </w:tc>
        <w:tc>
          <w:tcPr>
            <w:tcW w:w="13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1,570</w:t>
            </w:r>
          </w:p>
        </w:tc>
        <w:tc>
          <w:tcPr>
            <w:tcW w:w="11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1,562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BTC received through hosting revenue</w:t>
            </w:r>
          </w:p>
        </w:tc>
        <w:tc>
          <w:tcPr>
            <w:tcW w:w="15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15</w:t>
            </w:r>
          </w:p>
        </w:tc>
        <w:tc>
          <w:tcPr>
            <w:tcW w:w="11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100%</w:t>
            </w: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36</w:t>
            </w: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Watts/Average TH efficiency*</w:t>
            </w:r>
          </w:p>
        </w:tc>
        <w:tc>
          <w:tcPr>
            <w:tcW w:w="15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18</w:t>
            </w:r>
          </w:p>
        </w:tc>
        <w:tc>
          <w:tcPr>
            <w:tcW w:w="11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21</w:t>
            </w:r>
          </w:p>
        </w:tc>
        <w:tc>
          <w:tcPr>
            <w:tcW w:w="15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(14)%</w:t>
            </w:r>
          </w:p>
        </w:tc>
        <w:tc>
          <w:tcPr>
            <w:tcW w:w="13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19</w:t>
            </w:r>
          </w:p>
        </w:tc>
        <w:tc>
          <w:tcPr>
            <w:tcW w:w="11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27</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Installed Watts/TH efficiency</w:t>
            </w:r>
          </w:p>
        </w:tc>
        <w:tc>
          <w:tcPr>
            <w:tcW w:w="15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18</w:t>
            </w:r>
          </w:p>
        </w:tc>
        <w:tc>
          <w:tcPr>
            <w:tcW w:w="11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21</w:t>
            </w:r>
          </w:p>
        </w:tc>
        <w:tc>
          <w:tcPr>
            <w:tcW w:w="15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(14)%</w:t>
            </w: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18</w:t>
            </w: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27</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Average Watts represents the average energy consumption of deployed Miners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Q3 2025 </w:t>
      </w: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Q3 2024</w:t>
      </w:r>
    </w:p>
    <w:p>
      <w:pPr>
        <w:spacing w:after="0" w:line="31" w:lineRule="exact"/>
        <w:rPr>
          <w:sz w:val="20"/>
          <w:szCs w:val="20"/>
          <w:color w:val="auto"/>
        </w:rPr>
      </w:pPr>
    </w:p>
    <w:p>
      <w:pPr>
        <w:jc w:val="both"/>
        <w:ind w:left="660" w:hanging="328"/>
        <w:spacing w:after="0" w:line="250"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520 BTC earned in Q3 2025, compared to 414 BTC earned in Q3 2024, representing an increase of 26% as a result of an increase in average Hashrate from the Company’s expansions and upgrades to its Miner fleet with additional and higher efficiency Miners, partially offset by a 49% increase in average Network Difficulty; 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ending energy efficiency to 19 Watts/TH on September 30, 2025 compared to 21 Watts/TH on September 30, 2024, as a result of the Company upgrading its fleet with more efficient Miners. This improvement resulted in a 18 average Watts/Average TH efficiency during Q3 2025, compared to 21 average Watts/Average TH efficiency during Q3 2024, representing an improvement of 14%.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YTD Q3 2025 v. YTD Q3 2024</w:t>
      </w:r>
    </w:p>
    <w:p>
      <w:pPr>
        <w:spacing w:after="0" w:line="31" w:lineRule="exact"/>
        <w:rPr>
          <w:sz w:val="20"/>
          <w:szCs w:val="20"/>
          <w:color w:val="auto"/>
        </w:rPr>
      </w:pPr>
    </w:p>
    <w:p>
      <w:pPr>
        <w:jc w:val="both"/>
        <w:ind w:left="660" w:hanging="328"/>
        <w:spacing w:after="0" w:line="250"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1,570 BTC earned during YTD Q3 2025, compared to 1,562 BTC earned during YTD Q3 2024, representing an increase of 1% from the previous year as a result of an increase in Hashrate from the Company’s expansions and upgrades to its Miner fleet with higher efficiency Miners, partially offset by reduced Block Rewards following the April 2024 halving event and a 46% increase in average Network Difficulty; 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ending energy efficiency to 19 Watts/TH on September 30, 2025, compared to 21 Watts/TH on September 30, 2024, with the Company upgrading its Mining fleet. This improvement resulted in a 19 average Watts/Average TH efficiency during YTD Q3 2025, compared to 27 average Watts/Average TH efficiency during YTD Q3 2024, representing an improvement of 30%.</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8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1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1180" w:type="dxa"/>
            <w:vAlign w:val="bottom"/>
            <w:tcBorders>
              <w:bottom w:val="single" w:sz="8" w:color="auto"/>
            </w:tcBorders>
          </w:tcPr>
          <w:p>
            <w:pPr>
              <w:spacing w:after="0"/>
              <w:rPr>
                <w:sz w:val="20"/>
                <w:szCs w:val="20"/>
                <w:color w:val="auto"/>
              </w:rPr>
            </w:pPr>
          </w:p>
        </w:tc>
      </w:tr>
      <w:tr>
        <w:trPr>
          <w:trHeight w:val="210"/>
        </w:trPr>
        <w:tc>
          <w:tcPr>
            <w:tcW w:w="488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2025</w:t>
            </w: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r>
      <w:tr>
        <w:trPr>
          <w:trHeight w:val="209"/>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Period-end operating EH/s</w:t>
            </w:r>
          </w:p>
        </w:tc>
        <w:tc>
          <w:tcPr>
            <w:tcW w:w="3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14.8</w:t>
            </w:r>
          </w:p>
        </w:tc>
        <w:tc>
          <w:tcPr>
            <w:tcW w:w="1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14.8</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Watts/TH efficiency*</w:t>
            </w:r>
          </w:p>
        </w:tc>
        <w:tc>
          <w:tcPr>
            <w:tcW w:w="37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w:t>
            </w:r>
          </w:p>
        </w:tc>
        <w:tc>
          <w:tcPr>
            <w:tcW w:w="1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18</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Installed Watts/TH efficiency</w:t>
            </w:r>
          </w:p>
        </w:tc>
        <w:tc>
          <w:tcPr>
            <w:tcW w:w="3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w:t>
            </w:r>
          </w:p>
        </w:tc>
        <w:tc>
          <w:tcPr>
            <w:tcW w:w="1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18</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Period-end energized capacity (MW)**</w:t>
            </w:r>
          </w:p>
        </w:tc>
        <w:tc>
          <w:tcPr>
            <w:tcW w:w="3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341</w:t>
            </w:r>
          </w:p>
        </w:tc>
        <w:tc>
          <w:tcPr>
            <w:tcW w:w="1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330</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Watts represents the energy consumption of deployed Miners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Includes 21 MW operated on behalf of a third party through a hosting contract at the Panther Creek Bitcoin data center (as of September 30, 2024: nil)</w:t>
      </w:r>
    </w:p>
    <w:p>
      <w:pPr>
        <w:spacing w:after="0" w:line="220" w:lineRule="exact"/>
        <w:rPr>
          <w:sz w:val="20"/>
          <w:szCs w:val="20"/>
          <w:color w:val="auto"/>
        </w:rPr>
      </w:pPr>
    </w:p>
    <w:p>
      <w:pPr>
        <w:jc w:val="both"/>
        <w:ind w:left="340" w:hanging="332"/>
        <w:spacing w:after="0" w:line="224" w:lineRule="auto"/>
        <w:tabs>
          <w:tab w:leader="none" w:pos="34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Excluding discontinued operations in Rio Cuarto, Argentina, which have been abandoned due to the halting of the energy supply since May 12, 2025 and economic uncertainty in the region, and in Paso Pe, Paraguay, which met the criteria to be classified as held for sale as the Company makes a strategic shift towards HPC/AI Infrastructure in North America. Refer to Sections 8 - </w:t>
      </w:r>
      <w:r>
        <w:rPr>
          <w:rFonts w:ascii="Times New Roman" w:cs="Times New Roman" w:eastAsia="Times New Roman" w:hAnsi="Times New Roman"/>
          <w:sz w:val="18"/>
          <w:szCs w:val="18"/>
          <w:i w:val="1"/>
          <w:iCs w:val="1"/>
          <w:color w:val="auto"/>
        </w:rPr>
        <w:t>Financial performance (Discontinued operations)</w:t>
      </w:r>
      <w:r>
        <w:rPr>
          <w:rFonts w:ascii="Times New Roman" w:cs="Times New Roman" w:eastAsia="Times New Roman" w:hAnsi="Times New Roman"/>
          <w:sz w:val="18"/>
          <w:szCs w:val="18"/>
          <w:color w:val="auto"/>
        </w:rPr>
        <w:t xml:space="preserve"> and 18 -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(The Company’s operations in Rio Cuarto have been suspended due to a halt in its supply of electrical power on May 12, 2025) </w:t>
      </w:r>
      <w:r>
        <w:rPr>
          <w:rFonts w:ascii="Times New Roman" w:cs="Times New Roman" w:eastAsia="Times New Roman" w:hAnsi="Times New Roman"/>
          <w:sz w:val="18"/>
          <w:szCs w:val="18"/>
          <w:color w:val="auto"/>
        </w:rPr>
        <w:t>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-691515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803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10440"/>
        <w:spacing w:after="0"/>
        <w:tabs>
          <w:tab w:leader="none" w:pos="10840" w:val="left"/>
        </w:tabs>
        <w:rPr>
          <w:sz w:val="20"/>
          <w:szCs w:val="20"/>
          <w:color w:val="auto"/>
        </w:rPr>
      </w:pPr>
      <w:r>
        <w:rPr>
          <w:rFonts w:ascii="Times New Roman" w:cs="Times New Roman" w:eastAsia="Times New Roman" w:hAnsi="Times New Roman"/>
          <w:sz w:val="18"/>
          <w:szCs w:val="18"/>
          <w:color w:val="auto"/>
        </w:rPr>
        <w:t>10</w:t>
        <w:tab/>
        <w:t>Page</w:t>
      </w:r>
    </w:p>
    <w:p>
      <w:pPr>
        <w:sectPr>
          <w:pgSz w:w="11900" w:h="16838" w:orient="portrait"/>
          <w:cols w:equalWidth="0" w:num="1">
            <w:col w:w="11240"/>
          </w:cols>
          <w:pgMar w:left="320" w:top="92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HPC/AI INFRASTRUCTURE AND BTC MINING EXPANSION PROJECTS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describes its expansion plans below under the sections entitled “United States Expansion”, “Paraguay Update” and “Canada Expansion”.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expansion projects do not include updates from 2024 or earlier.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estimated costs and timelines to achieve these expansion plans may change based on, among other factors, the cost and supply of equipment, the ability to import equipment into countries where it operates in a cost-effective and timely manner, the supply of electrical and other supporting infrastructure equipment, the availability of construction materials, currency exchange rates and the impact of geopolitical events on the supply chains described above. The Company’s expansion plans rely on, among other factors, a consistent supply of electricity at cost-effective rates; refer to Section 19 -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(Section </w:t>
      </w:r>
      <w:r>
        <w:rPr>
          <w:rFonts w:ascii="Times New Roman" w:cs="Times New Roman" w:eastAsia="Times New Roman" w:hAnsi="Times New Roman"/>
          <w:sz w:val="18"/>
          <w:szCs w:val="18"/>
          <w:i w:val="1"/>
          <w:iCs w:val="1"/>
          <w:color w:val="auto"/>
        </w:rPr>
        <w:t>Economic Dependence on Regulated Terms of Service and Electricity Rates Risks)</w:t>
      </w:r>
      <w:r>
        <w:rPr>
          <w:rFonts w:ascii="Times New Roman" w:cs="Times New Roman" w:eastAsia="Times New Roman" w:hAnsi="Times New Roman"/>
          <w:sz w:val="18"/>
          <w:szCs w:val="18"/>
          <w:color w:val="auto"/>
        </w:rPr>
        <w:t xml:space="preserve"> of the MD&amp;A for the year ended December 31, 2024, dated March 26, 2025 for further details, including a description of these and other factors. Also refer to Section 21 - Cautionary Note Regarding Forward-Looking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Development of HPC/AI Infrastructure Projects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January 2025, the Company engaged two established consultants in HPC/AI infrastructure, Appleby Strategy Group (“ASG”) and World Wide Technology (“WWT”), to conduct independent evaluations of the Company’s data centers and energy assets for potential partial or total conversion to HPC/AI infrastructure. In parallel, ASG and WWT are conducting feasibility assessments, data center engineering, site map planning, construction budgeting, and accelerate marketing and development strategies. Combined, they will support the building of the Company’s operational capabilities and will market the Company’s sites to potential HPC/AI customers, offtake counterparties or partners.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April 2025, WWT completed the first phase of its feasibility assessments and provided its findings to the Company which confirmed the suitability of all US sites and most Canadian sites for potential conversion to HPC/AI infrastructure.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2025, the Company engaged T5 to oversee construction as the Owner’s Representative for the Panther Creek HPC development following a thorough review process conducted with multiple data center developers. T5 was chosen for their multi-decade experience developing and operating HPC data centers and their unique end-to-end services offering. As Owners Representative for the site, T5 will be responsible for managing all of the contracting, permitting and construction for the Panther Creek data center campus. The engagement with T5 is designed such that the engagement can continue to expand in scope across general contracting, site commissioning and site operations and maintenance.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August 2025, the Company entered into a binding purchase agreement for 181 acres of contiguous land at the Panther Creek campus for $3.5 million, which is anticipated to be more than sufficient land for multiple phases of HPC/AI development in this campus.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2025, the owner of the 181 acres agreed to amend the plot map extending into an adjacent property owned by the same owner, which would give the Company approximately 20 additional acres for no additional cost. Subject to local approvals, this change would increase the purchased property from 181 acres to approximately 201 acres.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97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0440"/>
        <w:spacing w:after="0"/>
        <w:tabs>
          <w:tab w:leader="none" w:pos="10840" w:val="left"/>
        </w:tabs>
        <w:rPr>
          <w:sz w:val="20"/>
          <w:szCs w:val="20"/>
          <w:color w:val="auto"/>
        </w:rPr>
      </w:pPr>
      <w:r>
        <w:rPr>
          <w:rFonts w:ascii="Times New Roman" w:cs="Times New Roman" w:eastAsia="Times New Roman" w:hAnsi="Times New Roman"/>
          <w:sz w:val="18"/>
          <w:szCs w:val="18"/>
          <w:color w:val="auto"/>
        </w:rPr>
        <w:t>11</w:t>
        <w:tab/>
        <w:t>Page</w:t>
      </w:r>
    </w:p>
    <w:p>
      <w:pPr>
        <w:sectPr>
          <w:pgSz w:w="11900" w:h="16838" w:orient="portrait"/>
          <w:cols w:equalWidth="0" w:num="1">
            <w:col w:w="11240"/>
          </w:cols>
          <w:pgMar w:left="320" w:top="92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HPC/AI INFRASTRUCTURE AND BTC MINING EXPANSION PROJECTS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  Development of HPC/AI Infrastructure Projects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October 2025, WWT completed the second phase of its HPC development consulting engagement with the Company, providing defined service offerings for colocation data center services and information/operational technology stack high-level designs.</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 November 2025, the Company opted to convert its Washington State Bitcoin data center to HPC/AI workloads as early as December 2026. Refer to Section 7B - </w:t>
      </w:r>
      <w:r>
        <w:rPr>
          <w:rFonts w:ascii="Times New Roman" w:cs="Times New Roman" w:eastAsia="Times New Roman" w:hAnsi="Times New Roman"/>
          <w:sz w:val="18"/>
          <w:szCs w:val="18"/>
          <w:i w:val="1"/>
          <w:iCs w:val="1"/>
          <w:color w:val="auto"/>
        </w:rPr>
        <w:t>HPC/AI Infrastructure and BTC Mining Expansion Projects (United States Expansion)</w:t>
      </w:r>
      <w:r>
        <w:rPr>
          <w:rFonts w:ascii="Times New Roman" w:cs="Times New Roman" w:eastAsia="Times New Roman" w:hAnsi="Times New Roman"/>
          <w:sz w:val="18"/>
          <w:szCs w:val="18"/>
          <w:color w:val="auto"/>
        </w:rPr>
        <w:t xml:space="preserve"> for more details.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2025, the Company entered into a purchase commitment of $128.7 million, payable over the next 12 months, for the development and expansion of HPC/AI infrastructure projects with a large publicly traded American multinational provider of critical infrastructure and services for data centers. Under the terms of the agreement, the provider will deliver a range of services that include engineering, project management assistance, procurement and manufacturing, site management support and factory acceptance testing, all contributing, in addition to other expenses, to the construction of a fully integrated 18 MW hybrid-built data center in Washington State, United States.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Macquarie Credit Facility</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2025, the Company entered into an agreement for a credit facility up to $300.0 million from Macquarie for HPC development at the Panther Creek campus and drew down the initial tranche of $50.0 million. The Company issued 5,330,946 warrants convertible for a fixed number of common shares at an exercise price of $1.17, and paid $3.2 million in transaction fees which will be deferred and/or amortized over the term of the credit facility.</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2025, the Company amended the facility to, among other things, limit the borrowers and guarantors under the credit facility’s loan agreement to certain subsidiaries of the Company holding Panther reek project-specific assets, other than as unsecured guarantee of the Company and limited guarantees and collateral provided by certain subsidiaries of the Company. The Company accessed an additional $50.0 million of the credit facility to expedite the procurement of essential equipment and further its HPC/AI infrastructure projects, bringing the cumulative borrowed funds to $100.0 million. The Company issued 2,197,127 warrants convertible for a fixed number of common shares at an exercise price of $5.69, a 23% premium to the closing price on October 24, 2025.</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subsequent tranche(s) of the credit facility will allow the Company to draw up to an additional $200.0 million and will be drawable as the Company achieves specific development milestones at its Panther Creek location. The Company will contribute $50.0 million in kind, or in cash, to be held by the Company’s dedicated Panther Creek subsidiary and issue additional warrants equivalent to 10% of the amount drawn up to $125.0 million. The maturity of each tranche is 2 years from the date of closing and each facility bears interest at 8% per annum. The funding facility is expected to provide the necessary capital for the Company to fund the initial portion of the Panther Creek data centers development and buildout.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97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0440"/>
        <w:spacing w:after="0"/>
        <w:tabs>
          <w:tab w:leader="none" w:pos="10840" w:val="left"/>
        </w:tabs>
        <w:rPr>
          <w:sz w:val="20"/>
          <w:szCs w:val="20"/>
          <w:color w:val="auto"/>
        </w:rPr>
      </w:pPr>
      <w:r>
        <w:rPr>
          <w:rFonts w:ascii="Times New Roman" w:cs="Times New Roman" w:eastAsia="Times New Roman" w:hAnsi="Times New Roman"/>
          <w:sz w:val="18"/>
          <w:szCs w:val="18"/>
          <w:color w:val="auto"/>
        </w:rPr>
        <w:t>12</w:t>
        <w:tab/>
        <w:t>Page</w:t>
      </w:r>
    </w:p>
    <w:p>
      <w:pPr>
        <w:sectPr>
          <w:pgSz w:w="11900" w:h="16838" w:orient="portrait"/>
          <w:cols w:equalWidth="0" w:num="1">
            <w:col w:w="11240"/>
          </w:cols>
          <w:pgMar w:left="320" w:top="92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HPC/AI INFRASTRUCTURE AND BTC MINING EXPANSION PROJECTS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340" w:hanging="332"/>
        <w:spacing w:after="0"/>
        <w:tabs>
          <w:tab w:leader="none" w:pos="34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Development of HPC/AI Infrastructure Projects </w:t>
      </w:r>
      <w:r>
        <w:rPr>
          <w:rFonts w:ascii="Times New Roman" w:cs="Times New Roman" w:eastAsia="Times New Roman" w:hAnsi="Times New Roman"/>
          <w:sz w:val="18"/>
          <w:szCs w:val="18"/>
          <w:color w:val="auto"/>
        </w:rPr>
        <w:t>(Continued)</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9" w:lineRule="exact"/>
        <w:rPr>
          <w:rFonts w:ascii="Times New Roman" w:cs="Times New Roman" w:eastAsia="Times New Roman" w:hAnsi="Times New Roman"/>
          <w:sz w:val="18"/>
          <w:szCs w:val="18"/>
          <w:b w:val="1"/>
          <w:bCs w:val="1"/>
          <w:color w:val="auto"/>
        </w:rPr>
      </w:pPr>
    </w:p>
    <w:p>
      <w:pPr>
        <w:jc w:val="both"/>
        <w:ind w:left="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October 2025, the Company issued $588.0 million aggregate principal amount of convertible senior notes (the “Convertible Notes”), which included the full exercise of the purchasers’ option to purchase up to an additional $88.0 million aggregate amount of Convertible Notes. The Convertible Notes are unsecured, bear interest at 1.375% per annum payable semi-annually and mature on January 15, 2031.</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October 15, 2030, the Convertible Notes may be converted only upon the occurrence of certain events. Thereafter, holders may convert their notes at any time until maturity. Upon conversion, the Company may settle the obligation in cash, common shares, or a combination of both, at its discretion. The initial conversion rate is 145.6876 common shares per $1,000 principal amount (equivalent to a conversion price of approximately $6.86 per share), representing a 30% premium over the $5.28 reference price (the last reported sale price per common share of Bitfarms on Nasdaq on October 16, 2025), subjected to adjustments upon the occurrence of certain events.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Convertible Notes are not redeemable prior to October 20, 2028, except in the event of certain changes in Canadian tax law. After that date, the Company may redeem the Convertible Notes, in whole or in part, for cash if the market price of its common shares exceeds 130% of the conversion price for a specified period. In the event of a fundamental change, holders may require the Company to repurchase their notes for cash.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proceeds from the offering were approximately $568.9 million.</w:t>
      </w:r>
    </w:p>
    <w:p>
      <w:pPr>
        <w:spacing w:after="0" w:line="221" w:lineRule="exact"/>
        <w:rPr>
          <w:sz w:val="20"/>
          <w:szCs w:val="20"/>
          <w:color w:val="auto"/>
        </w:rPr>
      </w:pPr>
    </w:p>
    <w:p>
      <w:pPr>
        <w:ind w:right="9020" w:firstLine="8"/>
        <w:spacing w:after="0" w:line="263" w:lineRule="auto"/>
        <w:tabs>
          <w:tab w:leader="none" w:pos="324"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United States Expansion </w:t>
      </w:r>
      <w:r>
        <w:rPr>
          <w:rFonts w:ascii="Times New Roman" w:cs="Times New Roman" w:eastAsia="Times New Roman" w:hAnsi="Times New Roman"/>
          <w:sz w:val="18"/>
          <w:szCs w:val="18"/>
          <w:b w:val="1"/>
          <w:bCs w:val="1"/>
          <w:i w:val="1"/>
          <w:iCs w:val="1"/>
          <w:color w:val="auto"/>
        </w:rPr>
        <w:t>Acquisition of Stronghold</w:t>
      </w:r>
    </w:p>
    <w:p>
      <w:pPr>
        <w:jc w:val="both"/>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14, 2025, the Company acquired Stronghold in a stock-for-stock merger transaction (the “Transaction”). The Transaction was unanimously approved by the Board of Directors of both companies and was approved by shareholders representing a majority of the outstanding shares of Stronghold on February 27, 2025.</w:t>
      </w:r>
    </w:p>
    <w:p>
      <w:pPr>
        <w:spacing w:after="0" w:line="18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Stronghold shareholders received 2.52 shares of Bitfarms for each share of Stronghold held. The Company issued 59,866,609 common shares and 12,893,650 warrants in connection with the consummation of the Merger. In addition, the Company paid $51.1 million on closing to retire Stronghold’s outstanding loans and other closing costs.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Stronghold Transaction initially added to the Company’s operations up to 307 MW of potential power capacity, with an additional 648 MW of incremental potential power capacity, for a total of 955 MW of potential power capacity. This transaction is aligned with the Company's strategic objectives to diversify its operations and expand its presence in the United States through vertical integration of power generation and energy arbitrage capabilities. Further, the transaction solidifies Bitfarms’ standing in the Bitcoin Mining sector and positions it well for expansion into the HPC/AI infrastructure sector with two strategically located facilities with energy infrastructure and expansion capacity. As of the date of this MD&amp;A, the two refuse power generation plants have a combined energized and secured contracted growth capacity of 473 MW.</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quarter of 2025, approximately 14,500 S21 Pro Bitmain Miners were installed at the Stronghold Scrubgrass and Panther Creek Bitcoin data centers. Following the closing of the Stronghold Transaction on March 14, 2025, the Panther Creek Hosting Agreement and Scrubgrass Hosting Agreement were terminated, settling the $15.6 million Refundable Hosting Deposits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97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0440"/>
        <w:spacing w:after="0"/>
        <w:tabs>
          <w:tab w:leader="none" w:pos="10840" w:val="left"/>
        </w:tabs>
        <w:rPr>
          <w:sz w:val="20"/>
          <w:szCs w:val="20"/>
          <w:color w:val="auto"/>
        </w:rPr>
      </w:pPr>
      <w:r>
        <w:rPr>
          <w:rFonts w:ascii="Times New Roman" w:cs="Times New Roman" w:eastAsia="Times New Roman" w:hAnsi="Times New Roman"/>
          <w:sz w:val="18"/>
          <w:szCs w:val="18"/>
          <w:color w:val="auto"/>
        </w:rPr>
        <w:t>13</w:t>
        <w:tab/>
        <w:t>Page</w:t>
      </w:r>
    </w:p>
    <w:p>
      <w:pPr>
        <w:sectPr>
          <w:pgSz w:w="11900" w:h="16838" w:orient="portrait"/>
          <w:cols w:equalWidth="0" w:num="1">
            <w:col w:w="11240"/>
          </w:cols>
          <w:pgMar w:left="320" w:top="92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HPC/AI INFRASTRUCTURE AND BTC MINING EXPANSION PROJECTS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340" w:hanging="332"/>
        <w:spacing w:after="0"/>
        <w:tabs>
          <w:tab w:leader="none" w:pos="34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United States Expansion </w:t>
      </w:r>
      <w:r>
        <w:rPr>
          <w:rFonts w:ascii="Times New Roman" w:cs="Times New Roman" w:eastAsia="Times New Roman" w:hAnsi="Times New Roman"/>
          <w:sz w:val="18"/>
          <w:szCs w:val="18"/>
          <w:color w:val="auto"/>
        </w:rPr>
        <w:t>(Continued)</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Scrubgrass and Panther Creek 2025 update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second quarter of 2025, approximately 3,400 S21+ and 6,000 S21 Pro Bitmain Miners were installed at the Scrubgrass and Panther Creek Bitcoin data centers.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2025, the Company entered into an Electricity Supply Agreement (“ESA”) with PPL Electric Utilities Corporation (“PPL”) to secure an additional 350 MW of secured contracted growth capacity at the Company’s Panther Creek location, with 50 MW to be delivered by the end of 2026, and 300 MW by the end of 2027.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Sharon 2025 update</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In January 2025, the Company installed 3,300 miners and energized 12 MW at the Sharon data center. In May 2025, the Company energized an incremental 18 MW expansion project, bringing the total energized capacity to 30 MW with 8,000 Miners installed.</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2025, the Company was registered for PJM’s Peak Saver and Synchronized Reserves Dispatchable Programs. In August 2025 the Company initiated its customer base load baseline qualification run, and in October the Company successfully passed PJM’s baseline requirements for registration in the Price Response (Economic Demand Response) Dispatchable Program and is now in the registration process with PJM. Participation in these programs includes both demand response and energy arbitrage strategies that the Company plans to develop in the coming months across its PJM portfolio. These programs are anticipated to contribute to maximizing the value of its PJM assets through more effective control of energy prices and will be accretive to the Company’s flexible HPC data center strategy currently under development in PJM.</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2025, the Company entered into an agreement with a vendor for the procurement of all equipment required to develop the 80 MW substation to increase capacity from 30 MW to 110 MW by the end of 2026. In September 2024, the Company executed a contract with a group of vendors for the construction, installation and commissioning of the 80 MW substation.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2025, the Company acquired the Sharon property from the landlord for a total consideration of $38.7 million consisting of $5.0 million in cash and $33.7 million worth of the Company’s shares as at the date of the close. This resulted in the issuance of 8,500,000 shares of the Company to the seller. Following the termination of the long-term lease agreement for the site, the Company anticipates average annual rent savings of $1.8 million for each of the remaining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Sharon Position as of September 30, 2025</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September 30, 2025, the Company had placed deposits of $1.4 million with the energy supplier and suppliers for construction costs and for electrical components. As of September 30, 2025, property, plant and equipment (“PPE”) included $16.3 million related to the Sharon data center for facility construction and infrastructure equipment costs.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Washington 2025 update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completed the upgrade of a portion of its current fleet of Miners in Washington during February 2025 with new T21 Miners. In August 2025, the Company secured a binding agreement for an adjacent land parcel for $1.9 million due to its proximity to a major data center cluster and is anticipated to be sufficient for a potential conversion to HPC/AI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97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10440"/>
        <w:spacing w:after="0"/>
        <w:tabs>
          <w:tab w:leader="none" w:pos="10840" w:val="left"/>
        </w:tabs>
        <w:rPr>
          <w:sz w:val="20"/>
          <w:szCs w:val="20"/>
          <w:color w:val="auto"/>
        </w:rPr>
      </w:pPr>
      <w:r>
        <w:rPr>
          <w:rFonts w:ascii="Times New Roman" w:cs="Times New Roman" w:eastAsia="Times New Roman" w:hAnsi="Times New Roman"/>
          <w:sz w:val="18"/>
          <w:szCs w:val="18"/>
          <w:color w:val="auto"/>
        </w:rPr>
        <w:t>14</w:t>
        <w:tab/>
        <w:t>Page</w:t>
      </w:r>
    </w:p>
    <w:p>
      <w:pPr>
        <w:sectPr>
          <w:pgSz w:w="11900" w:h="16838" w:orient="portrait"/>
          <w:cols w:equalWidth="0" w:num="1">
            <w:col w:w="11240"/>
          </w:cols>
          <w:pgMar w:left="320" w:top="92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HPC/AI INFRASTRUCTURE AND BTC MINING EXPANSION PROJECTS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right="8120" w:firstLine="8"/>
        <w:spacing w:after="0" w:line="263" w:lineRule="auto"/>
        <w:tabs>
          <w:tab w:leader="none" w:pos="324"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United States Expansion </w:t>
      </w:r>
      <w:r>
        <w:rPr>
          <w:rFonts w:ascii="Times New Roman" w:cs="Times New Roman" w:eastAsia="Times New Roman" w:hAnsi="Times New Roman"/>
          <w:sz w:val="18"/>
          <w:szCs w:val="18"/>
          <w:color w:val="auto"/>
        </w:rPr>
        <w:t>(Continued)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 xml:space="preserve">Washington 2025 update </w:t>
      </w:r>
      <w:r>
        <w:rPr>
          <w:rFonts w:ascii="Times New Roman" w:cs="Times New Roman" w:eastAsia="Times New Roman" w:hAnsi="Times New Roman"/>
          <w:sz w:val="18"/>
          <w:szCs w:val="18"/>
          <w:color w:val="auto"/>
        </w:rPr>
        <w:t>(Continued)</w:t>
      </w:r>
    </w:p>
    <w:p>
      <w:pPr>
        <w:jc w:val="both"/>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November 2025, the Company opted to convert its Washington State site to HPC/AI workloads. The 18 MW Bitcoin data center is anticipated to be the first site fully converted to support HPC/AI workloads with up to 190 KW per rack and advanced liquid cooling. The Company signed a $128.7 million purchase commitment for IT infrastructure and building materials as described above in Section 7A - </w:t>
      </w:r>
      <w:r>
        <w:rPr>
          <w:rFonts w:ascii="Times New Roman" w:cs="Times New Roman" w:eastAsia="Times New Roman" w:hAnsi="Times New Roman"/>
          <w:sz w:val="18"/>
          <w:szCs w:val="18"/>
          <w:i w:val="1"/>
          <w:iCs w:val="1"/>
          <w:color w:val="auto"/>
        </w:rPr>
        <w:t>HPC/AI Infrastructure and BTC Mining Expansion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Projects (Development of HPC/AI Infrastructure Projects). </w:t>
      </w:r>
      <w:r>
        <w:rPr>
          <w:rFonts w:ascii="Times New Roman" w:cs="Times New Roman" w:eastAsia="Times New Roman" w:hAnsi="Times New Roman"/>
          <w:sz w:val="18"/>
          <w:szCs w:val="18"/>
          <w:color w:val="auto"/>
        </w:rPr>
        <w:t>The HPC/AI data center will have validated reference designs ensuring compatibility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GB300s, modular infrastructure enabling phased deployment and scalability and proven thermal and power management critical for HPC/AI operations. The Company is targeting completion of the HPC/AI data center as early as December 2026.</w:t>
      </w:r>
    </w:p>
    <w:p>
      <w:pPr>
        <w:spacing w:after="0" w:line="185"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Paraguay Update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Yguazu data center 2025 update</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On January 24, 2025, the Company announced that it had entered into a binding letter of intent to sell its 200 MW development site in Yguazu to HIVE Digital Technologies Ltd. (“HIVE”) (the “Yguazu Sale”).</w:t>
      </w:r>
    </w:p>
    <w:p>
      <w:pPr>
        <w:spacing w:after="0" w:line="1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March 14, 2025, the Yguazu Sale closed. HIVE purchased from Bitfarms its 100% ownership stake of its Yguazu BTC data center and the Company’s loan receivable from its Yguazu subsidiary, Zunz SA (“Backbone Yguazu”), for $63.3 million, with Bitfarms receiving:</w:t>
      </w: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million advance payments made in January 2025 upon signing the letter of intent;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 million upon the closing of the transaction;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$31.0 million in equal installments over 6 months following the closing;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 million of other costs assumed by HIVE.</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2025, the Company received all the payments from HIVE, as per the terms of the agreement. Refer to Note 6 to the Financial Statements for more details.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Paso Pe 2025 update</w:t>
      </w:r>
    </w:p>
    <w:p>
      <w:pPr>
        <w:spacing w:after="0" w:line="3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As of September 30, 2025, the Paso Pe facility met the criteria to be classified as held for sale, and all operations in Paraguay were classified as discontinued operations as the Company makes a strategic shift towards HPC/AI infrastructure projects in North America. The sale of the Paso Pe Bitcoin data center operations is anticipated to close within twelve months from the reporting date.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Villarrica 2025 update</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November 2025, the Company disposed of its 10 MW Bitcoin data center in Villarrica. The Company’s Miners at this Bitcoin data center were sold to a third party.</w:t>
      </w:r>
    </w:p>
    <w:p>
      <w:pPr>
        <w:spacing w:after="0" w:line="177" w:lineRule="exact"/>
        <w:rPr>
          <w:sz w:val="20"/>
          <w:szCs w:val="20"/>
          <w:color w:val="auto"/>
        </w:rPr>
      </w:pPr>
    </w:p>
    <w:p>
      <w:pPr>
        <w:ind w:right="9260" w:firstLine="8"/>
        <w:spacing w:after="0" w:line="263" w:lineRule="auto"/>
        <w:tabs>
          <w:tab w:leader="none" w:pos="324"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Canada Expansion </w:t>
      </w:r>
      <w:r>
        <w:rPr>
          <w:rFonts w:ascii="Times New Roman" w:cs="Times New Roman" w:eastAsia="Times New Roman" w:hAnsi="Times New Roman"/>
          <w:sz w:val="18"/>
          <w:szCs w:val="18"/>
          <w:b w:val="1"/>
          <w:bCs w:val="1"/>
          <w:i w:val="1"/>
          <w:iCs w:val="1"/>
          <w:color w:val="auto"/>
        </w:rPr>
        <w:t>Baie-Comeau 2025 update</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January 2025, the utility provider energized an additional 11 MW, increasing the Baie-Comeau data center total to 22 MW.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Baie-Comeau position as of September 30, 2025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$11.6 million of PPE at the Baie-Comeau data center, including infrastructure equipment that was repurposed from other data centers.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803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10440"/>
        <w:spacing w:after="0"/>
        <w:tabs>
          <w:tab w:leader="none" w:pos="10840" w:val="left"/>
        </w:tabs>
        <w:rPr>
          <w:sz w:val="20"/>
          <w:szCs w:val="20"/>
          <w:color w:val="auto"/>
        </w:rPr>
      </w:pPr>
      <w:r>
        <w:rPr>
          <w:rFonts w:ascii="Times New Roman" w:cs="Times New Roman" w:eastAsia="Times New Roman" w:hAnsi="Times New Roman"/>
          <w:sz w:val="18"/>
          <w:szCs w:val="18"/>
          <w:color w:val="auto"/>
        </w:rPr>
        <w:t>15</w:t>
        <w:tab/>
        <w:t>Page</w:t>
      </w:r>
    </w:p>
    <w:p>
      <w:pPr>
        <w:sectPr>
          <w:pgSz w:w="11900" w:h="16838" w:orient="portrait"/>
          <w:cols w:equalWidth="0" w:num="1">
            <w:col w:w="11240"/>
          </w:cols>
          <w:pgMar w:left="320" w:top="92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HPC/AI INFRASTRUCTURE AND BTC MINING EXPANSION PROJECTS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Cryptocurrency Mining</w:t>
      </w:r>
    </w:p>
    <w:p>
      <w:pPr>
        <w:spacing w:after="0" w:line="31" w:lineRule="exact"/>
        <w:rPr>
          <w:sz w:val="20"/>
          <w:szCs w:val="20"/>
          <w:color w:val="auto"/>
        </w:rPr>
      </w:pP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As of September 30, 2025, the Company operated</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14.8 EH/s under Management across its facilities, which was consistent compared to the EH/s under Management as of June 30, 2025.</w:t>
      </w:r>
    </w:p>
    <w:p>
      <w:pPr>
        <w:spacing w:after="0" w:line="20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Through its expansion projects and the investment in its fleet upgrade, the Company achieved its initial 2025 targets of 18 EH/s operational and 19 w/TH installed in March 2025. The Company currently has no plans to increase its hashrate beyond the current operational hashrate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of 14.8 EH/s.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continues to prudently explore further opportunities to monetize and expand its infrastructure to create long-term value for shareholders.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Fleet Upgrade</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Securing additional Miners was anticipated to benefit the Company by capitalizing on higher bitcoin prices and drive rapid and meaningful improvements across three key operating metrics: Hashrate, energy efficiency and operating costs per TH.</w:t>
      </w:r>
    </w:p>
    <w:p>
      <w:pPr>
        <w:spacing w:after="0" w:line="18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August 2025, the Company completed its fleet upgrade, incorporating 85,442 new Miners into its operations, consisting of Bitmain T21, S21, Pro, S21 hydro and S21+ Miners. According to the average specifications outlined in the purchase contracts and the Company’s actual achieved Hashrate, these additions were projected to deliver a combined output of 17.7 EH/s.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Throughout 2024 and 2025, Bitfarms executed a series of strategic fleet upgrade transactions to enhance operational efficiency and optimize its miner portfolio. In November 2024, the Company amended its Purchase Option and March 2024 Purchase Order, upgrading 18,853 Bitmain T21 Miners to more efficient S21 Pro models for an additional $33.2 million, paid in BTC and structured for redemption in four installments.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2025, Bitfarms completed a swap order, returning 4,160 Bitmain T21 Miners in exchange for 3,660 Bitmain S21+ Miners, utilizing a $9.5 million credit and settling the $2.4 million net balance in BTC, with all miners received and prepayments cleared by September 30, 2025. The BTC payment is structured for redemption in four installments.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Subsequently, in July 2025, the Company returned 10,467 Bitmain T21 Miners for a $23.9 million credit and purchased 8,585 Bitmain S21+ Miners for $29.9 million, paying the $6.0 million net balance in BTC, with plans to sell these new units. The BTC payment is structured for redemption in four installments.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2025, all three transactions had been fully executed, with the upgraded and swapped Miners received, equipment prepayments settled, and BTC redemption options. Management oversees the BTC redemption options which are generally available on a quarterly basis, in line with the agreed schedules. Management monitors market conditions, liquidity needs, making strategic adjustments as necessary to ensure efficient redemptions. This approach allows for flexibility and responsiveness, helping to optimize outcomes for all stakeholders. Refer to Note 10 to the Financial Statements for more details. As of October 31, 2025, the Company sold the 8,585 S21+ Miners from the July 2025 swap for approximately $24.7 million.</w:t>
      </w:r>
    </w:p>
    <w:p>
      <w:pPr>
        <w:spacing w:after="0" w:line="197" w:lineRule="exact"/>
        <w:rPr>
          <w:sz w:val="20"/>
          <w:szCs w:val="20"/>
          <w:color w:val="auto"/>
        </w:rPr>
      </w:pPr>
    </w:p>
    <w:p>
      <w:pPr>
        <w:jc w:val="both"/>
        <w:ind w:left="340" w:hanging="332"/>
        <w:spacing w:after="0" w:line="224" w:lineRule="auto"/>
        <w:tabs>
          <w:tab w:leader="none" w:pos="340" w:val="left"/>
        </w:tabs>
        <w:numPr>
          <w:ilvl w:val="0"/>
          <w:numId w:val="6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Excluding discontinued operations in Rio Cuarto, Argentina, which have been abandoned due to the halting of the energy supply since May 12, 2025 and economic uncertainty in the region, and in Paso Pe, Paraguay, which met the criteria to be classified as held for sale as the Company makes a strategic shift towards HPC/AI Infrastructure in North America. Refer to Sections 8 - Financial performance (Discontinued operations) and 18-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(The Company’s operations in Rio Cuarto have been suspended due to a halt in its supply of electrical power on May 12, 2025) </w:t>
      </w:r>
      <w:r>
        <w:rPr>
          <w:rFonts w:ascii="Times New Roman" w:cs="Times New Roman" w:eastAsia="Times New Roman" w:hAnsi="Times New Roman"/>
          <w:sz w:val="18"/>
          <w:szCs w:val="18"/>
          <w:color w:val="auto"/>
        </w:rPr>
        <w:t>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-691515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803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0440"/>
        <w:spacing w:after="0"/>
        <w:tabs>
          <w:tab w:leader="none" w:pos="10840" w:val="left"/>
        </w:tabs>
        <w:rPr>
          <w:sz w:val="20"/>
          <w:szCs w:val="20"/>
          <w:color w:val="auto"/>
        </w:rPr>
      </w:pPr>
      <w:r>
        <w:rPr>
          <w:rFonts w:ascii="Times New Roman" w:cs="Times New Roman" w:eastAsia="Times New Roman" w:hAnsi="Times New Roman"/>
          <w:sz w:val="18"/>
          <w:szCs w:val="18"/>
          <w:color w:val="auto"/>
        </w:rPr>
        <w:t>16</w:t>
        <w:tab/>
        <w:t>Page</w:t>
      </w:r>
    </w:p>
    <w:p>
      <w:pPr>
        <w:sectPr>
          <w:pgSz w:w="11900" w:h="16838" w:orient="portrait"/>
          <w:cols w:equalWidth="0" w:num="1">
            <w:col w:w="11240"/>
          </w:cols>
          <w:pgMar w:left="320" w:top="92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HPC/AI INFRASTRUCTURE AND BTC MINING EXPANSION PROJECTS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 xml:space="preserve">Cryptocurrency Mining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Fleet Upgrade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the Company’s Argentina operations shutdown, the Company’s fleet upgrade enabled the Company to reach 19.5 EH/s operating capacity and 19 w/TH efficiency in Q1 2025. The Company intends to continue liquidating older, less efficient Miners to offset the cost of the capital expenditure. During YTD Q3 2025, the Company sold 17,176 older generation Miners to third parties for approximately $30.0 million. Refer to Note 11 to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97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0440"/>
        <w:spacing w:after="0"/>
        <w:tabs>
          <w:tab w:leader="none" w:pos="10840" w:val="left"/>
        </w:tabs>
        <w:rPr>
          <w:sz w:val="20"/>
          <w:szCs w:val="20"/>
          <w:color w:val="auto"/>
        </w:rPr>
      </w:pPr>
      <w:r>
        <w:rPr>
          <w:rFonts w:ascii="Times New Roman" w:cs="Times New Roman" w:eastAsia="Times New Roman" w:hAnsi="Times New Roman"/>
          <w:sz w:val="18"/>
          <w:szCs w:val="18"/>
          <w:color w:val="auto"/>
        </w:rPr>
        <w:t>17</w:t>
        <w:tab/>
        <w:t>Page</w:t>
      </w:r>
    </w:p>
    <w:p>
      <w:pPr>
        <w:sectPr>
          <w:pgSz w:w="11900" w:h="16838" w:orient="portrait"/>
          <w:cols w:equalWidth="0" w:num="1">
            <w:col w:w="11240"/>
          </w:cols>
          <w:pgMar w:left="320" w:top="954"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ind w:right="7680" w:firstLine="8"/>
        <w:spacing w:after="0" w:line="504" w:lineRule="auto"/>
        <w:tabs>
          <w:tab w:leader="none" w:pos="18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PERFORMANCE Consolidated Financial &amp; Operational Results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8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4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(U.S.$ in thousands except where</w:t>
            </w:r>
          </w:p>
        </w:tc>
        <w:tc>
          <w:tcPr>
            <w:tcW w:w="114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0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indicated)</w:t>
            </w:r>
          </w:p>
        </w:tc>
        <w:tc>
          <w:tcPr>
            <w:tcW w:w="114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2024</w:t>
            </w:r>
          </w:p>
        </w:tc>
        <w:tc>
          <w:tcPr>
            <w:tcW w:w="10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 Change</w:t>
            </w:r>
          </w:p>
        </w:tc>
        <w:tc>
          <w:tcPr>
            <w:tcW w:w="10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 Change</w:t>
            </w:r>
          </w:p>
        </w:tc>
        <w:tc>
          <w:tcPr>
            <w:tcW w:w="110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2024</w:t>
            </w:r>
          </w:p>
        </w:tc>
        <w:tc>
          <w:tcPr>
            <w:tcW w:w="10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 Change</w:t>
            </w:r>
          </w:p>
        </w:tc>
        <w:tc>
          <w:tcPr>
            <w:tcW w:w="9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 Change</w:t>
            </w:r>
          </w:p>
        </w:tc>
        <w:tc>
          <w:tcPr>
            <w:tcW w:w="0" w:type="dxa"/>
            <w:vAlign w:val="bottom"/>
          </w:tcPr>
          <w:p>
            <w:pPr>
              <w:spacing w:after="0"/>
              <w:rPr>
                <w:sz w:val="1"/>
                <w:szCs w:val="1"/>
                <w:color w:val="auto"/>
              </w:rPr>
            </w:pPr>
          </w:p>
        </w:tc>
      </w:tr>
      <w:tr>
        <w:trPr>
          <w:trHeight w:val="199"/>
        </w:trPr>
        <w:tc>
          <w:tcPr>
            <w:tcW w:w="2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Continuing operations</w:t>
            </w: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14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69,245</w:t>
            </w:r>
          </w:p>
        </w:tc>
        <w:tc>
          <w:tcPr>
            <w:tcW w:w="10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27,072</w:t>
            </w:r>
          </w:p>
        </w:tc>
        <w:tc>
          <w:tcPr>
            <w:tcW w:w="10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42,173</w:t>
            </w: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156%</w:t>
            </w:r>
          </w:p>
        </w:tc>
        <w:tc>
          <w:tcPr>
            <w:tcW w:w="110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179,050</w:t>
            </w:r>
          </w:p>
        </w:tc>
        <w:tc>
          <w:tcPr>
            <w:tcW w:w="104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95,522</w:t>
            </w:r>
          </w:p>
        </w:tc>
        <w:tc>
          <w:tcPr>
            <w:tcW w:w="10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83,528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03"/>
        </w:trPr>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11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(72,127)</w:t>
            </w:r>
          </w:p>
        </w:tc>
        <w:tc>
          <w:tcPr>
            <w:tcW w:w="10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(29,072)</w:t>
            </w:r>
          </w:p>
        </w:tc>
        <w:tc>
          <w:tcPr>
            <w:tcW w:w="10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(43,055)</w:t>
            </w: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148%</w:t>
            </w:r>
          </w:p>
        </w:tc>
        <w:tc>
          <w:tcPr>
            <w:tcW w:w="11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(181,684)</w:t>
            </w:r>
          </w:p>
        </w:tc>
        <w:tc>
          <w:tcPr>
            <w:tcW w:w="10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(117,475)</w:t>
            </w: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(64,209)</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19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Gross loss</w:t>
            </w:r>
          </w:p>
        </w:tc>
        <w:tc>
          <w:tcPr>
            <w:tcW w:w="11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(2,882)</w:t>
            </w:r>
          </w:p>
        </w:tc>
        <w:tc>
          <w:tcPr>
            <w:tcW w:w="10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(2,000)</w:t>
            </w:r>
          </w:p>
        </w:tc>
        <w:tc>
          <w:tcPr>
            <w:tcW w:w="10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(882)</w:t>
            </w: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w:t>
            </w:r>
          </w:p>
        </w:tc>
        <w:tc>
          <w:tcPr>
            <w:tcW w:w="11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(2,634)</w:t>
            </w:r>
          </w:p>
        </w:tc>
        <w:tc>
          <w:tcPr>
            <w:tcW w:w="10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(21,953)</w:t>
            </w:r>
          </w:p>
        </w:tc>
        <w:tc>
          <w:tcPr>
            <w:tcW w:w="10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19,319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43"/>
        </w:trPr>
        <w:tc>
          <w:tcPr>
            <w:tcW w:w="2980" w:type="dxa"/>
            <w:vAlign w:val="bottom"/>
            <w:tcBorders>
              <w:bottom w:val="single" w:sz="8" w:color="auto"/>
            </w:tcBorders>
          </w:tcPr>
          <w:p>
            <w:pPr>
              <w:spacing w:after="0" w:line="243" w:lineRule="exact"/>
              <w:rPr>
                <w:sz w:val="20"/>
                <w:szCs w:val="20"/>
                <w:color w:val="auto"/>
              </w:rPr>
            </w:pPr>
            <w:r>
              <w:rPr>
                <w:rFonts w:ascii="Times New Roman" w:cs="Times New Roman" w:eastAsia="Times New Roman" w:hAnsi="Times New Roman"/>
                <w:sz w:val="16"/>
                <w:szCs w:val="16"/>
                <w:color w:val="auto"/>
              </w:rPr>
              <w:t xml:space="preserve">Gross margin </w:t>
            </w:r>
            <w:r>
              <w:rPr>
                <w:rFonts w:ascii="Times New Roman" w:cs="Times New Roman" w:eastAsia="Times New Roman" w:hAnsi="Times New Roman"/>
                <w:sz w:val="26"/>
                <w:szCs w:val="26"/>
                <w:color w:val="auto"/>
                <w:vertAlign w:val="superscript"/>
              </w:rPr>
              <w:t>(1)</w:t>
            </w:r>
          </w:p>
        </w:tc>
        <w:tc>
          <w:tcPr>
            <w:tcW w:w="11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(4)%</w:t>
            </w: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w:t>
            </w:r>
          </w:p>
        </w:tc>
        <w:tc>
          <w:tcPr>
            <w:tcW w:w="10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w:t>
            </w: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(23)%</w:t>
            </w:r>
          </w:p>
        </w:tc>
        <w:tc>
          <w:tcPr>
            <w:tcW w:w="10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9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1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(17,036)</w:t>
            </w:r>
          </w:p>
        </w:tc>
        <w:tc>
          <w:tcPr>
            <w:tcW w:w="10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(25,310)</w:t>
            </w:r>
          </w:p>
        </w:tc>
        <w:tc>
          <w:tcPr>
            <w:tcW w:w="10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8,274</w:t>
            </w: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(33)%</w:t>
            </w:r>
          </w:p>
        </w:tc>
        <w:tc>
          <w:tcPr>
            <w:tcW w:w="11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(54,203)</w:t>
            </w:r>
          </w:p>
        </w:tc>
        <w:tc>
          <w:tcPr>
            <w:tcW w:w="10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(47,809)</w:t>
            </w: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(6,394)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189"/>
        </w:trPr>
        <w:tc>
          <w:tcPr>
            <w:tcW w:w="2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 on disposition of property, plant</w:t>
            </w:r>
          </w:p>
        </w:tc>
        <w:tc>
          <w:tcPr>
            <w:tcW w:w="114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64</w:t>
            </w: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0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7,426</w:t>
            </w:r>
          </w:p>
        </w:tc>
        <w:tc>
          <w:tcPr>
            <w:tcW w:w="10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i w:val="1"/>
                <w:iCs w:val="1"/>
                <w:color w:val="auto"/>
              </w:rPr>
              <w:t>nm</w:t>
            </w:r>
          </w:p>
        </w:tc>
        <w:tc>
          <w:tcPr>
            <w:tcW w:w="0" w:type="dxa"/>
            <w:vAlign w:val="bottom"/>
          </w:tcPr>
          <w:p>
            <w:pPr>
              <w:spacing w:after="0"/>
              <w:rPr>
                <w:sz w:val="1"/>
                <w:szCs w:val="1"/>
                <w:color w:val="auto"/>
              </w:rPr>
            </w:pPr>
          </w:p>
        </w:tc>
      </w:tr>
      <w:tr>
        <w:trPr>
          <w:trHeight w:val="213"/>
        </w:trPr>
        <w:tc>
          <w:tcPr>
            <w:tcW w:w="29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and equipment and deposits</w:t>
            </w:r>
          </w:p>
        </w:tc>
        <w:tc>
          <w:tcPr>
            <w:tcW w:w="1140" w:type="dxa"/>
            <w:vAlign w:val="bottom"/>
            <w:vMerge w:val="continue"/>
          </w:tcPr>
          <w:p>
            <w:pPr>
              <w:spacing w:after="0"/>
              <w:rPr>
                <w:sz w:val="18"/>
                <w:szCs w:val="18"/>
                <w:color w:val="auto"/>
              </w:rPr>
            </w:pPr>
          </w:p>
        </w:tc>
        <w:tc>
          <w:tcPr>
            <w:tcW w:w="10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(12)</w:t>
            </w:r>
          </w:p>
        </w:tc>
        <w:tc>
          <w:tcPr>
            <w:tcW w:w="10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76</w:t>
            </w: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633%</w:t>
            </w:r>
          </w:p>
        </w:tc>
        <w:tc>
          <w:tcPr>
            <w:tcW w:w="1100" w:type="dxa"/>
            <w:vAlign w:val="bottom"/>
            <w:vMerge w:val="continue"/>
          </w:tcPr>
          <w:p>
            <w:pPr>
              <w:spacing w:after="0"/>
              <w:rPr>
                <w:sz w:val="18"/>
                <w:szCs w:val="18"/>
                <w:color w:val="auto"/>
              </w:rPr>
            </w:pPr>
          </w:p>
        </w:tc>
        <w:tc>
          <w:tcPr>
            <w:tcW w:w="10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101</w:t>
            </w:r>
          </w:p>
        </w:tc>
        <w:tc>
          <w:tcPr>
            <w:tcW w:w="10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7,325</w:t>
            </w: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9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Impairment of non-financial assets</w:t>
            </w:r>
          </w:p>
        </w:tc>
        <w:tc>
          <w:tcPr>
            <w:tcW w:w="11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(9,102)</w:t>
            </w:r>
          </w:p>
        </w:tc>
        <w:tc>
          <w:tcPr>
            <w:tcW w:w="100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(3,628)</w:t>
            </w:r>
          </w:p>
        </w:tc>
        <w:tc>
          <w:tcPr>
            <w:tcW w:w="10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(5,474)</w:t>
            </w: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151%</w:t>
            </w:r>
          </w:p>
        </w:tc>
        <w:tc>
          <w:tcPr>
            <w:tcW w:w="110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(9,102)</w:t>
            </w:r>
          </w:p>
        </w:tc>
        <w:tc>
          <w:tcPr>
            <w:tcW w:w="104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(3,628)</w:t>
            </w:r>
          </w:p>
        </w:tc>
        <w:tc>
          <w:tcPr>
            <w:tcW w:w="10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(5,474)</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196"/>
        </w:trPr>
        <w:tc>
          <w:tcPr>
            <w:tcW w:w="2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11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(28,956)</w:t>
            </w:r>
          </w:p>
        </w:tc>
        <w:tc>
          <w:tcPr>
            <w:tcW w:w="10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(30,950)</w:t>
            </w:r>
          </w:p>
        </w:tc>
        <w:tc>
          <w:tcPr>
            <w:tcW w:w="10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1,994</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(58,513)</w:t>
            </w:r>
          </w:p>
        </w:tc>
        <w:tc>
          <w:tcPr>
            <w:tcW w:w="10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(73,289)</w:t>
            </w:r>
          </w:p>
        </w:tc>
        <w:tc>
          <w:tcPr>
            <w:tcW w:w="10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14,776</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43"/>
        </w:trPr>
        <w:tc>
          <w:tcPr>
            <w:tcW w:w="2980" w:type="dxa"/>
            <w:vAlign w:val="bottom"/>
            <w:tcBorders>
              <w:bottom w:val="single" w:sz="8" w:color="auto"/>
            </w:tcBorders>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 xml:space="preserve">Operating margin </w:t>
            </w:r>
            <w:r>
              <w:rPr>
                <w:rFonts w:ascii="Times New Roman" w:cs="Times New Roman" w:eastAsia="Times New Roman" w:hAnsi="Times New Roman"/>
                <w:sz w:val="26"/>
                <w:szCs w:val="26"/>
                <w:color w:val="auto"/>
                <w:vertAlign w:val="superscript"/>
              </w:rPr>
              <w:t>(1)</w:t>
            </w:r>
          </w:p>
        </w:tc>
        <w:tc>
          <w:tcPr>
            <w:tcW w:w="114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(42)%</w:t>
            </w: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(114)%</w:t>
            </w:r>
          </w:p>
        </w:tc>
        <w:tc>
          <w:tcPr>
            <w:tcW w:w="102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(33)%</w:t>
            </w: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(77)%</w:t>
            </w:r>
          </w:p>
        </w:tc>
        <w:tc>
          <w:tcPr>
            <w:tcW w:w="100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Net financial income (expenses)</w:t>
            </w:r>
          </w:p>
        </w:tc>
        <w:tc>
          <w:tcPr>
            <w:tcW w:w="11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(19,649)</w:t>
            </w:r>
          </w:p>
        </w:tc>
        <w:tc>
          <w:tcPr>
            <w:tcW w:w="10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6,868</w:t>
            </w:r>
          </w:p>
        </w:tc>
        <w:tc>
          <w:tcPr>
            <w:tcW w:w="10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(26,517)</w:t>
            </w: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(386)%</w:t>
            </w:r>
          </w:p>
        </w:tc>
        <w:tc>
          <w:tcPr>
            <w:tcW w:w="11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(15,676)</w:t>
            </w:r>
          </w:p>
        </w:tc>
        <w:tc>
          <w:tcPr>
            <w:tcW w:w="10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16,387</w:t>
            </w: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(32,063)</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196"/>
        </w:trPr>
        <w:tc>
          <w:tcPr>
            <w:tcW w:w="2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 before income taxes</w:t>
            </w:r>
          </w:p>
        </w:tc>
        <w:tc>
          <w:tcPr>
            <w:tcW w:w="11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(48,605)</w:t>
            </w:r>
          </w:p>
        </w:tc>
        <w:tc>
          <w:tcPr>
            <w:tcW w:w="100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(24,082)</w:t>
            </w:r>
          </w:p>
        </w:tc>
        <w:tc>
          <w:tcPr>
            <w:tcW w:w="10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(24,523)</w:t>
            </w: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102%</w:t>
            </w:r>
          </w:p>
        </w:tc>
        <w:tc>
          <w:tcPr>
            <w:tcW w:w="110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(74,189)</w:t>
            </w:r>
          </w:p>
        </w:tc>
        <w:tc>
          <w:tcPr>
            <w:tcW w:w="104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(56,902)</w:t>
            </w:r>
          </w:p>
        </w:tc>
        <w:tc>
          <w:tcPr>
            <w:tcW w:w="10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(17,287)</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196"/>
        </w:trPr>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Income tax recovery</w:t>
            </w:r>
          </w:p>
        </w:tc>
        <w:tc>
          <w:tcPr>
            <w:tcW w:w="11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2,347</w:t>
            </w:r>
          </w:p>
        </w:tc>
        <w:tc>
          <w:tcPr>
            <w:tcW w:w="10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98</w:t>
            </w:r>
          </w:p>
        </w:tc>
        <w:tc>
          <w:tcPr>
            <w:tcW w:w="10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2,249</w:t>
            </w:r>
          </w:p>
        </w:tc>
        <w:tc>
          <w:tcPr>
            <w:tcW w:w="10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i w:val="1"/>
                <w:iCs w:val="1"/>
                <w:color w:val="auto"/>
              </w:rPr>
              <w:t>nm</w:t>
            </w:r>
          </w:p>
        </w:tc>
        <w:tc>
          <w:tcPr>
            <w:tcW w:w="11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5,554</w:t>
            </w:r>
          </w:p>
        </w:tc>
        <w:tc>
          <w:tcPr>
            <w:tcW w:w="10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4,417</w:t>
            </w:r>
          </w:p>
        </w:tc>
        <w:tc>
          <w:tcPr>
            <w:tcW w:w="10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1,137</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196"/>
        </w:trPr>
        <w:tc>
          <w:tcPr>
            <w:tcW w:w="2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from continuing operations</w:t>
            </w:r>
          </w:p>
        </w:tc>
        <w:tc>
          <w:tcPr>
            <w:tcW w:w="11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(46,258)</w:t>
            </w:r>
          </w:p>
        </w:tc>
        <w:tc>
          <w:tcPr>
            <w:tcW w:w="100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(23,984)</w:t>
            </w:r>
          </w:p>
        </w:tc>
        <w:tc>
          <w:tcPr>
            <w:tcW w:w="10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(22,274)</w:t>
            </w: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93%</w:t>
            </w:r>
          </w:p>
        </w:tc>
        <w:tc>
          <w:tcPr>
            <w:tcW w:w="110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(68,635)</w:t>
            </w:r>
          </w:p>
        </w:tc>
        <w:tc>
          <w:tcPr>
            <w:tcW w:w="104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(52,485)</w:t>
            </w:r>
          </w:p>
        </w:tc>
        <w:tc>
          <w:tcPr>
            <w:tcW w:w="10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(16,150)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36"/>
        </w:trPr>
        <w:tc>
          <w:tcPr>
            <w:tcW w:w="2980" w:type="dxa"/>
            <w:vAlign w:val="bottom"/>
            <w:tcBorders>
              <w:bottom w:val="single" w:sz="8" w:color="auto"/>
            </w:tcBorders>
          </w:tcPr>
          <w:p>
            <w:pPr>
              <w:spacing w:after="0" w:line="236" w:lineRule="exact"/>
              <w:rPr>
                <w:sz w:val="20"/>
                <w:szCs w:val="20"/>
                <w:color w:val="auto"/>
              </w:rPr>
            </w:pPr>
            <w:r>
              <w:rPr>
                <w:rFonts w:ascii="Times New Roman" w:cs="Times New Roman" w:eastAsia="Times New Roman" w:hAnsi="Times New Roman"/>
                <w:sz w:val="16"/>
                <w:szCs w:val="16"/>
                <w:color w:val="auto"/>
              </w:rPr>
              <w:t xml:space="preserve">Net loss from discontinued operations </w:t>
            </w:r>
            <w:r>
              <w:rPr>
                <w:rFonts w:ascii="Times New Roman" w:cs="Times New Roman" w:eastAsia="Times New Roman" w:hAnsi="Times New Roman"/>
                <w:sz w:val="26"/>
                <w:szCs w:val="26"/>
                <w:color w:val="auto"/>
                <w:vertAlign w:val="superscript"/>
              </w:rPr>
              <w:t>(2)</w:t>
            </w:r>
          </w:p>
        </w:tc>
        <w:tc>
          <w:tcPr>
            <w:tcW w:w="11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(34,511)</w:t>
            </w:r>
          </w:p>
        </w:tc>
        <w:tc>
          <w:tcPr>
            <w:tcW w:w="10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(12,665)</w:t>
            </w:r>
          </w:p>
        </w:tc>
        <w:tc>
          <w:tcPr>
            <w:tcW w:w="10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(21,846)</w:t>
            </w: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172%</w:t>
            </w:r>
          </w:p>
        </w:tc>
        <w:tc>
          <w:tcPr>
            <w:tcW w:w="11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(74,734)</w:t>
            </w:r>
          </w:p>
        </w:tc>
        <w:tc>
          <w:tcPr>
            <w:tcW w:w="10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(16,743)</w:t>
            </w: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(57,991)</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0" w:type="dxa"/>
            <w:vAlign w:val="bottom"/>
          </w:tcPr>
          <w:p>
            <w:pPr>
              <w:spacing w:after="0"/>
              <w:rPr>
                <w:sz w:val="1"/>
                <w:szCs w:val="1"/>
                <w:color w:val="auto"/>
              </w:rPr>
            </w:pPr>
          </w:p>
        </w:tc>
      </w:tr>
      <w:tr>
        <w:trPr>
          <w:trHeight w:val="203"/>
        </w:trPr>
        <w:tc>
          <w:tcPr>
            <w:tcW w:w="2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1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(80,769)</w:t>
            </w:r>
          </w:p>
        </w:tc>
        <w:tc>
          <w:tcPr>
            <w:tcW w:w="100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(36,649)</w:t>
            </w:r>
          </w:p>
        </w:tc>
        <w:tc>
          <w:tcPr>
            <w:tcW w:w="10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(44,120)</w:t>
            </w: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120%</w:t>
            </w:r>
          </w:p>
        </w:tc>
        <w:tc>
          <w:tcPr>
            <w:tcW w:w="110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(143,369)</w:t>
            </w:r>
          </w:p>
        </w:tc>
        <w:tc>
          <w:tcPr>
            <w:tcW w:w="104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(69,228)</w:t>
            </w:r>
          </w:p>
        </w:tc>
        <w:tc>
          <w:tcPr>
            <w:tcW w:w="10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(74,141)</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03"/>
        </w:trPr>
        <w:tc>
          <w:tcPr>
            <w:tcW w:w="29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9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Change in revaluation surplus - digital</w:t>
            </w:r>
          </w:p>
        </w:tc>
        <w:tc>
          <w:tcPr>
            <w:tcW w:w="1140" w:type="dxa"/>
            <w:vAlign w:val="bottom"/>
            <w:vMerge w:val="restart"/>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6,395</w:t>
            </w:r>
          </w:p>
        </w:tc>
        <w:tc>
          <w:tcPr>
            <w:tcW w:w="10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15,977</w:t>
            </w:r>
          </w:p>
        </w:tc>
        <w:tc>
          <w:tcPr>
            <w:tcW w:w="10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9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assets, net of tax</w:t>
            </w: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721</w:t>
            </w:r>
          </w:p>
        </w:tc>
        <w:tc>
          <w:tcPr>
            <w:tcW w:w="102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5,674</w:t>
            </w: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787%</w:t>
            </w: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12,699</w:t>
            </w:r>
          </w:p>
        </w:tc>
        <w:tc>
          <w:tcPr>
            <w:tcW w:w="100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3,278</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185"/>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Total comprehensive loss from continuing</w:t>
            </w:r>
          </w:p>
        </w:tc>
        <w:tc>
          <w:tcPr>
            <w:tcW w:w="114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(39,863)</w:t>
            </w: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0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(52,658)</w:t>
            </w:r>
          </w:p>
        </w:tc>
        <w:tc>
          <w:tcPr>
            <w:tcW w:w="10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operations, net of tax</w:t>
            </w:r>
          </w:p>
        </w:tc>
        <w:tc>
          <w:tcPr>
            <w:tcW w:w="114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(23,263)</w:t>
            </w:r>
          </w:p>
        </w:tc>
        <w:tc>
          <w:tcPr>
            <w:tcW w:w="10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(16,600)</w:t>
            </w: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71%</w:t>
            </w:r>
          </w:p>
        </w:tc>
        <w:tc>
          <w:tcPr>
            <w:tcW w:w="110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(39,786)</w:t>
            </w: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(12,872)</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18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comprehensive loss from</w:t>
            </w:r>
          </w:p>
        </w:tc>
        <w:tc>
          <w:tcPr>
            <w:tcW w:w="1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980" w:type="dxa"/>
            <w:vAlign w:val="bottom"/>
            <w:tcBorders>
              <w:bottom w:val="single" w:sz="8" w:color="auto"/>
            </w:tcBorders>
            <w:shd w:val="clear" w:color="auto" w:fill="CCEEFF"/>
          </w:tcPr>
          <w:p>
            <w:pPr>
              <w:ind w:left="180"/>
              <w:spacing w:after="0" w:line="256" w:lineRule="exact"/>
              <w:rPr>
                <w:sz w:val="20"/>
                <w:szCs w:val="20"/>
                <w:color w:val="auto"/>
              </w:rPr>
            </w:pPr>
            <w:r>
              <w:rPr>
                <w:rFonts w:ascii="Times New Roman" w:cs="Times New Roman" w:eastAsia="Times New Roman" w:hAnsi="Times New Roman"/>
                <w:sz w:val="16"/>
                <w:szCs w:val="16"/>
                <w:color w:val="auto"/>
              </w:rPr>
              <w:t xml:space="preserve">discontinued operations, net of tax </w:t>
            </w:r>
            <w:r>
              <w:rPr>
                <w:rFonts w:ascii="Times New Roman" w:cs="Times New Roman" w:eastAsia="Times New Roman" w:hAnsi="Times New Roman"/>
                <w:sz w:val="26"/>
                <w:szCs w:val="26"/>
                <w:color w:val="auto"/>
                <w:vertAlign w:val="superscript"/>
              </w:rPr>
              <w:t>(2)</w:t>
            </w:r>
          </w:p>
        </w:tc>
        <w:tc>
          <w:tcPr>
            <w:tcW w:w="11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(34,511)</w:t>
            </w:r>
          </w:p>
        </w:tc>
        <w:tc>
          <w:tcPr>
            <w:tcW w:w="100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(12,665)</w:t>
            </w:r>
          </w:p>
        </w:tc>
        <w:tc>
          <w:tcPr>
            <w:tcW w:w="10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(21,846)</w:t>
            </w: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172%</w:t>
            </w:r>
          </w:p>
        </w:tc>
        <w:tc>
          <w:tcPr>
            <w:tcW w:w="110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(74,734)</w:t>
            </w:r>
          </w:p>
        </w:tc>
        <w:tc>
          <w:tcPr>
            <w:tcW w:w="104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(16,743)</w:t>
            </w:r>
          </w:p>
        </w:tc>
        <w:tc>
          <w:tcPr>
            <w:tcW w:w="10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(57,991)</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0" w:type="dxa"/>
            <w:vAlign w:val="bottom"/>
          </w:tcPr>
          <w:p>
            <w:pPr>
              <w:spacing w:after="0"/>
              <w:rPr>
                <w:sz w:val="1"/>
                <w:szCs w:val="1"/>
                <w:color w:val="auto"/>
              </w:rPr>
            </w:pPr>
          </w:p>
        </w:tc>
      </w:tr>
      <w:tr>
        <w:trPr>
          <w:trHeight w:val="203"/>
        </w:trPr>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 comprehensive loss, net of tax</w:t>
            </w:r>
          </w:p>
        </w:tc>
        <w:tc>
          <w:tcPr>
            <w:tcW w:w="11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(74,374)</w:t>
            </w:r>
          </w:p>
        </w:tc>
        <w:tc>
          <w:tcPr>
            <w:tcW w:w="10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(35,928)</w:t>
            </w:r>
          </w:p>
        </w:tc>
        <w:tc>
          <w:tcPr>
            <w:tcW w:w="10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(38,446)</w:t>
            </w: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107%</w:t>
            </w:r>
          </w:p>
        </w:tc>
        <w:tc>
          <w:tcPr>
            <w:tcW w:w="11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(127,392)</w:t>
            </w:r>
          </w:p>
        </w:tc>
        <w:tc>
          <w:tcPr>
            <w:tcW w:w="10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(56,529)</w:t>
            </w: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(70,863)</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From continuing operations</w:t>
            </w:r>
          </w:p>
        </w:tc>
        <w:tc>
          <w:tcPr>
            <w:tcW w:w="1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Basic and diluted net loss per share from</w:t>
            </w:r>
          </w:p>
        </w:tc>
        <w:tc>
          <w:tcPr>
            <w:tcW w:w="114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(0.08)</w:t>
            </w: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0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(0.13)</w:t>
            </w:r>
          </w:p>
        </w:tc>
        <w:tc>
          <w:tcPr>
            <w:tcW w:w="10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continuing operations (in U.S. dollars)</w:t>
            </w:r>
          </w:p>
        </w:tc>
        <w:tc>
          <w:tcPr>
            <w:tcW w:w="1140" w:type="dxa"/>
            <w:vAlign w:val="bottom"/>
            <w:vMerge w:val="continue"/>
          </w:tcPr>
          <w:p>
            <w:pPr>
              <w:spacing w:after="0"/>
              <w:rPr>
                <w:sz w:val="18"/>
                <w:szCs w:val="18"/>
                <w:color w:val="auto"/>
              </w:rPr>
            </w:pPr>
          </w:p>
        </w:tc>
        <w:tc>
          <w:tcPr>
            <w:tcW w:w="10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(0.05)</w:t>
            </w:r>
          </w:p>
        </w:tc>
        <w:tc>
          <w:tcPr>
            <w:tcW w:w="10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continue"/>
          </w:tcPr>
          <w:p>
            <w:pPr>
              <w:spacing w:after="0"/>
              <w:rPr>
                <w:sz w:val="18"/>
                <w:szCs w:val="18"/>
                <w:color w:val="auto"/>
              </w:rPr>
            </w:pPr>
          </w:p>
        </w:tc>
        <w:tc>
          <w:tcPr>
            <w:tcW w:w="10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(0.13)</w:t>
            </w:r>
          </w:p>
        </w:tc>
        <w:tc>
          <w:tcPr>
            <w:tcW w:w="10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6"/>
        </w:trPr>
        <w:tc>
          <w:tcPr>
            <w:tcW w:w="2980" w:type="dxa"/>
            <w:vAlign w:val="bottom"/>
            <w:shd w:val="clear" w:color="auto" w:fill="CCEEFF"/>
          </w:tcPr>
          <w:p>
            <w:pPr>
              <w:spacing w:after="0" w:line="246" w:lineRule="exact"/>
              <w:rPr>
                <w:sz w:val="20"/>
                <w:szCs w:val="20"/>
                <w:color w:val="auto"/>
              </w:rPr>
            </w:pPr>
            <w:r>
              <w:rPr>
                <w:rFonts w:ascii="Times New Roman" w:cs="Times New Roman" w:eastAsia="Times New Roman" w:hAnsi="Times New Roman"/>
                <w:sz w:val="16"/>
                <w:szCs w:val="16"/>
                <w:color w:val="auto"/>
              </w:rPr>
              <w:t xml:space="preserve">Gross Mining profit </w:t>
            </w:r>
            <w:r>
              <w:rPr>
                <w:rFonts w:ascii="Times New Roman" w:cs="Times New Roman" w:eastAsia="Times New Roman" w:hAnsi="Times New Roman"/>
                <w:sz w:val="26"/>
                <w:szCs w:val="26"/>
                <w:color w:val="auto"/>
                <w:vertAlign w:val="superscript"/>
              </w:rPr>
              <w:t>(3)</w:t>
            </w:r>
          </w:p>
        </w:tc>
        <w:tc>
          <w:tcPr>
            <w:tcW w:w="114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21,091</w:t>
            </w:r>
          </w:p>
        </w:tc>
        <w:tc>
          <w:tcPr>
            <w:tcW w:w="10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11,242</w:t>
            </w:r>
          </w:p>
        </w:tc>
        <w:tc>
          <w:tcPr>
            <w:tcW w:w="10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9,849</w:t>
            </w: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88%</w:t>
            </w:r>
          </w:p>
        </w:tc>
        <w:tc>
          <w:tcPr>
            <w:tcW w:w="110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68,936</w:t>
            </w:r>
          </w:p>
        </w:tc>
        <w:tc>
          <w:tcPr>
            <w:tcW w:w="104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47,223</w:t>
            </w:r>
          </w:p>
        </w:tc>
        <w:tc>
          <w:tcPr>
            <w:tcW w:w="10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21,713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43"/>
        </w:trPr>
        <w:tc>
          <w:tcPr>
            <w:tcW w:w="2980" w:type="dxa"/>
            <w:vAlign w:val="bottom"/>
          </w:tcPr>
          <w:p>
            <w:pPr>
              <w:spacing w:after="0" w:line="243" w:lineRule="exact"/>
              <w:rPr>
                <w:sz w:val="20"/>
                <w:szCs w:val="20"/>
                <w:color w:val="auto"/>
              </w:rPr>
            </w:pPr>
            <w:r>
              <w:rPr>
                <w:rFonts w:ascii="Times New Roman" w:cs="Times New Roman" w:eastAsia="Times New Roman" w:hAnsi="Times New Roman"/>
                <w:sz w:val="16"/>
                <w:szCs w:val="16"/>
                <w:color w:val="auto"/>
              </w:rPr>
              <w:t xml:space="preserve">Gross Mining margin </w:t>
            </w:r>
            <w:r>
              <w:rPr>
                <w:rFonts w:ascii="Times New Roman" w:cs="Times New Roman" w:eastAsia="Times New Roman" w:hAnsi="Times New Roman"/>
                <w:sz w:val="26"/>
                <w:szCs w:val="26"/>
                <w:color w:val="auto"/>
                <w:vertAlign w:val="superscript"/>
              </w:rPr>
              <w:t>(3)</w:t>
            </w:r>
          </w:p>
        </w:tc>
        <w:tc>
          <w:tcPr>
            <w:tcW w:w="11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35%</w:t>
            </w:r>
          </w:p>
        </w:tc>
        <w:tc>
          <w:tcPr>
            <w:tcW w:w="10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44%</w:t>
            </w:r>
          </w:p>
        </w:tc>
        <w:tc>
          <w:tcPr>
            <w:tcW w:w="10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43%</w:t>
            </w: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51%</w:t>
            </w:r>
          </w:p>
        </w:tc>
        <w:tc>
          <w:tcPr>
            <w:tcW w:w="10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6"/>
                <w:szCs w:val="26"/>
                <w:color w:val="auto"/>
                <w:vertAlign w:val="superscript"/>
              </w:rPr>
              <w:t>(3)</w:t>
            </w:r>
          </w:p>
        </w:tc>
        <w:tc>
          <w:tcPr>
            <w:tcW w:w="114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19,563</w:t>
            </w:r>
          </w:p>
        </w:tc>
        <w:tc>
          <w:tcPr>
            <w:tcW w:w="10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2,198</w:t>
            </w:r>
          </w:p>
        </w:tc>
        <w:tc>
          <w:tcPr>
            <w:tcW w:w="10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17,365</w:t>
            </w: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790%</w:t>
            </w:r>
          </w:p>
        </w:tc>
        <w:tc>
          <w:tcPr>
            <w:tcW w:w="110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38,538</w:t>
            </w:r>
          </w:p>
        </w:tc>
        <w:tc>
          <w:tcPr>
            <w:tcW w:w="104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23,845</w:t>
            </w:r>
          </w:p>
        </w:tc>
        <w:tc>
          <w:tcPr>
            <w:tcW w:w="10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14,693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50"/>
        </w:trPr>
        <w:tc>
          <w:tcPr>
            <w:tcW w:w="2980" w:type="dxa"/>
            <w:vAlign w:val="bottom"/>
            <w:tcBorders>
              <w:bottom w:val="single" w:sz="8" w:color="auto"/>
            </w:tcBorders>
          </w:tcPr>
          <w:p>
            <w:pPr>
              <w:spacing w:after="0" w:line="243" w:lineRule="exact"/>
              <w:rPr>
                <w:sz w:val="20"/>
                <w:szCs w:val="20"/>
                <w:color w:val="auto"/>
              </w:rPr>
            </w:pPr>
            <w:r>
              <w:rPr>
                <w:rFonts w:ascii="Times New Roman" w:cs="Times New Roman" w:eastAsia="Times New Roman" w:hAnsi="Times New Roman"/>
                <w:sz w:val="16"/>
                <w:szCs w:val="16"/>
                <w:color w:val="auto"/>
              </w:rPr>
              <w:t xml:space="preserve">Adjusted EBITDA margin </w:t>
            </w:r>
            <w:r>
              <w:rPr>
                <w:rFonts w:ascii="Times New Roman" w:cs="Times New Roman" w:eastAsia="Times New Roman" w:hAnsi="Times New Roman"/>
                <w:sz w:val="26"/>
                <w:szCs w:val="26"/>
                <w:color w:val="auto"/>
                <w:vertAlign w:val="superscript"/>
              </w:rPr>
              <w:t>(3)</w:t>
            </w:r>
          </w:p>
        </w:tc>
        <w:tc>
          <w:tcPr>
            <w:tcW w:w="11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28%</w:t>
            </w:r>
          </w:p>
        </w:tc>
        <w:tc>
          <w:tcPr>
            <w:tcW w:w="10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8%</w:t>
            </w:r>
          </w:p>
        </w:tc>
        <w:tc>
          <w:tcPr>
            <w:tcW w:w="10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22%</w:t>
            </w:r>
          </w:p>
        </w:tc>
        <w:tc>
          <w:tcPr>
            <w:tcW w:w="10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25%</w:t>
            </w:r>
          </w:p>
        </w:tc>
        <w:tc>
          <w:tcPr>
            <w:tcW w:w="10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p>
      <w:pPr>
        <w:spacing w:after="0" w:line="130" w:lineRule="exact"/>
        <w:rPr>
          <w:sz w:val="20"/>
          <w:szCs w:val="20"/>
          <w:color w:val="auto"/>
        </w:rPr>
      </w:pPr>
    </w:p>
    <w:p>
      <w:pPr>
        <w:ind w:left="340" w:hanging="332"/>
        <w:spacing w:after="0"/>
        <w:tabs>
          <w:tab w:leader="none" w:pos="340" w:val="left"/>
        </w:tabs>
        <w:numPr>
          <w:ilvl w:val="0"/>
          <w:numId w:val="6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margin and Operating margin are supplemental financial ratios; refer to Section 10 -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340" w:hanging="332"/>
        <w:spacing w:after="0" w:line="180" w:lineRule="auto"/>
        <w:tabs>
          <w:tab w:leader="none" w:pos="340" w:val="left"/>
        </w:tabs>
        <w:numPr>
          <w:ilvl w:val="0"/>
          <w:numId w:val="6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Discontinued operations refer to the operations in Rio Cuarto, Argentina, which have been abandoned due to the halting of the energy supply since</w:t>
      </w:r>
    </w:p>
    <w:p>
      <w:pPr>
        <w:spacing w:after="0" w:line="2" w:lineRule="exact"/>
        <w:rPr>
          <w:sz w:val="20"/>
          <w:szCs w:val="20"/>
          <w:color w:val="auto"/>
        </w:rPr>
      </w:pPr>
    </w:p>
    <w:p>
      <w:pPr>
        <w:jc w:val="both"/>
        <w:ind w:left="340"/>
        <w:spacing w:after="0" w:line="249" w:lineRule="auto"/>
        <w:rPr>
          <w:sz w:val="20"/>
          <w:szCs w:val="20"/>
          <w:color w:val="auto"/>
        </w:rPr>
      </w:pPr>
      <w:r>
        <w:rPr>
          <w:rFonts w:ascii="Times New Roman" w:cs="Times New Roman" w:eastAsia="Times New Roman" w:hAnsi="Times New Roman"/>
          <w:sz w:val="18"/>
          <w:szCs w:val="18"/>
          <w:color w:val="auto"/>
        </w:rPr>
        <w:t xml:space="preserve">May 12, 2025 and economic uncertainty in the region, and to the Paso Pe, Paraguay, operations that met the criteria to be classified as held for sale as the Company makes a strategic shift towards HPC/AI infrastructure in North America. Refer to Sections 8 - </w:t>
      </w:r>
      <w:r>
        <w:rPr>
          <w:rFonts w:ascii="Times New Roman" w:cs="Times New Roman" w:eastAsia="Times New Roman" w:hAnsi="Times New Roman"/>
          <w:sz w:val="18"/>
          <w:szCs w:val="18"/>
          <w:i w:val="1"/>
          <w:iCs w:val="1"/>
          <w:color w:val="auto"/>
        </w:rPr>
        <w:t>Financial performance (Discontinued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operations) </w:t>
      </w:r>
      <w:r>
        <w:rPr>
          <w:rFonts w:ascii="Times New Roman" w:cs="Times New Roman" w:eastAsia="Times New Roman" w:hAnsi="Times New Roman"/>
          <w:sz w:val="18"/>
          <w:szCs w:val="18"/>
          <w:color w:val="auto"/>
        </w:rPr>
        <w:t>and 18 -</w:t>
      </w:r>
      <w:r>
        <w:rPr>
          <w:rFonts w:ascii="Times New Roman" w:cs="Times New Roman" w:eastAsia="Times New Roman" w:hAnsi="Times New Roman"/>
          <w:sz w:val="18"/>
          <w:szCs w:val="18"/>
          <w:i w:val="1"/>
          <w:iCs w:val="1"/>
          <w:color w:val="auto"/>
        </w:rPr>
        <w:t xml:space="preserve"> Risk Factors (The Company’s operations in Rio Cuarto have been suspended due to a halt in its supply of electrical power on May 12, 2025) </w:t>
      </w:r>
      <w:r>
        <w:rPr>
          <w:rFonts w:ascii="Times New Roman" w:cs="Times New Roman" w:eastAsia="Times New Roman" w:hAnsi="Times New Roman"/>
          <w:sz w:val="18"/>
          <w:szCs w:val="18"/>
          <w:color w:val="auto"/>
        </w:rPr>
        <w:t>of this MD&amp;A.</w:t>
      </w:r>
    </w:p>
    <w:p>
      <w:pPr>
        <w:spacing w:after="0" w:line="3" w:lineRule="exact"/>
        <w:rPr>
          <w:sz w:val="20"/>
          <w:szCs w:val="20"/>
          <w:color w:val="auto"/>
        </w:rPr>
      </w:pPr>
    </w:p>
    <w:p>
      <w:pPr>
        <w:ind w:left="340" w:hanging="332"/>
        <w:spacing w:after="0" w:line="187" w:lineRule="auto"/>
        <w:tabs>
          <w:tab w:leader="none" w:pos="340" w:val="left"/>
        </w:tabs>
        <w:numPr>
          <w:ilvl w:val="0"/>
          <w:numId w:val="6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Mining profit, Gross Mining margin, EBITDA, EBITDA margin, Adjusted EBITDA and Adjusted EBITDA margin are non-IFRS measures or ratios; refer to Section 10 -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1803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10440"/>
        <w:spacing w:after="0"/>
        <w:tabs>
          <w:tab w:leader="none" w:pos="10840" w:val="left"/>
        </w:tabs>
        <w:rPr>
          <w:sz w:val="20"/>
          <w:szCs w:val="20"/>
          <w:color w:val="auto"/>
        </w:rPr>
      </w:pPr>
      <w:r>
        <w:rPr>
          <w:rFonts w:ascii="Times New Roman" w:cs="Times New Roman" w:eastAsia="Times New Roman" w:hAnsi="Times New Roman"/>
          <w:sz w:val="18"/>
          <w:szCs w:val="18"/>
          <w:color w:val="auto"/>
        </w:rPr>
        <w:t>18</w:t>
        <w:tab/>
        <w:t>Page</w:t>
      </w:r>
    </w:p>
    <w:p>
      <w:pPr>
        <w:sectPr>
          <w:pgSz w:w="11900" w:h="16838" w:orient="portrait"/>
          <w:cols w:equalWidth="0" w:num="1">
            <w:col w:w="11240"/>
          </w:cols>
          <w:pgMar w:left="320" w:top="92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 from continuing operations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00" w:type="dxa"/>
            <w:vAlign w:val="bottom"/>
            <w:tcBorders>
              <w:bottom w:val="single" w:sz="8" w:color="auto"/>
            </w:tcBorders>
          </w:tcPr>
          <w:p>
            <w:pPr>
              <w:spacing w:after="0"/>
              <w:rPr>
                <w:sz w:val="20"/>
                <w:szCs w:val="20"/>
                <w:color w:val="auto"/>
              </w:rPr>
            </w:pPr>
          </w:p>
        </w:tc>
        <w:tc>
          <w:tcPr>
            <w:tcW w:w="4600" w:type="dxa"/>
            <w:vAlign w:val="bottom"/>
            <w:tcBorders>
              <w:bottom w:val="single" w:sz="8" w:color="auto"/>
            </w:tcBorders>
            <w:gridSpan w:val="4"/>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(U.S.$ in thousands except</w:t>
            </w:r>
          </w:p>
        </w:tc>
        <w:tc>
          <w:tcPr>
            <w:tcW w:w="11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where indicated)</w:t>
            </w:r>
          </w:p>
        </w:tc>
        <w:tc>
          <w:tcPr>
            <w:tcW w:w="118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2024</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13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 Change</w:t>
            </w:r>
          </w:p>
        </w:tc>
        <w:tc>
          <w:tcPr>
            <w:tcW w:w="110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2024</w:t>
            </w:r>
          </w:p>
        </w:tc>
        <w:tc>
          <w:tcPr>
            <w:tcW w:w="12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 Change</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9"/>
              </w:rPr>
              <w:t>% Change</w:t>
            </w:r>
          </w:p>
        </w:tc>
        <w:tc>
          <w:tcPr>
            <w:tcW w:w="0" w:type="dxa"/>
            <w:vAlign w:val="bottom"/>
          </w:tcPr>
          <w:p>
            <w:pPr>
              <w:spacing w:after="0"/>
              <w:rPr>
                <w:sz w:val="1"/>
                <w:szCs w:val="1"/>
                <w:color w:val="auto"/>
              </w:rPr>
            </w:pPr>
          </w:p>
        </w:tc>
      </w:tr>
      <w:tr>
        <w:trPr>
          <w:trHeight w:val="209"/>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Cryptocurrency Mining</w:t>
            </w:r>
          </w:p>
        </w:tc>
        <w:tc>
          <w:tcPr>
            <w:tcW w:w="11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60,439</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25,621</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34,818</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136%</w:t>
            </w:r>
          </w:p>
        </w:tc>
        <w:tc>
          <w:tcPr>
            <w:tcW w:w="11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161,751</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92,012</w:t>
            </w:r>
          </w:p>
        </w:tc>
        <w:tc>
          <w:tcPr>
            <w:tcW w:w="12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69,739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Cryptocurrency Hosting</w:t>
            </w:r>
          </w:p>
        </w:tc>
        <w:tc>
          <w:tcPr>
            <w:tcW w:w="11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2,737</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2,737</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100%</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5,861</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5,861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Electrical services</w:t>
            </w:r>
          </w:p>
        </w:tc>
        <w:tc>
          <w:tcPr>
            <w:tcW w:w="11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1,122</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1,451</w:t>
            </w: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(329)</w:t>
            </w:r>
          </w:p>
        </w:tc>
        <w:tc>
          <w:tcPr>
            <w:tcW w:w="1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(23)%</w:t>
            </w:r>
          </w:p>
        </w:tc>
        <w:tc>
          <w:tcPr>
            <w:tcW w:w="11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3,222</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3,510</w:t>
            </w:r>
          </w:p>
        </w:tc>
        <w:tc>
          <w:tcPr>
            <w:tcW w:w="12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(288)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Energy sales</w:t>
            </w:r>
          </w:p>
        </w:tc>
        <w:tc>
          <w:tcPr>
            <w:tcW w:w="11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4,947</w:t>
            </w: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4,947</w:t>
            </w:r>
          </w:p>
        </w:tc>
        <w:tc>
          <w:tcPr>
            <w:tcW w:w="13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100%</w:t>
            </w:r>
          </w:p>
        </w:tc>
        <w:tc>
          <w:tcPr>
            <w:tcW w:w="11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8,216</w:t>
            </w: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8,216</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7"/>
        </w:trPr>
        <w:tc>
          <w:tcPr>
            <w:tcW w:w="2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69,245</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27,072</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42,173</w:t>
            </w:r>
          </w:p>
        </w:tc>
        <w:tc>
          <w:tcPr>
            <w:tcW w:w="13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156%</w:t>
            </w:r>
          </w:p>
        </w:tc>
        <w:tc>
          <w:tcPr>
            <w:tcW w:w="11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179,050</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95,522</w:t>
            </w:r>
          </w:p>
        </w:tc>
        <w:tc>
          <w:tcPr>
            <w:tcW w:w="12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83,528</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Q3 2025 v. Q3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were $69.2 million in Q3 2025 compared to $27.1 million in Q3 2024, an increase of $42.2 million, or 156%.</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most significant factors impacting the increase in Bitfarms’ revenues in Q3 2025 compared to Q3 2024 are presented in the table below. Revenues increased mostly due to an increase in the Company’s average BTC Hashrate and average BTC price, partially offset by the increase in Network Difficulty.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12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2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BTC</w:t>
            </w:r>
          </w:p>
        </w:tc>
        <w:tc>
          <w:tcPr>
            <w:tcW w:w="11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191"/>
        </w:trPr>
        <w:tc>
          <w:tcPr>
            <w:tcW w:w="62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BTC and revenues, including Volta*, for the three months ended September 30,</w:t>
            </w:r>
          </w:p>
        </w:tc>
        <w:tc>
          <w:tcPr>
            <w:tcW w:w="12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34"/>
        </w:trPr>
        <w:tc>
          <w:tcPr>
            <w:tcW w:w="62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12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414</w:t>
            </w:r>
          </w:p>
        </w:tc>
        <w:tc>
          <w:tcPr>
            <w:tcW w:w="11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27,072</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6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Impact of increase in Network Difficulty during Q3 2025 as compared to Q3</w:t>
            </w:r>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4"/>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12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(254)</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(29,807)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198"/>
        </w:trPr>
        <w:tc>
          <w:tcPr>
            <w:tcW w:w="6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Impact of increase in average Bitfarms’ BTC Hashrate during Q3 2025 as</w:t>
            </w:r>
          </w:p>
        </w:tc>
        <w:tc>
          <w:tcPr>
            <w:tcW w:w="1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34"/>
        </w:trPr>
        <w:tc>
          <w:tcPr>
            <w:tcW w:w="6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compared to Q3 2024</w:t>
            </w:r>
          </w:p>
        </w:tc>
        <w:tc>
          <w:tcPr>
            <w:tcW w:w="12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w:t>
            </w:r>
          </w:p>
        </w:tc>
        <w:tc>
          <w:tcPr>
            <w:tcW w:w="12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375</w:t>
            </w:r>
          </w:p>
        </w:tc>
        <w:tc>
          <w:tcPr>
            <w:tcW w:w="11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45,096</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Impact of difference in average BTC price in Q3 2025 as compared to Q3 2024</w:t>
            </w:r>
          </w:p>
        </w:tc>
        <w:tc>
          <w:tcPr>
            <w:tcW w:w="12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w:t>
            </w:r>
          </w:p>
        </w:tc>
        <w:tc>
          <w:tcPr>
            <w:tcW w:w="1260" w:type="dxa"/>
            <w:vAlign w:val="bottom"/>
          </w:tcPr>
          <w:p>
            <w:pPr>
              <w:spacing w:after="0"/>
              <w:rPr>
                <w:sz w:val="18"/>
                <w:szCs w:val="18"/>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24,325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198"/>
        </w:trPr>
        <w:tc>
          <w:tcPr>
            <w:tcW w:w="6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Mining variance, Computational power sold in exchange for services</w:t>
            </w:r>
          </w:p>
        </w:tc>
        <w:tc>
          <w:tcPr>
            <w:tcW w:w="1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34"/>
        </w:trPr>
        <w:tc>
          <w:tcPr>
            <w:tcW w:w="62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variance, other revenues and change in Volta*</w:t>
            </w:r>
          </w:p>
        </w:tc>
        <w:tc>
          <w:tcPr>
            <w:tcW w:w="12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2,559</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187"/>
        </w:trPr>
        <w:tc>
          <w:tcPr>
            <w:tcW w:w="626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BTC and revenues, including Volta*, for the three months ended September</w:t>
            </w:r>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45"/>
        </w:trPr>
        <w:tc>
          <w:tcPr>
            <w:tcW w:w="62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30, 2025</w:t>
            </w:r>
          </w:p>
        </w:tc>
        <w:tc>
          <w:tcPr>
            <w:tcW w:w="1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535</w:t>
            </w:r>
          </w:p>
        </w:tc>
        <w:tc>
          <w:tcPr>
            <w:tcW w:w="1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69,245</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*9159-9290 Quebec Inc. (“Volta”) is a wholly-owned subsidiary of the Company, assists the Company in building and maintaining its data centers and provides electrician services to both commercial and residential customers in Quebec, Canada.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52" w:lineRule="exact"/>
        <w:rPr>
          <w:sz w:val="20"/>
          <w:szCs w:val="20"/>
          <w:color w:val="auto"/>
        </w:rPr>
      </w:pPr>
    </w:p>
    <w:p>
      <w:pPr>
        <w:ind w:left="340" w:hanging="332"/>
        <w:spacing w:after="0" w:line="195" w:lineRule="auto"/>
        <w:tabs>
          <w:tab w:leader="none" w:pos="340" w:val="left"/>
        </w:tabs>
        <w:numPr>
          <w:ilvl w:val="0"/>
          <w:numId w:val="7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Calculated as the difference in BTC earned in Q3 2025 compared to Q3 2024, based on the change in Network Difficulty, multiplied by Q3 2025 average BTC price earned.</w:t>
      </w:r>
    </w:p>
    <w:p>
      <w:pPr>
        <w:ind w:left="340" w:hanging="332"/>
        <w:spacing w:after="0" w:line="181" w:lineRule="auto"/>
        <w:tabs>
          <w:tab w:leader="none" w:pos="340" w:val="left"/>
        </w:tabs>
        <w:numPr>
          <w:ilvl w:val="0"/>
          <w:numId w:val="7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Calculated as the difference in BTC earned in Q3 2025 compared to Q3 2024, based on the change in Bitfarms’ average Hashrate, multiplied by Q3</w:t>
      </w:r>
    </w:p>
    <w:p>
      <w:pPr>
        <w:spacing w:after="0" w:line="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2025 average BTC price earned.</w:t>
      </w:r>
    </w:p>
    <w:p>
      <w:pPr>
        <w:ind w:left="340" w:hanging="332"/>
        <w:spacing w:after="0" w:line="186" w:lineRule="auto"/>
        <w:tabs>
          <w:tab w:leader="none" w:pos="340" w:val="left"/>
        </w:tabs>
        <w:numPr>
          <w:ilvl w:val="0"/>
          <w:numId w:val="7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Calculated as the difference in average BTC price in Q3 2025 compared to Q3 2024 multiplied by BTC earned in 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1797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440"/>
        <w:spacing w:after="0"/>
        <w:tabs>
          <w:tab w:leader="none" w:pos="10840" w:val="left"/>
        </w:tabs>
        <w:rPr>
          <w:sz w:val="20"/>
          <w:szCs w:val="20"/>
          <w:color w:val="auto"/>
        </w:rPr>
      </w:pPr>
      <w:r>
        <w:rPr>
          <w:rFonts w:ascii="Times New Roman" w:cs="Times New Roman" w:eastAsia="Times New Roman" w:hAnsi="Times New Roman"/>
          <w:sz w:val="18"/>
          <w:szCs w:val="18"/>
          <w:color w:val="auto"/>
        </w:rPr>
        <w:t>19</w:t>
        <w:tab/>
        <w:t>Page</w:t>
      </w:r>
    </w:p>
    <w:p>
      <w:pPr>
        <w:sectPr>
          <w:pgSz w:w="11900" w:h="16838" w:orient="portrait"/>
          <w:cols w:equalWidth="0" w:num="1">
            <w:col w:w="11240"/>
          </w:cols>
          <w:pgMar w:left="320" w:top="92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Revenues from continuing operations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Q3 2025 v. Q3 2024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revenues and average Hashrate for Q3 2025 and Q3 2024 by country: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160" w:type="dxa"/>
            <w:vAlign w:val="bottom"/>
            <w:tcBorders>
              <w:bottom w:val="single" w:sz="8" w:color="auto"/>
            </w:tcBorders>
          </w:tcPr>
          <w:p>
            <w:pPr>
              <w:spacing w:after="0"/>
              <w:rPr>
                <w:sz w:val="20"/>
                <w:szCs w:val="20"/>
                <w:color w:val="auto"/>
              </w:rPr>
            </w:pPr>
          </w:p>
        </w:tc>
      </w:tr>
      <w:tr>
        <w:trPr>
          <w:trHeight w:val="209"/>
        </w:trPr>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r>
      <w:tr>
        <w:trPr>
          <w:trHeight w:val="209"/>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18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39,386</w:t>
            </w:r>
          </w:p>
        </w:tc>
        <w:tc>
          <w:tcPr>
            <w:tcW w:w="16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2,171</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37,215</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i w:val="1"/>
                <w:iCs w:val="1"/>
                <w:color w:val="auto"/>
              </w:rPr>
              <w:t>nm</w:t>
            </w:r>
          </w:p>
        </w:tc>
      </w:tr>
      <w:tr>
        <w:trPr>
          <w:trHeight w:val="216"/>
        </w:trPr>
        <w:tc>
          <w:tcPr>
            <w:tcW w:w="53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29,859</w:t>
            </w:r>
          </w:p>
        </w:tc>
        <w:tc>
          <w:tcPr>
            <w:tcW w:w="16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24,901</w:t>
            </w: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4,958</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532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69,245</w:t>
            </w:r>
          </w:p>
        </w:tc>
        <w:tc>
          <w:tcPr>
            <w:tcW w:w="16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27,072</w:t>
            </w:r>
          </w:p>
        </w:tc>
        <w:tc>
          <w:tcPr>
            <w:tcW w:w="13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42,173</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432"/>
        </w:trPr>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Average Operational Hashrate under Management*</w:t>
            </w:r>
          </w:p>
        </w:tc>
        <w:tc>
          <w:tcPr>
            <w:tcW w:w="18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1160" w:type="dxa"/>
            <w:vAlign w:val="bottom"/>
            <w:tcBorders>
              <w:bottom w:val="single" w:sz="8" w:color="auto"/>
            </w:tcBorders>
          </w:tcPr>
          <w:p>
            <w:pPr>
              <w:spacing w:after="0"/>
              <w:rPr>
                <w:sz w:val="24"/>
                <w:szCs w:val="24"/>
                <w:color w:val="auto"/>
              </w:rPr>
            </w:pPr>
          </w:p>
        </w:tc>
      </w:tr>
      <w:tr>
        <w:trPr>
          <w:trHeight w:val="209"/>
        </w:trPr>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(Average Hashrate in EH/s except where indicated)</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3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Change</w:t>
            </w: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10"/>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18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16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0.5</w:t>
            </w:r>
          </w:p>
        </w:tc>
        <w:tc>
          <w:tcPr>
            <w:tcW w:w="13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6.3</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r>
      <w:tr>
        <w:trPr>
          <w:trHeight w:val="216"/>
        </w:trPr>
        <w:tc>
          <w:tcPr>
            <w:tcW w:w="53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16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5.6</w:t>
            </w: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(0.1)</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32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16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6.1</w:t>
            </w:r>
          </w:p>
        </w:tc>
        <w:tc>
          <w:tcPr>
            <w:tcW w:w="13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6.2</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*Average operational hashrate reflects the hashrate of the Miners that the Company owns and operates.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Bitfarms earned its revenues during Q3 2025 from its North American operations. The United States and Canada accounted for 57% and 43% of total revenues, respectively, compared to 8% and 92% in Q3 2024, respectively.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Q3 2025, revenues from the Company’s operations in United States and Canada increased by $37.2 million and $5.0 million, respectively, compared to Q3 2024. The increases are mainly due to the average Hashrate increase of the United States operations of 6.3 EH/s, and the increase in average BTC price, partially offset by the increase in Network Difficulty. The Company’s acquisition of Stronghold’s facilities as part of the Stronghold Transaction contributed to 1.4 EH/s, or 23% of the Hashrate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97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0440"/>
        <w:spacing w:after="0"/>
        <w:tabs>
          <w:tab w:leader="none" w:pos="10840" w:val="left"/>
        </w:tabs>
        <w:rPr>
          <w:sz w:val="20"/>
          <w:szCs w:val="20"/>
          <w:color w:val="auto"/>
        </w:rPr>
      </w:pPr>
      <w:r>
        <w:rPr>
          <w:rFonts w:ascii="Times New Roman" w:cs="Times New Roman" w:eastAsia="Times New Roman" w:hAnsi="Times New Roman"/>
          <w:sz w:val="18"/>
          <w:szCs w:val="18"/>
          <w:color w:val="auto"/>
        </w:rPr>
        <w:t>20</w:t>
        <w:tab/>
        <w:t>Page</w:t>
      </w:r>
    </w:p>
    <w:p>
      <w:pPr>
        <w:sectPr>
          <w:pgSz w:w="11900" w:h="16838" w:orient="portrait"/>
          <w:cols w:equalWidth="0" w:num="1">
            <w:col w:w="11240"/>
          </w:cols>
          <w:pgMar w:left="320" w:top="92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Revenues from continuing operations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YTD Q3 2025 v. YTD Q3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were $179.1 million in YTD Q3 2025 compared to $95.5 million in YTD Q3 2024, an increase of $83.5 million, or 87%.</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most significant factors impacting the increase in Bitfarms’ revenues in YTD Q3 2025, compared to YTD Q3 2024, are presented in the table below. Revenues increased mostly due to the increase in average BTC price and the increase in average Bitfarms’ Hashrate, partially offset by the increase in Network Difficulty and lower BTC Block Rewards following the BTC halving event that occurred on April 19, 2024.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12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2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BTC</w:t>
            </w:r>
          </w:p>
        </w:tc>
        <w:tc>
          <w:tcPr>
            <w:tcW w:w="12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191"/>
        </w:trPr>
        <w:tc>
          <w:tcPr>
            <w:tcW w:w="62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BTC and revenues, including Volta*, for the nine months ended September 30,</w:t>
            </w:r>
          </w:p>
        </w:tc>
        <w:tc>
          <w:tcPr>
            <w:tcW w:w="1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34"/>
        </w:trPr>
        <w:tc>
          <w:tcPr>
            <w:tcW w:w="62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12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1,562</w:t>
            </w:r>
          </w:p>
        </w:tc>
        <w:tc>
          <w:tcPr>
            <w:tcW w:w="12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95,522</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6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Impact of BTC halving event on April 19, 2024 on Bitfarms’ quantity of BTC</w:t>
            </w:r>
          </w:p>
        </w:tc>
        <w:tc>
          <w:tcPr>
            <w:tcW w:w="1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4"/>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earned during YTD Q3 2025</w:t>
            </w: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(611)</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(55,251)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198"/>
        </w:trPr>
        <w:tc>
          <w:tcPr>
            <w:tcW w:w="6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Impact of increase in Network Difficulty during YTD Q3 2025 as compared to</w:t>
            </w:r>
          </w:p>
        </w:tc>
        <w:tc>
          <w:tcPr>
            <w:tcW w:w="1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34"/>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YTD Q3 2024</w:t>
            </w:r>
          </w:p>
        </w:tc>
        <w:tc>
          <w:tcPr>
            <w:tcW w:w="12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w:t>
            </w:r>
          </w:p>
        </w:tc>
        <w:tc>
          <w:tcPr>
            <w:tcW w:w="12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(1,034)</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(103,096)</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198"/>
        </w:trPr>
        <w:tc>
          <w:tcPr>
            <w:tcW w:w="6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Impact of increase in average Bitfarms’ BTC Hashrate during YTD Q3 2025 as</w:t>
            </w: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4"/>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compared to YTD Q3 2024</w:t>
            </w: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w:t>
            </w: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1,689</w:t>
            </w: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167,183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198"/>
        </w:trPr>
        <w:tc>
          <w:tcPr>
            <w:tcW w:w="6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Impact of difference in average BTC price in YTD Q3 2025 as compared to</w:t>
            </w:r>
          </w:p>
        </w:tc>
        <w:tc>
          <w:tcPr>
            <w:tcW w:w="1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34"/>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YTD Q3 2024</w:t>
            </w:r>
          </w:p>
        </w:tc>
        <w:tc>
          <w:tcPr>
            <w:tcW w:w="12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w:t>
            </w:r>
          </w:p>
        </w:tc>
        <w:tc>
          <w:tcPr>
            <w:tcW w:w="1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66,764</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198"/>
        </w:trPr>
        <w:tc>
          <w:tcPr>
            <w:tcW w:w="6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Mining variance, Computational power sold in exchange for services</w:t>
            </w: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4"/>
        </w:trPr>
        <w:tc>
          <w:tcPr>
            <w:tcW w:w="62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variance, other revenues and change in Volta*</w:t>
            </w:r>
          </w:p>
        </w:tc>
        <w:tc>
          <w:tcPr>
            <w:tcW w:w="1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7,928</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187"/>
        </w:trPr>
        <w:tc>
          <w:tcPr>
            <w:tcW w:w="622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BTC and revenues, including Volta*, for the nine months ended September</w:t>
            </w:r>
          </w:p>
        </w:tc>
        <w:tc>
          <w:tcPr>
            <w:tcW w:w="1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45"/>
        </w:trPr>
        <w:tc>
          <w:tcPr>
            <w:tcW w:w="62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30, 2025</w:t>
            </w:r>
          </w:p>
        </w:tc>
        <w:tc>
          <w:tcPr>
            <w:tcW w:w="1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1,606</w:t>
            </w:r>
          </w:p>
        </w:tc>
        <w:tc>
          <w:tcPr>
            <w:tcW w:w="12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179,050</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*Volta is a wholly-owned subsidiary of the Company, assists the Company in building and maintaining its data centers and provides electrician services to both commercial and residential customers in Quebec, Canada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52" w:lineRule="exact"/>
        <w:rPr>
          <w:sz w:val="20"/>
          <w:szCs w:val="20"/>
          <w:color w:val="auto"/>
        </w:rPr>
      </w:pPr>
    </w:p>
    <w:p>
      <w:pPr>
        <w:ind w:left="660" w:hanging="328"/>
        <w:spacing w:after="0" w:line="195" w:lineRule="auto"/>
        <w:tabs>
          <w:tab w:leader="none" w:pos="660" w:val="left"/>
        </w:tabs>
        <w:numPr>
          <w:ilvl w:val="0"/>
          <w:numId w:val="7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Calculated as the theoretical BTC earned based on Bitfarms’ actual Hashrate during YTD Q3 2025 assuming the BTC halving event did not occur, compared to actual BTC earned during the same period multiplied by average BTC price earned.</w:t>
      </w:r>
    </w:p>
    <w:p>
      <w:pPr>
        <w:spacing w:after="0" w:line="2" w:lineRule="exact"/>
        <w:rPr>
          <w:sz w:val="20"/>
          <w:szCs w:val="20"/>
          <w:color w:val="auto"/>
        </w:rPr>
      </w:pPr>
    </w:p>
    <w:p>
      <w:pPr>
        <w:ind w:left="660" w:right="20" w:hanging="328"/>
        <w:spacing w:after="0" w:line="187" w:lineRule="auto"/>
        <w:tabs>
          <w:tab w:leader="none" w:pos="660" w:val="left"/>
        </w:tabs>
        <w:numPr>
          <w:ilvl w:val="0"/>
          <w:numId w:val="7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Calculated as the difference in BTC earned in YTD Q3 2025 compared to YTD Q3 2024, based on the change in Network Difficulty, multiplied by YTD Q3 2025 average BTC price earned.</w:t>
      </w:r>
    </w:p>
    <w:p>
      <w:pPr>
        <w:ind w:left="660" w:hanging="328"/>
        <w:spacing w:after="0" w:line="181" w:lineRule="auto"/>
        <w:tabs>
          <w:tab w:leader="none" w:pos="660" w:val="left"/>
        </w:tabs>
        <w:numPr>
          <w:ilvl w:val="0"/>
          <w:numId w:val="7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Calculated as the difference in BTC earned in YTD Q3 2025 compared to YTD Q3 2024, based on the change in Bitfarms’ average Hashrate,</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multiplied by YTD Q3 2025 average BTC price earned.</w:t>
      </w:r>
    </w:p>
    <w:p>
      <w:pPr>
        <w:ind w:left="660" w:hanging="328"/>
        <w:spacing w:after="0" w:line="186" w:lineRule="auto"/>
        <w:tabs>
          <w:tab w:leader="none" w:pos="660" w:val="left"/>
        </w:tabs>
        <w:numPr>
          <w:ilvl w:val="0"/>
          <w:numId w:val="7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Calculated as the difference in average BTC price in YTD Q3 2025 compared to YTD Q3 2024 multiplied by BTC earned in YTD 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1803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8">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440"/>
        <w:spacing w:after="0"/>
        <w:tabs>
          <w:tab w:leader="none" w:pos="10840" w:val="left"/>
        </w:tabs>
        <w:rPr>
          <w:sz w:val="20"/>
          <w:szCs w:val="20"/>
          <w:color w:val="auto"/>
        </w:rPr>
      </w:pPr>
      <w:r>
        <w:rPr>
          <w:rFonts w:ascii="Times New Roman" w:cs="Times New Roman" w:eastAsia="Times New Roman" w:hAnsi="Times New Roman"/>
          <w:sz w:val="18"/>
          <w:szCs w:val="18"/>
          <w:color w:val="auto"/>
        </w:rPr>
        <w:t>21</w:t>
        <w:tab/>
        <w:t>Page</w:t>
      </w:r>
    </w:p>
    <w:p>
      <w:pPr>
        <w:sectPr>
          <w:pgSz w:w="11900" w:h="16838" w:orient="portrait"/>
          <w:cols w:equalWidth="0" w:num="1">
            <w:col w:w="11240"/>
          </w:cols>
          <w:pgMar w:left="320" w:top="92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Revenues from continuing operations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YTD Q3 2025 v. YTD Q3 2024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revenues and average Hashrate for YTD Q3 2025 and YTD Q3 2024 by country: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160" w:type="dxa"/>
            <w:vAlign w:val="bottom"/>
            <w:tcBorders>
              <w:bottom w:val="single" w:sz="8" w:color="auto"/>
            </w:tcBorders>
          </w:tcPr>
          <w:p>
            <w:pPr>
              <w:spacing w:after="0"/>
              <w:rPr>
                <w:sz w:val="20"/>
                <w:szCs w:val="20"/>
                <w:color w:val="auto"/>
              </w:rPr>
            </w:pPr>
          </w:p>
        </w:tc>
      </w:tr>
      <w:tr>
        <w:trPr>
          <w:trHeight w:val="210"/>
        </w:trPr>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r>
      <w:tr>
        <w:trPr>
          <w:trHeight w:val="209"/>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20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90,484</w:t>
            </w:r>
          </w:p>
        </w:tc>
        <w:tc>
          <w:tcPr>
            <w:tcW w:w="16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10,354</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80,130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r>
      <w:tr>
        <w:trPr>
          <w:trHeight w:val="216"/>
        </w:trPr>
        <w:tc>
          <w:tcPr>
            <w:tcW w:w="5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88,566</w:t>
            </w:r>
          </w:p>
        </w:tc>
        <w:tc>
          <w:tcPr>
            <w:tcW w:w="1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85,168</w:t>
            </w: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3,398</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7"/>
        </w:trPr>
        <w:tc>
          <w:tcPr>
            <w:tcW w:w="5120" w:type="dxa"/>
            <w:vAlign w:val="bottom"/>
            <w:tcBorders>
              <w:bottom w:val="single" w:sz="8" w:color="auto"/>
            </w:tcBorders>
            <w:shd w:val="clear" w:color="auto" w:fill="CCEEFF"/>
          </w:tcPr>
          <w:p>
            <w:pPr>
              <w:spacing w:after="0"/>
              <w:rPr>
                <w:sz w:val="18"/>
                <w:szCs w:val="18"/>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179,050</w:t>
            </w:r>
          </w:p>
        </w:tc>
        <w:tc>
          <w:tcPr>
            <w:tcW w:w="16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95,522</w:t>
            </w:r>
          </w:p>
        </w:tc>
        <w:tc>
          <w:tcPr>
            <w:tcW w:w="13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83,528</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432"/>
        </w:trPr>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Average Hashrate under Management*</w:t>
            </w:r>
          </w:p>
        </w:tc>
        <w:tc>
          <w:tcPr>
            <w:tcW w:w="20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160" w:type="dxa"/>
            <w:vAlign w:val="bottom"/>
            <w:tcBorders>
              <w:bottom w:val="single" w:sz="8" w:color="auto"/>
            </w:tcBorders>
          </w:tcPr>
          <w:p>
            <w:pPr>
              <w:spacing w:after="0"/>
              <w:rPr>
                <w:sz w:val="24"/>
                <w:szCs w:val="24"/>
                <w:color w:val="auto"/>
              </w:rPr>
            </w:pPr>
          </w:p>
        </w:tc>
      </w:tr>
      <w:tr>
        <w:trPr>
          <w:trHeight w:val="210"/>
        </w:trPr>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(Average Hashrate in EH/s except where indicated)</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Change</w:t>
            </w: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r>
      <w:tr>
        <w:trPr>
          <w:trHeight w:val="209"/>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20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6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0.5</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5.1</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i w:val="1"/>
                <w:iCs w:val="1"/>
                <w:color w:val="auto"/>
              </w:rPr>
              <w:t>nm</w:t>
            </w:r>
          </w:p>
        </w:tc>
      </w:tr>
      <w:tr>
        <w:trPr>
          <w:trHeight w:val="216"/>
        </w:trPr>
        <w:tc>
          <w:tcPr>
            <w:tcW w:w="5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1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4.6</w:t>
            </w: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1.2</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5120" w:type="dxa"/>
            <w:vAlign w:val="bottom"/>
            <w:tcBorders>
              <w:bottom w:val="single" w:sz="8" w:color="auto"/>
            </w:tcBorders>
            <w:shd w:val="clear" w:color="auto" w:fill="CCEEFF"/>
          </w:tcPr>
          <w:p>
            <w:pPr>
              <w:spacing w:after="0"/>
              <w:rPr>
                <w:sz w:val="18"/>
                <w:szCs w:val="18"/>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16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5.1</w:t>
            </w:r>
          </w:p>
        </w:tc>
        <w:tc>
          <w:tcPr>
            <w:tcW w:w="13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6.3</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*Average operational hashrate reflects the hashrate of the Miners that the Company owns and operates.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Bitfarms earned its revenues during YTD Q3 2025 from its North American operations. The United States and Canada accounted for 51% and 49% of total revenues, respectively, compared to 11% and 89% in YTD Q3 2024, respectively.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YTD Q3 2025, revenues from the Company’s operations in United States and Canada increased by $80.1 million and $3.4 million, respectively, compared to YTD Q3 2024. The increases are mainly due to average hashrate increase of the United States and Canada operations of 5.1 EH/s and 1.2 EH/s, respectively, and the increases in average BTC price, partially offset by the increase in Network Difficulty and the decrease in Block Rewards following the BTC halving event that occurred on April 19, 2024. The Company’s acquisition of Stronghold facilities as part of the Stronghold Transaction contributed to 1.4 EH/s, or 22% of the Hashrate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97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0440"/>
        <w:spacing w:after="0"/>
        <w:tabs>
          <w:tab w:leader="none" w:pos="10840" w:val="left"/>
        </w:tabs>
        <w:rPr>
          <w:sz w:val="20"/>
          <w:szCs w:val="20"/>
          <w:color w:val="auto"/>
        </w:rPr>
      </w:pPr>
      <w:r>
        <w:rPr>
          <w:rFonts w:ascii="Times New Roman" w:cs="Times New Roman" w:eastAsia="Times New Roman" w:hAnsi="Times New Roman"/>
          <w:sz w:val="18"/>
          <w:szCs w:val="18"/>
          <w:color w:val="auto"/>
        </w:rPr>
        <w:t>22</w:t>
        <w:tab/>
        <w:t>Page</w:t>
      </w:r>
    </w:p>
    <w:p>
      <w:pPr>
        <w:sectPr>
          <w:pgSz w:w="11900" w:h="16838" w:orient="portrait"/>
          <w:cols w:equalWidth="0" w:num="1">
            <w:col w:w="11240"/>
          </w:cols>
          <w:pgMar w:left="320" w:top="92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Cost of Revenues from continuing operations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8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1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(U.S.$ in thousands except</w:t>
            </w:r>
          </w:p>
        </w:tc>
        <w:tc>
          <w:tcPr>
            <w:tcW w:w="120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where indicated)</w:t>
            </w:r>
          </w:p>
        </w:tc>
        <w:tc>
          <w:tcPr>
            <w:tcW w:w="120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2024</w:t>
            </w:r>
          </w:p>
        </w:tc>
        <w:tc>
          <w:tcPr>
            <w:tcW w:w="1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 Change</w:t>
            </w: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96"/>
              </w:rPr>
              <w:t>% Change</w:t>
            </w:r>
          </w:p>
        </w:tc>
        <w:tc>
          <w:tcPr>
            <w:tcW w:w="108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2024</w:t>
            </w:r>
          </w:p>
        </w:tc>
        <w:tc>
          <w:tcPr>
            <w:tcW w:w="12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 Change</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9"/>
              </w:rPr>
              <w:t>% Change</w:t>
            </w: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w:t>
            </w:r>
          </w:p>
        </w:tc>
        <w:tc>
          <w:tcPr>
            <w:tcW w:w="12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(21,861)</w:t>
            </w: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(13,108)</w:t>
            </w:r>
          </w:p>
        </w:tc>
        <w:tc>
          <w:tcPr>
            <w:tcW w:w="12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(8,753)</w:t>
            </w:r>
          </w:p>
        </w:tc>
        <w:tc>
          <w:tcPr>
            <w:tcW w:w="11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67%</w:t>
            </w: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(57,153)</w:t>
            </w: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(44,620)</w:t>
            </w:r>
          </w:p>
        </w:tc>
        <w:tc>
          <w:tcPr>
            <w:tcW w:w="12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(12,533)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Sales tax recovery - energy</w:t>
            </w:r>
          </w:p>
        </w:tc>
        <w:tc>
          <w:tcPr>
            <w:tcW w:w="12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17,017</w:t>
            </w: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(17,017)</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Depreciation and</w:t>
            </w:r>
          </w:p>
        </w:tc>
        <w:tc>
          <w:tcPr>
            <w:tcW w:w="120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(27,386)</w:t>
            </w:r>
          </w:p>
        </w:tc>
        <w:tc>
          <w:tcPr>
            <w:tcW w:w="10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(73,773)</w:t>
            </w:r>
          </w:p>
        </w:tc>
        <w:tc>
          <w:tcPr>
            <w:tcW w:w="1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200" w:type="dxa"/>
            <w:vAlign w:val="bottom"/>
            <w:vMerge w:val="continue"/>
            <w:shd w:val="clear" w:color="auto" w:fill="CCEEFF"/>
          </w:tcPr>
          <w:p>
            <w:pPr>
              <w:spacing w:after="0"/>
              <w:rPr>
                <w:sz w:val="20"/>
                <w:szCs w:val="20"/>
                <w:color w:val="auto"/>
              </w:rPr>
            </w:pP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(13,583)</w:t>
            </w:r>
          </w:p>
        </w:tc>
        <w:tc>
          <w:tcPr>
            <w:tcW w:w="12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(13,803)</w:t>
            </w:r>
          </w:p>
        </w:tc>
        <w:tc>
          <w:tcPr>
            <w:tcW w:w="11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102%</w:t>
            </w:r>
          </w:p>
        </w:tc>
        <w:tc>
          <w:tcPr>
            <w:tcW w:w="1080" w:type="dxa"/>
            <w:vAlign w:val="bottom"/>
            <w:vMerge w:val="continue"/>
            <w:shd w:val="clear" w:color="auto" w:fill="CCEEFF"/>
          </w:tcPr>
          <w:p>
            <w:pPr>
              <w:spacing w:after="0"/>
              <w:rPr>
                <w:sz w:val="20"/>
                <w:szCs w:val="20"/>
                <w:color w:val="auto"/>
              </w:rPr>
            </w:pP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(91,884)</w:t>
            </w:r>
          </w:p>
        </w:tc>
        <w:tc>
          <w:tcPr>
            <w:tcW w:w="12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18,111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w:t>
            </w: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w:t>
            </w:r>
          </w:p>
        </w:tc>
        <w:tc>
          <w:tcPr>
            <w:tcW w:w="120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200" w:type="dxa"/>
            <w:vAlign w:val="bottom"/>
            <w:vMerge w:val="continue"/>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continue"/>
          </w:tcPr>
          <w:p>
            <w:pPr>
              <w:spacing w:after="0"/>
              <w:rPr>
                <w:sz w:val="20"/>
                <w:szCs w:val="20"/>
                <w:color w:val="auto"/>
              </w:rPr>
            </w:pP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8,760</w:t>
            </w: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(8,760)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Hosting expenses</w:t>
            </w:r>
          </w:p>
        </w:tc>
        <w:tc>
          <w:tcPr>
            <w:tcW w:w="12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(7,735)</w:t>
            </w:r>
          </w:p>
        </w:tc>
        <w:tc>
          <w:tcPr>
            <w:tcW w:w="1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(7,735)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Infrastructure expenses</w:t>
            </w:r>
          </w:p>
        </w:tc>
        <w:tc>
          <w:tcPr>
            <w:tcW w:w="12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(21,799)</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(1,284)</w:t>
            </w: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(20,515)</w:t>
            </w: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i w:val="1"/>
                <w:iCs w:val="1"/>
                <w:color w:val="auto"/>
              </w:rPr>
              <w:t>nm</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(40,235)</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(4,070)</w:t>
            </w: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(36,165)</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Electrical components and</w:t>
            </w:r>
          </w:p>
        </w:tc>
        <w:tc>
          <w:tcPr>
            <w:tcW w:w="120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(1,081)</w:t>
            </w:r>
          </w:p>
        </w:tc>
        <w:tc>
          <w:tcPr>
            <w:tcW w:w="10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(2,788)</w:t>
            </w:r>
          </w:p>
        </w:tc>
        <w:tc>
          <w:tcPr>
            <w:tcW w:w="1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salaries</w:t>
            </w: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(1,097)</w:t>
            </w:r>
          </w:p>
        </w:tc>
        <w:tc>
          <w:tcPr>
            <w:tcW w:w="12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16</w:t>
            </w: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(2,678)</w:t>
            </w:r>
          </w:p>
        </w:tc>
        <w:tc>
          <w:tcPr>
            <w:tcW w:w="12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(110)</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(72,127)</w:t>
            </w: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(29,072)</w:t>
            </w:r>
          </w:p>
        </w:tc>
        <w:tc>
          <w:tcPr>
            <w:tcW w:w="12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(43,055)</w:t>
            </w:r>
          </w:p>
        </w:tc>
        <w:tc>
          <w:tcPr>
            <w:tcW w:w="11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148%</w:t>
            </w:r>
          </w:p>
        </w:tc>
        <w:tc>
          <w:tcPr>
            <w:tcW w:w="10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(181,684)</w:t>
            </w: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(117,475)</w:t>
            </w:r>
          </w:p>
        </w:tc>
        <w:tc>
          <w:tcPr>
            <w:tcW w:w="12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(64,209)</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Q3 2025 v. Q3 2024</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Bitfarms’ cost of revenues for Q3 2025 was $72.1 million, compared to $29.1 million for Q3 2024. The increase in cost of revenues was mainly attributable to:</w:t>
      </w:r>
    </w:p>
    <w:p>
      <w:pPr>
        <w:spacing w:after="0" w:line="1" w:lineRule="exact"/>
        <w:rPr>
          <w:sz w:val="20"/>
          <w:szCs w:val="20"/>
          <w:color w:val="auto"/>
        </w:rPr>
      </w:pPr>
    </w:p>
    <w:p>
      <w:pPr>
        <w:ind w:left="340" w:hanging="332"/>
        <w:spacing w:after="0"/>
        <w:tabs>
          <w:tab w:leader="none" w:pos="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$20.5 million increase in infrastructure expenses, mainly due to:</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 million non-recurring expense in customs duties following a determination by U.S. Customs and Border Protection’s regarding Miners imported by the Company in 2021, compared to nil in Q3 2024. Refer to Note 16 to the Financial Statements for more details; and</w:t>
      </w:r>
    </w:p>
    <w:p>
      <w:pPr>
        <w:jc w:val="both"/>
        <w:ind w:left="980" w:hanging="324"/>
        <w:spacing w:after="0" w:line="250" w:lineRule="auto"/>
        <w:tabs>
          <w:tab w:leader="none" w:pos="98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 million increase related to operating expenses at the Panther Creek and Scrubgrass power plants, following the acquisition of Stronghold in the first quarter of 2025. The expenses included $3.9 million of labor costs and other employee benefits, $2.0 million of plant maintenance costs and $2.3 million of other operating expenses.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 million, or 67%, increase in energy expenses, mainly due to:</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adding new and more efficient Miners, which increased energy utilization to an average of 238 MW during Q3 2025 versus 133 MW for the same period in 2024, resulting in an increase in electricity costs of $5.3 million; and</w:t>
      </w:r>
    </w:p>
    <w:p>
      <w:pPr>
        <w:jc w:val="both"/>
        <w:ind w:left="980" w:hanging="324"/>
        <w:spacing w:after="0" w:line="250" w:lineRule="auto"/>
        <w:tabs>
          <w:tab w:leader="none" w:pos="98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$11.6 million increase due to fuel expenses for the Panther Creek and Scrubgrass power plants following the acquisition of Stronghold in the first quarter of 2025, partially offset by renewable energy credits (“RECs”) and waste tax credits (“WTCs”) of $6.4 million and $1.9 million, respectively, in Q3 2025.</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$13.8 million increase in non-cash depreciation and amortization expense as the Company added new Miners, power plants and electrical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97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10440"/>
        <w:spacing w:after="0"/>
        <w:tabs>
          <w:tab w:leader="none" w:pos="10840" w:val="left"/>
        </w:tabs>
        <w:rPr>
          <w:sz w:val="20"/>
          <w:szCs w:val="20"/>
          <w:color w:val="auto"/>
        </w:rPr>
      </w:pPr>
      <w:r>
        <w:rPr>
          <w:rFonts w:ascii="Times New Roman" w:cs="Times New Roman" w:eastAsia="Times New Roman" w:hAnsi="Times New Roman"/>
          <w:sz w:val="18"/>
          <w:szCs w:val="18"/>
          <w:color w:val="auto"/>
        </w:rPr>
        <w:t>23</w:t>
        <w:tab/>
        <w:t>Page</w:t>
      </w:r>
    </w:p>
    <w:p>
      <w:pPr>
        <w:sectPr>
          <w:pgSz w:w="11900" w:h="16838" w:orient="portrait"/>
          <w:cols w:equalWidth="0" w:num="1">
            <w:col w:w="11240"/>
          </w:cols>
          <w:pgMar w:left="320" w:top="92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Cost of Revenues from continuing operations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YTD Q3 2025 v. YTD Q3 2024</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Bitfarms’ cost of revenues was $181.7 million for YTD Q3 2025 compared to $117.5 million for YTD Q3 2024. The increase in cost of revenues was mainly due to:</w:t>
      </w:r>
    </w:p>
    <w:p>
      <w:pPr>
        <w:spacing w:after="0" w:line="1" w:lineRule="exact"/>
        <w:rPr>
          <w:sz w:val="20"/>
          <w:szCs w:val="20"/>
          <w:color w:val="auto"/>
        </w:rPr>
      </w:pPr>
    </w:p>
    <w:p>
      <w:pPr>
        <w:ind w:left="340" w:hanging="332"/>
        <w:spacing w:after="0"/>
        <w:tabs>
          <w:tab w:leader="none" w:pos="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$36.1 million, or 889%, increase in infrastructure expenses, mainly due to:</w:t>
      </w:r>
    </w:p>
    <w:p>
      <w:pPr>
        <w:spacing w:after="0" w:line="9"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$20.4 million increase related to operating expenses at the Panther Creek and Scrubgrass power plants following the acquisition of Stronghold in the first quarter of 2025. The expenses included $7.8 million of labor costs and other employee benefits, $7.9 million of plant maintenance costs and $4.7 million of other operating expenses; and</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$9.2 million increase in non-recurring expense of customs duties following a determination by U.S. Customs and Border Protection’s regarding Miners imported by the Company in 2021, compared to nil in YTD Q3 2024. Refer to Note 16 to the Financial Statements for more details.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 million, or 28%, increase in energy expenses, mainly due to:</w:t>
      </w:r>
    </w:p>
    <w:p>
      <w:pPr>
        <w:spacing w:after="0" w:line="9"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8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$23.5 million increase due to fuel expenses from its power plants to generate revenues following the acquisition of Stronghold in the first quarter of 2025, partially offset by RECs and WCTCs of $13.0 million and $4.0 million, respectively, in YTD Q3 2025; and</w:t>
      </w:r>
    </w:p>
    <w:p>
      <w:pPr>
        <w:ind w:left="980" w:hanging="324"/>
        <w:spacing w:after="0" w:line="250" w:lineRule="auto"/>
        <w:tabs>
          <w:tab w:leader="none" w:pos="98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adding new and more efficient Miners, which increased energy utilization to an average of 222 MW during YTD Q3 2025 versus 144 MW for the same period in 2024, resulting in an increase in electricity costs of $5.6 million.</w:t>
      </w:r>
    </w:p>
    <w:p>
      <w:pPr>
        <w:jc w:val="both"/>
        <w:ind w:left="340" w:hanging="332"/>
        <w:spacing w:after="0" w:line="250" w:lineRule="auto"/>
        <w:tabs>
          <w:tab w:leader="none" w:pos="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$25.8 million sales tax recovery received in Q3 2024 for sales taxes paid by the Company from February 5, 2022 to April 2024 due to the Company receiving confirmation from the provincial tax authorities that Canadian sales taxes are refundable, compared to nil in YTD Q3 2025. Refer to Note 29b - </w:t>
      </w:r>
      <w:r>
        <w:rPr>
          <w:rFonts w:ascii="Times New Roman" w:cs="Times New Roman" w:eastAsia="Times New Roman" w:hAnsi="Times New Roman"/>
          <w:sz w:val="18"/>
          <w:szCs w:val="18"/>
          <w:i w:val="1"/>
          <w:iCs w:val="1"/>
          <w:color w:val="auto"/>
        </w:rPr>
        <w:t>Additional Details to the Statement of Profit or Loss and Comprehensive Profit or Loss (Canadian sales tax refund)</w:t>
      </w:r>
      <w:r>
        <w:rPr>
          <w:rFonts w:ascii="Times New Roman" w:cs="Times New Roman" w:eastAsia="Times New Roman" w:hAnsi="Times New Roman"/>
          <w:sz w:val="18"/>
          <w:szCs w:val="18"/>
          <w:color w:val="auto"/>
        </w:rPr>
        <w:t xml:space="preserve"> to the 2024 Annual Financial Statements.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$7.7 million, or 100%, increase in hosting expenses, mainly due to:</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$4.4 million increase in electricity costs incurred in Q1 2025 for the hosting of the Company’s Miners at the Panther Creek and Scrubgrass facilities prior to the acquisition of Stronghold; and</w:t>
      </w:r>
    </w:p>
    <w:p>
      <w:pPr>
        <w:ind w:left="980" w:hanging="324"/>
        <w:spacing w:after="0" w:line="260" w:lineRule="auto"/>
        <w:tabs>
          <w:tab w:leader="none" w:pos="98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non-recurring increase of $3.3 million in hosting expenses as the Company had its Miners hosted at Stronghold’s Panther Creek and Scrubgrass facilities in the first quarter of 2025, prior to the acquisition of Stronghold.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increases were partially offset by:</w:t>
      </w:r>
    </w:p>
    <w:p>
      <w:pPr>
        <w:spacing w:after="0" w:line="27" w:lineRule="exact"/>
        <w:rPr>
          <w:sz w:val="20"/>
          <w:szCs w:val="20"/>
          <w:color w:val="auto"/>
        </w:rPr>
      </w:pPr>
    </w:p>
    <w:p>
      <w:pPr>
        <w:jc w:val="both"/>
        <w:ind w:left="340" w:hanging="332"/>
        <w:spacing w:after="0" w:line="255" w:lineRule="auto"/>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$18.1 million decrease in non-cash depreciation and amortization expense due to the accelerated depreciation recorded in YTD Q3 2024 related to the upgrade program which decreased the anticipated useful life of older Miners. Refer to Note 12 -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to the 2024 Annual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97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10440"/>
        <w:spacing w:after="0"/>
        <w:tabs>
          <w:tab w:leader="none" w:pos="10840" w:val="left"/>
        </w:tabs>
        <w:rPr>
          <w:sz w:val="20"/>
          <w:szCs w:val="20"/>
          <w:color w:val="auto"/>
        </w:rPr>
      </w:pPr>
      <w:r>
        <w:rPr>
          <w:rFonts w:ascii="Times New Roman" w:cs="Times New Roman" w:eastAsia="Times New Roman" w:hAnsi="Times New Roman"/>
          <w:sz w:val="18"/>
          <w:szCs w:val="18"/>
          <w:color w:val="auto"/>
        </w:rPr>
        <w:t>24</w:t>
        <w:tab/>
        <w:t>Page</w:t>
      </w:r>
    </w:p>
    <w:p>
      <w:pPr>
        <w:sectPr>
          <w:pgSz w:w="11900" w:h="16838" w:orient="portrait"/>
          <w:cols w:equalWidth="0" w:num="1">
            <w:col w:w="11240"/>
          </w:cols>
          <w:pgMar w:left="320" w:top="954"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&amp; Administrative Expenses from continuing operations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40" w:type="dxa"/>
            <w:vAlign w:val="bottom"/>
            <w:tcBorders>
              <w:bottom w:val="single" w:sz="8" w:color="auto"/>
            </w:tcBorders>
          </w:tcPr>
          <w:p>
            <w:pPr>
              <w:spacing w:after="0"/>
              <w:rPr>
                <w:sz w:val="20"/>
                <w:szCs w:val="20"/>
                <w:color w:val="auto"/>
              </w:rPr>
            </w:pPr>
          </w:p>
        </w:tc>
        <w:tc>
          <w:tcPr>
            <w:tcW w:w="4580" w:type="dxa"/>
            <w:vAlign w:val="bottom"/>
            <w:tcBorders>
              <w:bottom w:val="single" w:sz="8" w:color="auto"/>
            </w:tcBorders>
            <w:gridSpan w:val="4"/>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(U.S.$ in thousands except</w:t>
            </w:r>
          </w:p>
        </w:tc>
        <w:tc>
          <w:tcPr>
            <w:tcW w:w="11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where indicated)</w:t>
            </w:r>
          </w:p>
        </w:tc>
        <w:tc>
          <w:tcPr>
            <w:tcW w:w="114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2024</w:t>
            </w: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13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 Change</w:t>
            </w:r>
          </w:p>
        </w:tc>
        <w:tc>
          <w:tcPr>
            <w:tcW w:w="108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2024</w:t>
            </w:r>
          </w:p>
        </w:tc>
        <w:tc>
          <w:tcPr>
            <w:tcW w:w="12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 Change</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9"/>
              </w:rPr>
              <w:t>% Change</w:t>
            </w:r>
          </w:p>
        </w:tc>
        <w:tc>
          <w:tcPr>
            <w:tcW w:w="0" w:type="dxa"/>
            <w:vAlign w:val="bottom"/>
          </w:tcPr>
          <w:p>
            <w:pPr>
              <w:spacing w:after="0"/>
              <w:rPr>
                <w:sz w:val="1"/>
                <w:szCs w:val="1"/>
                <w:color w:val="auto"/>
              </w:rPr>
            </w:pPr>
          </w:p>
        </w:tc>
      </w:tr>
      <w:tr>
        <w:trPr>
          <w:trHeight w:val="209"/>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wages</w:t>
            </w:r>
          </w:p>
        </w:tc>
        <w:tc>
          <w:tcPr>
            <w:tcW w:w="11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(6,992)</w:t>
            </w: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(6,774)</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(218)</w:t>
            </w:r>
          </w:p>
        </w:tc>
        <w:tc>
          <w:tcPr>
            <w:tcW w:w="13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w:t>
            </w: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(19,630)</w:t>
            </w: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(15,777)</w:t>
            </w:r>
          </w:p>
        </w:tc>
        <w:tc>
          <w:tcPr>
            <w:tcW w:w="12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(3,853)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(2,851)</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(4,968)</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2,117</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(10,687)</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(9,504)</w:t>
            </w: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(1,183)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1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(3,755)</w:t>
            </w: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(11,366)</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7,611</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(67)%</w:t>
            </w: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(13,067)</w:t>
            </w: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(18,077)</w:t>
            </w:r>
          </w:p>
        </w:tc>
        <w:tc>
          <w:tcPr>
            <w:tcW w:w="12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5,010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8"/>
        </w:trPr>
        <w:tc>
          <w:tcPr>
            <w:tcW w:w="2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w:t>
            </w:r>
          </w:p>
        </w:tc>
        <w:tc>
          <w:tcPr>
            <w:tcW w:w="11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professional services</w:t>
            </w:r>
          </w:p>
        </w:tc>
        <w:tc>
          <w:tcPr>
            <w:tcW w:w="1140" w:type="dxa"/>
            <w:vAlign w:val="bottom"/>
            <w:vMerge w:val="continue"/>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continue"/>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1,389</w:t>
            </w: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(1,389)</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duties and other</w:t>
            </w:r>
          </w:p>
        </w:tc>
        <w:tc>
          <w:tcPr>
            <w:tcW w:w="11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(2,507)</w:t>
            </w: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(1,514)</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(993)</w:t>
            </w:r>
          </w:p>
        </w:tc>
        <w:tc>
          <w:tcPr>
            <w:tcW w:w="13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66%</w:t>
            </w: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(7,421)</w:t>
            </w: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(4,906)</w:t>
            </w:r>
          </w:p>
        </w:tc>
        <w:tc>
          <w:tcPr>
            <w:tcW w:w="12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(2,515)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98"/>
        </w:trPr>
        <w:tc>
          <w:tcPr>
            <w:tcW w:w="2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Travel, motor vehicle and</w:t>
            </w:r>
          </w:p>
        </w:tc>
        <w:tc>
          <w:tcPr>
            <w:tcW w:w="11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(491)</w:t>
            </w: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(1,444)</w:t>
            </w:r>
          </w:p>
        </w:tc>
        <w:tc>
          <w:tcPr>
            <w:tcW w:w="1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meals</w:t>
            </w:r>
          </w:p>
        </w:tc>
        <w:tc>
          <w:tcPr>
            <w:tcW w:w="1140" w:type="dxa"/>
            <w:vAlign w:val="bottom"/>
            <w:vMerge w:val="continue"/>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(310)</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(181)</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58%</w:t>
            </w:r>
          </w:p>
        </w:tc>
        <w:tc>
          <w:tcPr>
            <w:tcW w:w="1080" w:type="dxa"/>
            <w:vAlign w:val="bottom"/>
            <w:vMerge w:val="continue"/>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(893)</w:t>
            </w: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(551)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8"/>
        </w:trPr>
        <w:tc>
          <w:tcPr>
            <w:tcW w:w="2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Telecom hosting and</w:t>
            </w:r>
          </w:p>
        </w:tc>
        <w:tc>
          <w:tcPr>
            <w:tcW w:w="114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(127)</w:t>
            </w:r>
          </w:p>
        </w:tc>
        <w:tc>
          <w:tcPr>
            <w:tcW w:w="10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(436)</w:t>
            </w:r>
          </w:p>
        </w:tc>
        <w:tc>
          <w:tcPr>
            <w:tcW w:w="10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telecommunications</w:t>
            </w:r>
          </w:p>
        </w:tc>
        <w:tc>
          <w:tcPr>
            <w:tcW w:w="1140" w:type="dxa"/>
            <w:vAlign w:val="bottom"/>
            <w:vMerge w:val="continue"/>
            <w:shd w:val="clear" w:color="auto" w:fill="CCEEFF"/>
          </w:tcPr>
          <w:p>
            <w:pPr>
              <w:spacing w:after="0"/>
              <w:rPr>
                <w:sz w:val="20"/>
                <w:szCs w:val="20"/>
                <w:color w:val="auto"/>
              </w:rPr>
            </w:pP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(57)</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(70)</w:t>
            </w:r>
          </w:p>
        </w:tc>
        <w:tc>
          <w:tcPr>
            <w:tcW w:w="13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122%</w:t>
            </w:r>
          </w:p>
        </w:tc>
        <w:tc>
          <w:tcPr>
            <w:tcW w:w="1080" w:type="dxa"/>
            <w:vAlign w:val="bottom"/>
            <w:vMerge w:val="continue"/>
            <w:shd w:val="clear" w:color="auto" w:fill="CCEEFF"/>
          </w:tcPr>
          <w:p>
            <w:pPr>
              <w:spacing w:after="0"/>
              <w:rPr>
                <w:sz w:val="20"/>
                <w:szCs w:val="20"/>
                <w:color w:val="auto"/>
              </w:rPr>
            </w:pP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(194)</w:t>
            </w:r>
          </w:p>
        </w:tc>
        <w:tc>
          <w:tcPr>
            <w:tcW w:w="12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(242)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Advertising and promotion</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(313)</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(321)</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(1,518)</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(600)</w:t>
            </w: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(918)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198"/>
        </w:trPr>
        <w:tc>
          <w:tcPr>
            <w:tcW w:w="2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other</w:t>
            </w:r>
          </w:p>
        </w:tc>
        <w:tc>
          <w:tcPr>
            <w:tcW w:w="1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4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753</w:t>
            </w:r>
          </w:p>
        </w:tc>
        <w:tc>
          <w:tcPr>
            <w:tcW w:w="12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(753)</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7"/>
        </w:trPr>
        <w:tc>
          <w:tcPr>
            <w:tcW w:w="2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(17,036)</w:t>
            </w: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(25,310)</w:t>
            </w: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8,274</w:t>
            </w: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c>
          <w:tcPr>
            <w:tcW w:w="10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(54,203)</w:t>
            </w: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(47,809)</w:t>
            </w:r>
          </w:p>
        </w:tc>
        <w:tc>
          <w:tcPr>
            <w:tcW w:w="12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(6,394)</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Q3 2025 v. Q3 2024</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Bitfarms’ general and administrative (“G&amp;A”) expenses were $17.0 million in Q3 2025, compared to $25.3 million for Q3 2024. The decrease of $8.3 million, or 33%, was largely due to:</w:t>
      </w:r>
    </w:p>
    <w:p>
      <w:pPr>
        <w:spacing w:after="0" w:line="1" w:lineRule="exact"/>
        <w:rPr>
          <w:sz w:val="20"/>
          <w:szCs w:val="20"/>
          <w:color w:val="auto"/>
        </w:rPr>
      </w:pPr>
    </w:p>
    <w:p>
      <w:pPr>
        <w:jc w:val="both"/>
        <w:ind w:left="340" w:hanging="332"/>
        <w:spacing w:after="0" w:line="250" w:lineRule="auto"/>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 million decrease in professional services mainly due to legal and accounting fees incurred in Q3 2024 associated with nonrecurring activities including (i) the Stronghold Transaction, (ii) the Strategic Alternatives Review Process as defined in the Company’s 2024 Annual MDA, (iii) the response to the shareholder dispute involving Riot Platforms, Inc. (“Riot”), including with respect to the implementation and defense of the shareholder rights plan adopted by the Company on June 20, 2024 and the Company entering into the Settlement Agreement, and (iv) the settlement of the employment claim against the Company brought by the Company’s former Chief Executive Officer (“CEO”), compared to nil in Q3 2025; and</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million decrease in share-based payments due to less total stock options, restricted stock units (“RSU”) and performance stock units (“PSUs”) granted with lower fair values and longer vesting periods during Q3 2025 compared to 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97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10440"/>
        <w:spacing w:after="0"/>
        <w:tabs>
          <w:tab w:leader="none" w:pos="10840" w:val="left"/>
        </w:tabs>
        <w:rPr>
          <w:sz w:val="20"/>
          <w:szCs w:val="20"/>
          <w:color w:val="auto"/>
        </w:rPr>
      </w:pPr>
      <w:r>
        <w:rPr>
          <w:rFonts w:ascii="Times New Roman" w:cs="Times New Roman" w:eastAsia="Times New Roman" w:hAnsi="Times New Roman"/>
          <w:sz w:val="18"/>
          <w:szCs w:val="18"/>
          <w:color w:val="auto"/>
        </w:rPr>
        <w:t>25</w:t>
        <w:tab/>
        <w:t>Page</w:t>
      </w:r>
    </w:p>
    <w:p>
      <w:pPr>
        <w:sectPr>
          <w:pgSz w:w="11900" w:h="16838" w:orient="portrait"/>
          <w:cols w:equalWidth="0" w:num="1">
            <w:col w:w="11240"/>
          </w:cols>
          <w:pgMar w:left="320" w:top="92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&amp; Administrative Expenses from continuing operations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YTD Q3 2025 v. YTD Q3 2024</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For YTD Q3 2025, Bitfarms’ G&amp;A expenses were $54.2 million, compared to $47.8 million for the same period in 2024. The increase in G&amp;A expenses of $6.4 million, or 13%, was mainly due to:</w:t>
      </w:r>
    </w:p>
    <w:p>
      <w:pPr>
        <w:spacing w:after="0" w:line="1" w:lineRule="exact"/>
        <w:rPr>
          <w:sz w:val="20"/>
          <w:szCs w:val="20"/>
          <w:color w:val="auto"/>
        </w:rPr>
      </w:pPr>
    </w:p>
    <w:p>
      <w:pPr>
        <w:jc w:val="both"/>
        <w:ind w:left="340" w:hanging="332"/>
        <w:spacing w:after="0" w:line="250" w:lineRule="auto"/>
        <w:tabs>
          <w:tab w:leader="none" w:pos="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 million increase in salaries and wages due to (i) the increase in the Company’s headcount in YTD Q3 2025 compared to YTD Q3 2024 to support the global expansion as well as merit and market-based adjustments and cost of living salary increases and (ii) the salaries paid to Stronghold employees following the acquisition in the first quarter of 2025;</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increase in insurance, duties and other due to increases in property and liability insurance expense as a result of expanded infrastructure and a larger number of Miners deployed as well as increases in property taxes, other taxes, permits and software licenses to support the global expansion;</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$2.1 million sales tax recovery received in YTD Q3 2024 for sales taxes paid by the Company from February 5, 2022 to April 2024 due to the Company receiving confirmation from the provincial tax authorities that Canadian sales taxes are refundable, compared to nil in YTD Q3 2025. Refer to Note 29b - </w:t>
      </w:r>
      <w:r>
        <w:rPr>
          <w:rFonts w:ascii="Times New Roman" w:cs="Times New Roman" w:eastAsia="Times New Roman" w:hAnsi="Times New Roman"/>
          <w:sz w:val="18"/>
          <w:szCs w:val="18"/>
          <w:i w:val="1"/>
          <w:iCs w:val="1"/>
          <w:color w:val="auto"/>
        </w:rPr>
        <w:t>Additional Details to the Statement of Profit or Loss and Comprehensive Profit or Loss (Canadian sales tax refund)</w:t>
      </w:r>
      <w:r>
        <w:rPr>
          <w:rFonts w:ascii="Times New Roman" w:cs="Times New Roman" w:eastAsia="Times New Roman" w:hAnsi="Times New Roman"/>
          <w:sz w:val="18"/>
          <w:szCs w:val="18"/>
          <w:color w:val="auto"/>
        </w:rPr>
        <w:t xml:space="preserve"> to the 2024 Annual Financial Statements; and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increases were partially offset by:</w:t>
      </w:r>
    </w:p>
    <w:p>
      <w:pPr>
        <w:spacing w:after="0" w:line="27" w:lineRule="exact"/>
        <w:rPr>
          <w:sz w:val="20"/>
          <w:szCs w:val="20"/>
          <w:color w:val="auto"/>
        </w:rPr>
      </w:pPr>
    </w:p>
    <w:p>
      <w:pPr>
        <w:jc w:val="both"/>
        <w:ind w:left="340" w:hanging="332"/>
        <w:spacing w:after="0" w:line="250" w:lineRule="auto"/>
        <w:tabs>
          <w:tab w:leader="none" w:pos="3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million decrease in professional services mainly due to legal and accounting fees incurred in YTD Q3 2024 associated with nonrecurring activities including (i) the Stronghold Transaction, (ii) the Strategic Alternatives Review Process as defined in the Company’s 2024 Annual MD&amp;A,</w:t>
      </w:r>
    </w:p>
    <w:p>
      <w:pPr>
        <w:jc w:val="both"/>
        <w:ind w:left="340" w:hanging="8"/>
        <w:spacing w:after="0" w:line="255" w:lineRule="auto"/>
        <w:tabs>
          <w:tab w:leader="none" w:pos="668"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response to the shareholder dispute involving Riot, including with respect to the implementation and defense of the shareholder rights plan adopted by the Company on June 20, 2024 and the Company entering into the Settlement Agreement, and (iv) the settlement of the employment claim against the Company brought by the Company’s former CEO, compared to nil in YTD 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97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10440"/>
        <w:spacing w:after="0"/>
        <w:tabs>
          <w:tab w:leader="none" w:pos="10840" w:val="left"/>
        </w:tabs>
        <w:rPr>
          <w:sz w:val="20"/>
          <w:szCs w:val="20"/>
          <w:color w:val="auto"/>
        </w:rPr>
      </w:pPr>
      <w:r>
        <w:rPr>
          <w:rFonts w:ascii="Times New Roman" w:cs="Times New Roman" w:eastAsia="Times New Roman" w:hAnsi="Times New Roman"/>
          <w:sz w:val="18"/>
          <w:szCs w:val="18"/>
          <w:color w:val="auto"/>
        </w:rPr>
        <w:t>26</w:t>
        <w:tab/>
        <w:t>Page</w:t>
      </w:r>
    </w:p>
    <w:p>
      <w:pPr>
        <w:sectPr>
          <w:pgSz w:w="11900" w:h="16838" w:orient="portrait"/>
          <w:cols w:equalWidth="0" w:num="1">
            <w:col w:w="11240"/>
          </w:cols>
          <w:pgMar w:left="320" w:top="92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financial (expenses) income from continuing operations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00" w:type="dxa"/>
            <w:vAlign w:val="bottom"/>
            <w:tcBorders>
              <w:bottom w:val="single" w:sz="8" w:color="auto"/>
            </w:tcBorders>
          </w:tcPr>
          <w:p>
            <w:pPr>
              <w:spacing w:after="0"/>
              <w:rPr>
                <w:sz w:val="20"/>
                <w:szCs w:val="20"/>
                <w:color w:val="auto"/>
              </w:rPr>
            </w:pPr>
          </w:p>
        </w:tc>
        <w:tc>
          <w:tcPr>
            <w:tcW w:w="4520" w:type="dxa"/>
            <w:vAlign w:val="bottom"/>
            <w:tcBorders>
              <w:bottom w:val="single" w:sz="8" w:color="auto"/>
            </w:tcBorders>
            <w:gridSpan w:val="4"/>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4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(U.S.$ in thousands except</w:t>
            </w:r>
          </w:p>
        </w:tc>
        <w:tc>
          <w:tcPr>
            <w:tcW w:w="116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where indicated)</w:t>
            </w:r>
          </w:p>
        </w:tc>
        <w:tc>
          <w:tcPr>
            <w:tcW w:w="116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2024</w:t>
            </w: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13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 Change</w:t>
            </w:r>
          </w:p>
        </w:tc>
        <w:tc>
          <w:tcPr>
            <w:tcW w:w="112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2024</w:t>
            </w:r>
          </w:p>
        </w:tc>
        <w:tc>
          <w:tcPr>
            <w:tcW w:w="12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 Change</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9"/>
              </w:rPr>
              <w:t>% Change</w:t>
            </w:r>
          </w:p>
        </w:tc>
        <w:tc>
          <w:tcPr>
            <w:tcW w:w="0" w:type="dxa"/>
            <w:vAlign w:val="bottom"/>
          </w:tcPr>
          <w:p>
            <w:pPr>
              <w:spacing w:after="0"/>
              <w:rPr>
                <w:sz w:val="1"/>
                <w:szCs w:val="1"/>
                <w:color w:val="auto"/>
              </w:rPr>
            </w:pPr>
          </w:p>
        </w:tc>
      </w:tr>
      <w:tr>
        <w:trPr>
          <w:trHeight w:val="191"/>
        </w:trPr>
        <w:tc>
          <w:tcPr>
            <w:tcW w:w="24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(Loss) gain on revaluation of</w:t>
            </w:r>
          </w:p>
        </w:tc>
        <w:tc>
          <w:tcPr>
            <w:tcW w:w="116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(26,340)</w:t>
            </w:r>
          </w:p>
        </w:tc>
        <w:tc>
          <w:tcPr>
            <w:tcW w:w="9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(20,577)</w:t>
            </w:r>
          </w:p>
        </w:tc>
        <w:tc>
          <w:tcPr>
            <w:tcW w:w="10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1160" w:type="dxa"/>
            <w:vAlign w:val="bottom"/>
            <w:vMerge w:val="continue"/>
            <w:shd w:val="clear" w:color="auto" w:fill="CCEEFF"/>
          </w:tcPr>
          <w:p>
            <w:pPr>
              <w:spacing w:after="0"/>
              <w:rPr>
                <w:sz w:val="20"/>
                <w:szCs w:val="20"/>
                <w:color w:val="auto"/>
              </w:rPr>
            </w:pPr>
          </w:p>
        </w:tc>
        <w:tc>
          <w:tcPr>
            <w:tcW w:w="9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5,704</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(32,044)</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(562)%</w:t>
            </w:r>
          </w:p>
        </w:tc>
        <w:tc>
          <w:tcPr>
            <w:tcW w:w="1120" w:type="dxa"/>
            <w:vAlign w:val="bottom"/>
            <w:vMerge w:val="continue"/>
            <w:shd w:val="clear" w:color="auto" w:fill="CCEEFF"/>
          </w:tcPr>
          <w:p>
            <w:pPr>
              <w:spacing w:after="0"/>
              <w:rPr>
                <w:sz w:val="20"/>
                <w:szCs w:val="20"/>
                <w:color w:val="auto"/>
              </w:rPr>
            </w:pPr>
          </w:p>
        </w:tc>
        <w:tc>
          <w:tcPr>
            <w:tcW w:w="10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13,289</w:t>
            </w:r>
          </w:p>
        </w:tc>
        <w:tc>
          <w:tcPr>
            <w:tcW w:w="12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(33,866)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198"/>
        </w:trPr>
        <w:tc>
          <w:tcPr>
            <w:tcW w:w="2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Gain (loss) on derivative</w:t>
            </w:r>
          </w:p>
        </w:tc>
        <w:tc>
          <w:tcPr>
            <w:tcW w:w="116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12,135</w:t>
            </w: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2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i w:val="1"/>
                <w:iCs w:val="1"/>
                <w:color w:val="auto"/>
              </w:rPr>
              <w:t>nm</w:t>
            </w:r>
          </w:p>
        </w:tc>
        <w:tc>
          <w:tcPr>
            <w:tcW w:w="11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12,161</w:t>
            </w: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34"/>
        </w:trPr>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and liabilities</w:t>
            </w:r>
          </w:p>
        </w:tc>
        <w:tc>
          <w:tcPr>
            <w:tcW w:w="1160" w:type="dxa"/>
            <w:vAlign w:val="bottom"/>
            <w:vMerge w:val="continue"/>
          </w:tcPr>
          <w:p>
            <w:pPr>
              <w:spacing w:after="0"/>
              <w:rPr>
                <w:sz w:val="20"/>
                <w:szCs w:val="20"/>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(78)</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12,213</w:t>
            </w:r>
          </w:p>
        </w:tc>
        <w:tc>
          <w:tcPr>
            <w:tcW w:w="132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277</w:t>
            </w:r>
          </w:p>
        </w:tc>
        <w:tc>
          <w:tcPr>
            <w:tcW w:w="12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11,884</w:t>
            </w: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Gain on settlement of</w:t>
            </w:r>
          </w:p>
        </w:tc>
        <w:tc>
          <w:tcPr>
            <w:tcW w:w="1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Refundable Hosting</w:t>
            </w:r>
          </w:p>
        </w:tc>
        <w:tc>
          <w:tcPr>
            <w:tcW w:w="1160" w:type="dxa"/>
            <w:vAlign w:val="bottom"/>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945</w:t>
            </w:r>
          </w:p>
        </w:tc>
        <w:tc>
          <w:tcPr>
            <w:tcW w:w="10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1160" w:type="dxa"/>
            <w:vAlign w:val="bottom"/>
            <w:vMerge w:val="continue"/>
            <w:shd w:val="clear" w:color="auto" w:fill="CCEEFF"/>
          </w:tcPr>
          <w:p>
            <w:pPr>
              <w:spacing w:after="0"/>
              <w:rPr>
                <w:sz w:val="20"/>
                <w:szCs w:val="20"/>
                <w:color w:val="auto"/>
              </w:rPr>
            </w:pPr>
          </w:p>
        </w:tc>
        <w:tc>
          <w:tcPr>
            <w:tcW w:w="9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continue"/>
            <w:shd w:val="clear" w:color="auto" w:fill="CCEEFF"/>
          </w:tcPr>
          <w:p>
            <w:pPr>
              <w:spacing w:after="0"/>
              <w:rPr>
                <w:sz w:val="20"/>
                <w:szCs w:val="20"/>
                <w:color w:val="auto"/>
              </w:rPr>
            </w:pPr>
          </w:p>
        </w:tc>
        <w:tc>
          <w:tcPr>
            <w:tcW w:w="10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945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Loss on initial recognition of</w:t>
            </w:r>
          </w:p>
        </w:tc>
        <w:tc>
          <w:tcPr>
            <w:tcW w:w="116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(74)</w:t>
            </w: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(74)</w:t>
            </w: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refundable deposits</w:t>
            </w:r>
          </w:p>
        </w:tc>
        <w:tc>
          <w:tcPr>
            <w:tcW w:w="1160" w:type="dxa"/>
            <w:vAlign w:val="bottom"/>
            <w:vMerge w:val="continue"/>
          </w:tcPr>
          <w:p>
            <w:pPr>
              <w:spacing w:after="0"/>
              <w:rPr>
                <w:sz w:val="20"/>
                <w:szCs w:val="20"/>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(675)</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601</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(89)%</w:t>
            </w:r>
          </w:p>
        </w:tc>
        <w:tc>
          <w:tcPr>
            <w:tcW w:w="1120" w:type="dxa"/>
            <w:vAlign w:val="bottom"/>
            <w:vMerge w:val="continue"/>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(675)</w:t>
            </w:r>
          </w:p>
        </w:tc>
        <w:tc>
          <w:tcPr>
            <w:tcW w:w="12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601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1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585</w:t>
            </w:r>
          </w:p>
        </w:tc>
        <w:tc>
          <w:tcPr>
            <w:tcW w:w="9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2,452</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(1,867)</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w:t>
            </w:r>
          </w:p>
        </w:tc>
        <w:tc>
          <w:tcPr>
            <w:tcW w:w="11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1,921</w:t>
            </w:r>
          </w:p>
        </w:tc>
        <w:tc>
          <w:tcPr>
            <w:tcW w:w="10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5,174</w:t>
            </w:r>
          </w:p>
        </w:tc>
        <w:tc>
          <w:tcPr>
            <w:tcW w:w="12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(3,253)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8"/>
        </w:trPr>
        <w:tc>
          <w:tcPr>
            <w:tcW w:w="2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Interest on long-term debt</w:t>
            </w:r>
          </w:p>
        </w:tc>
        <w:tc>
          <w:tcPr>
            <w:tcW w:w="116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(1,884)</w:t>
            </w: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(4,591)</w:t>
            </w: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lease liabilities</w:t>
            </w:r>
          </w:p>
        </w:tc>
        <w:tc>
          <w:tcPr>
            <w:tcW w:w="1160" w:type="dxa"/>
            <w:vAlign w:val="bottom"/>
            <w:vMerge w:val="continue"/>
          </w:tcPr>
          <w:p>
            <w:pPr>
              <w:spacing w:after="0"/>
              <w:rPr>
                <w:sz w:val="20"/>
                <w:szCs w:val="20"/>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(415)</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(1,469)</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354%</w:t>
            </w:r>
          </w:p>
        </w:tc>
        <w:tc>
          <w:tcPr>
            <w:tcW w:w="1120" w:type="dxa"/>
            <w:vAlign w:val="bottom"/>
            <w:vMerge w:val="continue"/>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(1,092)</w:t>
            </w: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(3,499)</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on exchange rates</w:t>
            </w:r>
          </w:p>
        </w:tc>
        <w:tc>
          <w:tcPr>
            <w:tcW w:w="11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w:t>
            </w:r>
          </w:p>
        </w:tc>
        <w:tc>
          <w:tcPr>
            <w:tcW w:w="9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104</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(306)</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(294)%</w:t>
            </w:r>
          </w:p>
        </w:tc>
        <w:tc>
          <w:tcPr>
            <w:tcW w:w="11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(450)</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(917)</w:t>
            </w:r>
          </w:p>
        </w:tc>
        <w:tc>
          <w:tcPr>
            <w:tcW w:w="12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467</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98"/>
        </w:trPr>
        <w:tc>
          <w:tcPr>
            <w:tcW w:w="2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financial (expenses)</w:t>
            </w:r>
          </w:p>
        </w:tc>
        <w:tc>
          <w:tcPr>
            <w:tcW w:w="116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(3,869)</w:t>
            </w: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2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i w:val="1"/>
                <w:iCs w:val="1"/>
                <w:color w:val="auto"/>
              </w:rPr>
              <w:t>nm</w:t>
            </w:r>
          </w:p>
        </w:tc>
        <w:tc>
          <w:tcPr>
            <w:tcW w:w="11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(5,011)</w:t>
            </w: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34"/>
        </w:trPr>
        <w:tc>
          <w:tcPr>
            <w:tcW w:w="24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income</w:t>
            </w:r>
          </w:p>
        </w:tc>
        <w:tc>
          <w:tcPr>
            <w:tcW w:w="116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(224)</w:t>
            </w: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(3,645)</w:t>
            </w:r>
          </w:p>
        </w:tc>
        <w:tc>
          <w:tcPr>
            <w:tcW w:w="132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331</w:t>
            </w:r>
          </w:p>
        </w:tc>
        <w:tc>
          <w:tcPr>
            <w:tcW w:w="12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(5,342)</w:t>
            </w: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4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(19,649)</w:t>
            </w:r>
          </w:p>
        </w:tc>
        <w:tc>
          <w:tcPr>
            <w:tcW w:w="9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6,868</w:t>
            </w: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(26,517)</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(386)%</w:t>
            </w:r>
          </w:p>
        </w:tc>
        <w:tc>
          <w:tcPr>
            <w:tcW w:w="11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(15,676)</w:t>
            </w:r>
          </w:p>
        </w:tc>
        <w:tc>
          <w:tcPr>
            <w:tcW w:w="10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16,387</w:t>
            </w:r>
          </w:p>
        </w:tc>
        <w:tc>
          <w:tcPr>
            <w:tcW w:w="12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(32,063)</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Q3 2025 v. Q3 2024</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Bitfarms’ net financial expense was $19.6 million for Q3 2025, compared to a $6.9 million income for Q3 2024. The $26.5 million unfavorable change was primarily related to:</w:t>
      </w:r>
    </w:p>
    <w:p>
      <w:pPr>
        <w:spacing w:after="0" w:line="1" w:lineRule="exact"/>
        <w:rPr>
          <w:sz w:val="20"/>
          <w:szCs w:val="20"/>
          <w:color w:val="auto"/>
        </w:rPr>
      </w:pPr>
    </w:p>
    <w:p>
      <w:pPr>
        <w:jc w:val="both"/>
        <w:ind w:left="340" w:right="20" w:hanging="332"/>
        <w:spacing w:after="0" w:line="250" w:lineRule="auto"/>
        <w:tabs>
          <w:tab w:leader="none" w:pos="3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$32.0 million unfavorable change in (loss) gain on revaluation of warrants due to the increase in the fair value of the warrant liabilities for the 2023 private placement and Macquarie credit facility (the “2025 Warrants”) in Q3 2025 compared to the decrease in the fair value of the warrant liabilities for the 2023 private placements in Q3 2024;</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$3.6 million unfavorable change in other financial income (expenses) mainly due to $2.7 million of non-recurring interest on customs duties described in Section 7C - </w:t>
      </w:r>
      <w:r>
        <w:rPr>
          <w:rFonts w:ascii="Times New Roman" w:cs="Times New Roman" w:eastAsia="Times New Roman" w:hAnsi="Times New Roman"/>
          <w:sz w:val="18"/>
          <w:szCs w:val="18"/>
          <w:i w:val="1"/>
          <w:iCs w:val="1"/>
          <w:color w:val="auto"/>
        </w:rPr>
        <w:t>Financial Performance (General &amp; Administrative expenses from continuing operations)</w:t>
      </w:r>
      <w:r>
        <w:rPr>
          <w:rFonts w:ascii="Times New Roman" w:cs="Times New Roman" w:eastAsia="Times New Roman" w:hAnsi="Times New Roman"/>
          <w:sz w:val="18"/>
          <w:szCs w:val="18"/>
          <w:color w:val="auto"/>
        </w:rPr>
        <w:t xml:space="preserve"> in Q3 2025, and the amortization of transactions fees related to the Macquarie credit facility;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unfavorable change was partially offset by:</w:t>
      </w:r>
    </w:p>
    <w:p>
      <w:pPr>
        <w:spacing w:after="0" w:line="27" w:lineRule="exact"/>
        <w:rPr>
          <w:sz w:val="20"/>
          <w:szCs w:val="20"/>
          <w:color w:val="auto"/>
        </w:rPr>
      </w:pPr>
    </w:p>
    <w:p>
      <w:pPr>
        <w:jc w:val="both"/>
        <w:ind w:left="340" w:hanging="332"/>
        <w:spacing w:after="0" w:line="255" w:lineRule="auto"/>
        <w:tabs>
          <w:tab w:leader="none" w:pos="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$12.2 million favorable change in gain (loss) on derivative assets and liabilities mainly due to a net gain of $13.3 million in Q3 2025 from the Bitcoin One Program, which includes a realized gain of $13.8 million on closed positions, partially offset by unrealized losses of $0.5 million on open positions. Refer to Section 11b </w:t>
      </w:r>
      <w:r>
        <w:rPr>
          <w:rFonts w:ascii="Times New Roman" w:cs="Times New Roman" w:eastAsia="Times New Roman" w:hAnsi="Times New Roman"/>
          <w:sz w:val="18"/>
          <w:szCs w:val="18"/>
          <w:i w:val="1"/>
          <w:iCs w:val="1"/>
          <w:color w:val="auto"/>
        </w:rPr>
        <w:t>- Capital Resources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Bitcoin One program for digital assets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803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10440"/>
        <w:spacing w:after="0"/>
        <w:tabs>
          <w:tab w:leader="none" w:pos="10840" w:val="left"/>
        </w:tabs>
        <w:rPr>
          <w:sz w:val="20"/>
          <w:szCs w:val="20"/>
          <w:color w:val="auto"/>
        </w:rPr>
      </w:pPr>
      <w:r>
        <w:rPr>
          <w:rFonts w:ascii="Times New Roman" w:cs="Times New Roman" w:eastAsia="Times New Roman" w:hAnsi="Times New Roman"/>
          <w:sz w:val="18"/>
          <w:szCs w:val="18"/>
          <w:color w:val="auto"/>
        </w:rPr>
        <w:t>27</w:t>
        <w:tab/>
        <w:t>Page</w:t>
      </w:r>
    </w:p>
    <w:p>
      <w:pPr>
        <w:sectPr>
          <w:pgSz w:w="11900" w:h="16838" w:orient="portrait"/>
          <w:cols w:equalWidth="0" w:num="1">
            <w:col w:w="11240"/>
          </w:cols>
          <w:pgMar w:left="320" w:top="92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Net financial (expenses) income from continuing operations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YTD Q3 2025 v. YTD Q3 2024</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Bitfarms’ net financial expense was $15.7 million for YTD Q3 2025, compared to a $16.4 million income for YTD Q3 2024. The $32.1 million unfavorable change was mainly due to:</w:t>
      </w:r>
    </w:p>
    <w:p>
      <w:pPr>
        <w:spacing w:after="0" w:line="1" w:lineRule="exact"/>
        <w:rPr>
          <w:sz w:val="20"/>
          <w:szCs w:val="20"/>
          <w:color w:val="auto"/>
        </w:rPr>
      </w:pPr>
    </w:p>
    <w:p>
      <w:pPr>
        <w:jc w:val="both"/>
        <w:ind w:left="340" w:hanging="332"/>
        <w:spacing w:after="0" w:line="250" w:lineRule="auto"/>
        <w:tabs>
          <w:tab w:leader="none" w:pos="3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$33.9 million unfavorable change in (loss) gain on revaluation of warrants due to the increase in the fair value of the warrant liabilities for the 2023 private placement and 2025 Warrants in YTD Q3 2025 compared to the decrease in the fair value of the warrant liabilities for the 2021 and 2023 private placements in YTD Q3 2024;</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9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$5.3 million unfavorable change in other financial income (expenses) mainly due to $2.7 million non-recurring interest on customs duties described in Section 7C - </w:t>
      </w:r>
      <w:r>
        <w:rPr>
          <w:rFonts w:ascii="Times New Roman" w:cs="Times New Roman" w:eastAsia="Times New Roman" w:hAnsi="Times New Roman"/>
          <w:sz w:val="18"/>
          <w:szCs w:val="18"/>
          <w:i w:val="1"/>
          <w:iCs w:val="1"/>
          <w:color w:val="auto"/>
        </w:rPr>
        <w:t>Financial Performance (General &amp; Administrative expenses from continuing operations)</w:t>
      </w:r>
      <w:r>
        <w:rPr>
          <w:rFonts w:ascii="Times New Roman" w:cs="Times New Roman" w:eastAsia="Times New Roman" w:hAnsi="Times New Roman"/>
          <w:sz w:val="18"/>
          <w:szCs w:val="18"/>
          <w:color w:val="auto"/>
        </w:rPr>
        <w:t xml:space="preserve"> in YTD Q3 2025, and the amortization of transactions fees related to the Macquarie credit facility;</w:t>
      </w:r>
    </w:p>
    <w:p>
      <w:pPr>
        <w:spacing w:after="0" w:line="1" w:lineRule="exact"/>
        <w:rPr>
          <w:rFonts w:ascii="Times New Roman" w:cs="Times New Roman" w:eastAsia="Times New Roman" w:hAnsi="Times New Roman"/>
          <w:sz w:val="18"/>
          <w:szCs w:val="18"/>
          <w:i w:val="1"/>
          <w:iCs w:val="1"/>
          <w:color w:val="auto"/>
        </w:rPr>
      </w:pPr>
    </w:p>
    <w:p>
      <w:pPr>
        <w:ind w:left="340" w:right="20" w:hanging="332"/>
        <w:spacing w:after="0" w:line="250" w:lineRule="auto"/>
        <w:tabs>
          <w:tab w:leader="none" w:pos="3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million increase in interest on long-term debt and lease liabilities due to the interest on the Macquarie credit facility, and higher interest on lease liabilities in YTD Q3 2025 compared to YTD Q3 2024 due to new leases; and</w:t>
      </w:r>
    </w:p>
    <w:p>
      <w:pPr>
        <w:ind w:left="340" w:hanging="332"/>
        <w:spacing w:after="0" w:line="260" w:lineRule="auto"/>
        <w:tabs>
          <w:tab w:leader="none" w:pos="3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$3.3 million decrease in interest income due to the Company’s lower average cash balance during YTD Q3 2025 compared to YTD Q3 2024. Refer to Section 11a - </w:t>
      </w:r>
      <w:r>
        <w:rPr>
          <w:rFonts w:ascii="Times New Roman" w:cs="Times New Roman" w:eastAsia="Times New Roman" w:hAnsi="Times New Roman"/>
          <w:sz w:val="18"/>
          <w:szCs w:val="18"/>
          <w:i w:val="1"/>
          <w:iCs w:val="1"/>
          <w:color w:val="auto"/>
        </w:rPr>
        <w:t>Liquidity and Capital Resources (Cash Flows)</w:t>
      </w:r>
      <w:r>
        <w:rPr>
          <w:rFonts w:ascii="Times New Roman" w:cs="Times New Roman" w:eastAsia="Times New Roman" w:hAnsi="Times New Roman"/>
          <w:sz w:val="18"/>
          <w:szCs w:val="18"/>
          <w:color w:val="auto"/>
        </w:rPr>
        <w:t xml:space="preserve"> for details of the Company’s cash flows.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unfavorable change was partially offset by:</w:t>
      </w:r>
    </w:p>
    <w:p>
      <w:pPr>
        <w:spacing w:after="0" w:line="27" w:lineRule="exact"/>
        <w:rPr>
          <w:sz w:val="20"/>
          <w:szCs w:val="20"/>
          <w:color w:val="auto"/>
        </w:rPr>
      </w:pPr>
    </w:p>
    <w:p>
      <w:pPr>
        <w:jc w:val="both"/>
        <w:ind w:left="340" w:hanging="332"/>
        <w:spacing w:after="0" w:line="255" w:lineRule="auto"/>
        <w:tabs>
          <w:tab w:leader="none" w:pos="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$11.9 million increase in gain (loss) on derivative assets and liabilities mainly due to a net gain of $13.8 million in YTD Q3 2025 from the Bitcoin One Program, which includes a realized gain of $14.0 million on closed positions, partially offset by unrealized losses of $0.2 million on open positions. Refer to Section 11b </w:t>
      </w:r>
      <w:r>
        <w:rPr>
          <w:rFonts w:ascii="Times New Roman" w:cs="Times New Roman" w:eastAsia="Times New Roman" w:hAnsi="Times New Roman"/>
          <w:sz w:val="18"/>
          <w:szCs w:val="18"/>
          <w:i w:val="1"/>
          <w:iCs w:val="1"/>
          <w:color w:val="auto"/>
        </w:rPr>
        <w:t>- Capital Resources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Bitcoin One program for digital assets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132320" cy="1797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10440"/>
        <w:spacing w:after="0"/>
        <w:tabs>
          <w:tab w:leader="none" w:pos="10840" w:val="left"/>
        </w:tabs>
        <w:rPr>
          <w:sz w:val="20"/>
          <w:szCs w:val="20"/>
          <w:color w:val="auto"/>
        </w:rPr>
      </w:pPr>
      <w:r>
        <w:rPr>
          <w:rFonts w:ascii="Times New Roman" w:cs="Times New Roman" w:eastAsia="Times New Roman" w:hAnsi="Times New Roman"/>
          <w:sz w:val="18"/>
          <w:szCs w:val="18"/>
          <w:color w:val="auto"/>
        </w:rPr>
        <w:t>28</w:t>
        <w:tab/>
        <w:t>Page</w:t>
      </w:r>
    </w:p>
    <w:p>
      <w:pPr>
        <w:sectPr>
          <w:pgSz w:w="11900" w:h="16838" w:orient="portrait"/>
          <w:cols w:equalWidth="0" w:num="1">
            <w:col w:w="11240"/>
          </w:cols>
          <w:pgMar w:left="320" w:top="92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Discontinued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2025, the Company began a significant transformation in its corporate strategy, pivoting away from its historical focus on Latin American Mining operations to concentrate on U.S. HPC/AI infrastructure market. This strategic realignment was driven by several key factors: the demand for AI compute capacity across North America, and the volatility and operational challenges in the Company’s Latin American operation jurisdictions. As a result of these strategic decisions and challenges, the Company classified certain of its Latin American assets as held for sale and its operations as discontinued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Argentina’s operations as discontinued operations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second quarter of 2025, the Company’s energy supplier halted the supply of electricity to the Company’s Rio Cuarto, Argentina Bitcoin data center. Following this event, on August 11, 2025, the Company determined that it would discontinue and abandon its operations in Rio Cuarto, Argentina. The Company negotiated to eliminate its asset retirement obligation and reduced the reserved power to a minimum. As of September 30, 2025, the Argentina’s operations were abandoned and classified as a discontinued operation.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Paraguay’s operations as discontinued operations and assets held for sale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first quarter of 2025, the Company finalized the sale of its Yguazu Bitcoin data center in Paraguay. During the three months ended September 30, 2025, Management determined that the Paso Pe facility met the criteria to be classified as held for sale, and all operations in Paraguay were classified as discontinued operations as the Company makes a strategic shift towards HPC/AI infrastructure projects in North America. The sale of the Paso Pe Bitcoin data center operations is anticipated to close within twelve months from the reporting date.</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Note 22 -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xml:space="preserve"> to the Financial Statements for more information on the results of Argentina’s and Paraguay’s operations and the impairment loss on the cash generating unit (“CGU”).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7132320" cy="1797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97" w:lineRule="exact"/>
        <w:rPr>
          <w:sz w:val="20"/>
          <w:szCs w:val="20"/>
          <w:color w:val="auto"/>
        </w:rPr>
      </w:pPr>
    </w:p>
    <w:p>
      <w:pPr>
        <w:ind w:left="10440"/>
        <w:spacing w:after="0"/>
        <w:tabs>
          <w:tab w:leader="none" w:pos="10840" w:val="left"/>
        </w:tabs>
        <w:rPr>
          <w:sz w:val="20"/>
          <w:szCs w:val="20"/>
          <w:color w:val="auto"/>
        </w:rPr>
      </w:pPr>
      <w:r>
        <w:rPr>
          <w:rFonts w:ascii="Times New Roman" w:cs="Times New Roman" w:eastAsia="Times New Roman" w:hAnsi="Times New Roman"/>
          <w:sz w:val="18"/>
          <w:szCs w:val="18"/>
          <w:color w:val="auto"/>
        </w:rPr>
        <w:t>29</w:t>
        <w:tab/>
        <w:t>Page</w:t>
      </w:r>
    </w:p>
    <w:p>
      <w:pPr>
        <w:sectPr>
          <w:pgSz w:w="11900" w:h="16838" w:orient="portrait"/>
          <w:cols w:equalWidth="0" w:num="1">
            <w:col w:w="11240"/>
          </w:cols>
          <w:pgMar w:left="320" w:top="954"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SELECTED QUARTERLY INFORMATION FROM CONTINUING OPERATIONS</w:t>
      </w:r>
      <w:r>
        <w:rPr>
          <w:rFonts w:ascii="Times New Roman" w:cs="Times New Roman" w:eastAsia="Times New Roman" w:hAnsi="Times New Roman"/>
          <w:sz w:val="29"/>
          <w:szCs w:val="29"/>
          <w:b w:val="1"/>
          <w:bCs w:val="1"/>
          <w:color w:val="auto"/>
          <w:vertAlign w:val="superscript"/>
        </w:rPr>
        <w:t>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 except</w:t>
            </w:r>
          </w:p>
        </w:tc>
        <w:tc>
          <w:tcPr>
            <w:tcW w:w="1200" w:type="dxa"/>
            <w:vAlign w:val="bottom"/>
            <w:tcBorders>
              <w:top w:val="single" w:sz="8" w:color="auto"/>
            </w:tcBorders>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Q3 2025</w:t>
            </w:r>
          </w:p>
        </w:tc>
        <w:tc>
          <w:tcPr>
            <w:tcW w:w="1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20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Q2 2025</w:t>
            </w: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Q1 2025</w:t>
            </w: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Q4 2024</w:t>
            </w:r>
          </w:p>
        </w:tc>
        <w:tc>
          <w:tcPr>
            <w:tcW w:w="12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Q3 2024</w:t>
            </w: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Q2 2024</w:t>
            </w: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Q1 2024</w:t>
            </w: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Q4 2023</w:t>
            </w: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69,245</w:t>
            </w:r>
          </w:p>
        </w:tc>
        <w:tc>
          <w:tcPr>
            <w:tcW w:w="11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61,926</w:t>
            </w: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47,879</w:t>
            </w:r>
          </w:p>
        </w:tc>
        <w:tc>
          <w:tcPr>
            <w:tcW w:w="11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37,752</w:t>
            </w:r>
          </w:p>
        </w:tc>
        <w:tc>
          <w:tcPr>
            <w:tcW w:w="12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27,072</w:t>
            </w: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31,425</w:t>
            </w:r>
          </w:p>
        </w:tc>
        <w:tc>
          <w:tcPr>
            <w:tcW w:w="11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37,025</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34,548</w:t>
            </w:r>
          </w:p>
        </w:tc>
        <w:tc>
          <w:tcPr>
            <w:tcW w:w="0" w:type="dxa"/>
            <w:vAlign w:val="bottom"/>
          </w:tcPr>
          <w:p>
            <w:pPr>
              <w:spacing w:after="0"/>
              <w:rPr>
                <w:sz w:val="1"/>
                <w:szCs w:val="1"/>
                <w:color w:val="auto"/>
              </w:rPr>
            </w:pPr>
          </w:p>
        </w:tc>
      </w:tr>
      <w:tr>
        <w:trPr>
          <w:trHeight w:val="198"/>
        </w:trPr>
        <w:tc>
          <w:tcPr>
            <w:tcW w:w="2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from continuing</w:t>
            </w:r>
          </w:p>
        </w:tc>
        <w:tc>
          <w:tcPr>
            <w:tcW w:w="12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(46,258)</w:t>
            </w: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1200" w:type="dxa"/>
            <w:vAlign w:val="bottom"/>
            <w:vMerge w:val="continue"/>
          </w:tcPr>
          <w:p>
            <w:pPr>
              <w:spacing w:after="0"/>
              <w:rPr>
                <w:sz w:val="20"/>
                <w:szCs w:val="20"/>
                <w:color w:val="auto"/>
              </w:rPr>
            </w:pP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(7,750)</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(14,627)</w:t>
            </w: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21,405</w:t>
            </w:r>
          </w:p>
        </w:tc>
        <w:tc>
          <w:tcPr>
            <w:tcW w:w="12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(23,984)</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(18,971)</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(9,530)</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(56,968)</w:t>
            </w:r>
          </w:p>
        </w:tc>
        <w:tc>
          <w:tcPr>
            <w:tcW w:w="0" w:type="dxa"/>
            <w:vAlign w:val="bottom"/>
          </w:tcPr>
          <w:p>
            <w:pPr>
              <w:spacing w:after="0"/>
              <w:rPr>
                <w:sz w:val="1"/>
                <w:szCs w:val="1"/>
                <w:color w:val="auto"/>
              </w:rPr>
            </w:pPr>
          </w:p>
        </w:tc>
      </w:tr>
      <w:tr>
        <w:trPr>
          <w:trHeight w:val="198"/>
        </w:trPr>
        <w:tc>
          <w:tcPr>
            <w:tcW w:w="2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Basic earnings (loss) per</w:t>
            </w:r>
          </w:p>
        </w:tc>
        <w:tc>
          <w:tcPr>
            <w:tcW w:w="1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from continuing</w:t>
            </w:r>
          </w:p>
        </w:tc>
        <w:tc>
          <w:tcPr>
            <w:tcW w:w="120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(0.08)</w:t>
            </w:r>
          </w:p>
        </w:tc>
        <w:tc>
          <w:tcPr>
            <w:tcW w:w="1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1200" w:type="dxa"/>
            <w:vAlign w:val="bottom"/>
            <w:vMerge w:val="continue"/>
            <w:shd w:val="clear" w:color="auto" w:fill="CCEEFF"/>
          </w:tcPr>
          <w:p>
            <w:pPr>
              <w:spacing w:after="0"/>
              <w:rPr>
                <w:sz w:val="20"/>
                <w:szCs w:val="20"/>
                <w:color w:val="auto"/>
              </w:rPr>
            </w:pPr>
          </w:p>
        </w:tc>
        <w:tc>
          <w:tcPr>
            <w:tcW w:w="11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(0.05)</w:t>
            </w: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(0.07)</w:t>
            </w:r>
          </w:p>
        </w:tc>
        <w:tc>
          <w:tcPr>
            <w:tcW w:w="11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0.03</w:t>
            </w:r>
          </w:p>
        </w:tc>
        <w:tc>
          <w:tcPr>
            <w:tcW w:w="12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(0.08)</w:t>
            </w: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(0.07)</w:t>
            </w:r>
          </w:p>
        </w:tc>
        <w:tc>
          <w:tcPr>
            <w:tcW w:w="11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(0.02)</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198"/>
        </w:trPr>
        <w:tc>
          <w:tcPr>
            <w:tcW w:w="2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Diluted earnings (loss) per</w:t>
            </w: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from continuing</w:t>
            </w:r>
          </w:p>
        </w:tc>
        <w:tc>
          <w:tcPr>
            <w:tcW w:w="12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(0.08)</w:t>
            </w: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120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(0.05)</w:t>
            </w: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(0.07)</w:t>
            </w: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0.03</w:t>
            </w:r>
          </w:p>
        </w:tc>
        <w:tc>
          <w:tcPr>
            <w:tcW w:w="12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(0.08)</w:t>
            </w: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(0.07)</w:t>
            </w: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(0.02)</w:t>
            </w: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10"/>
        </w:trPr>
        <w:tc>
          <w:tcPr>
            <w:tcW w:w="2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16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(loss) income before</w:t>
            </w:r>
          </w:p>
        </w:tc>
        <w:tc>
          <w:tcPr>
            <w:tcW w:w="1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2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(48,605)</w:t>
            </w: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(17,770)</w:t>
            </w: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(7,814)</w:t>
            </w: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12,064</w:t>
            </w:r>
          </w:p>
        </w:tc>
        <w:tc>
          <w:tcPr>
            <w:tcW w:w="12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(24,082)</w:t>
            </w: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(17,005)</w:t>
            </w: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(15,815)</w:t>
            </w: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(59,732)</w:t>
            </w:r>
          </w:p>
        </w:tc>
        <w:tc>
          <w:tcPr>
            <w:tcW w:w="0" w:type="dxa"/>
            <w:vAlign w:val="bottom"/>
          </w:tcPr>
          <w:p>
            <w:pPr>
              <w:spacing w:after="0"/>
              <w:rPr>
                <w:sz w:val="1"/>
                <w:szCs w:val="1"/>
                <w:color w:val="auto"/>
              </w:rPr>
            </w:pPr>
          </w:p>
        </w:tc>
      </w:tr>
      <w:tr>
        <w:trPr>
          <w:trHeight w:val="191"/>
        </w:trPr>
        <w:tc>
          <w:tcPr>
            <w:tcW w:w="21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Interest (income) and</w:t>
            </w:r>
          </w:p>
        </w:tc>
        <w:tc>
          <w:tcPr>
            <w:tcW w:w="120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1,299</w:t>
            </w:r>
          </w:p>
        </w:tc>
        <w:tc>
          <w:tcPr>
            <w:tcW w:w="1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1200" w:type="dxa"/>
            <w:vAlign w:val="bottom"/>
            <w:vMerge w:val="continue"/>
            <w:shd w:val="clear" w:color="auto" w:fill="CCEEFF"/>
          </w:tcPr>
          <w:p>
            <w:pPr>
              <w:spacing w:after="0"/>
              <w:rPr>
                <w:sz w:val="20"/>
                <w:szCs w:val="20"/>
                <w:color w:val="auto"/>
              </w:rPr>
            </w:pPr>
          </w:p>
        </w:tc>
        <w:tc>
          <w:tcPr>
            <w:tcW w:w="11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1,649</w:t>
            </w: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(278)</w:t>
            </w:r>
          </w:p>
        </w:tc>
        <w:tc>
          <w:tcPr>
            <w:tcW w:w="11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(321)</w:t>
            </w:r>
          </w:p>
        </w:tc>
        <w:tc>
          <w:tcPr>
            <w:tcW w:w="12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(2,037)</w:t>
            </w: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(1,717)</w:t>
            </w:r>
          </w:p>
        </w:tc>
        <w:tc>
          <w:tcPr>
            <w:tcW w:w="11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(328)</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8"/>
        </w:trPr>
        <w:tc>
          <w:tcPr>
            <w:tcW w:w="2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Depreciation and</w:t>
            </w:r>
          </w:p>
        </w:tc>
        <w:tc>
          <w:tcPr>
            <w:tcW w:w="12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27,386</w:t>
            </w: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200" w:type="dxa"/>
            <w:vAlign w:val="bottom"/>
            <w:vMerge w:val="continue"/>
          </w:tcPr>
          <w:p>
            <w:pPr>
              <w:spacing w:after="0"/>
              <w:rPr>
                <w:sz w:val="20"/>
                <w:szCs w:val="20"/>
                <w:color w:val="auto"/>
              </w:rPr>
            </w:pP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27,270</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19,117</w:t>
            </w: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15,048</w:t>
            </w: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13,583</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45,856</w:t>
            </w: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32,445</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16,251</w:t>
            </w:r>
          </w:p>
        </w:tc>
        <w:tc>
          <w:tcPr>
            <w:tcW w:w="0" w:type="dxa"/>
            <w:vAlign w:val="bottom"/>
          </w:tcPr>
          <w:p>
            <w:pPr>
              <w:spacing w:after="0"/>
              <w:rPr>
                <w:sz w:val="1"/>
                <w:szCs w:val="1"/>
                <w:color w:val="auto"/>
              </w:rPr>
            </w:pPr>
          </w:p>
        </w:tc>
      </w:tr>
      <w:tr>
        <w:trPr>
          <w:trHeight w:val="198"/>
        </w:trPr>
        <w:tc>
          <w:tcPr>
            <w:tcW w:w="2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w:t>
            </w:r>
          </w:p>
        </w:tc>
        <w:tc>
          <w:tcPr>
            <w:tcW w:w="1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w:t>
            </w:r>
          </w:p>
        </w:tc>
        <w:tc>
          <w:tcPr>
            <w:tcW w:w="120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(8,760)</w:t>
            </w:r>
          </w:p>
        </w:tc>
        <w:tc>
          <w:tcPr>
            <w:tcW w:w="11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160" w:type="dxa"/>
            <w:vAlign w:val="bottom"/>
          </w:tcPr>
          <w:p>
            <w:pPr>
              <w:spacing w:after="0" w:line="250" w:lineRule="exact"/>
              <w:rPr>
                <w:sz w:val="20"/>
                <w:szCs w:val="20"/>
                <w:color w:val="auto"/>
              </w:rPr>
            </w:pPr>
            <w:r>
              <w:rPr>
                <w:rFonts w:ascii="Times New Roman" w:cs="Times New Roman" w:eastAsia="Times New Roman" w:hAnsi="Times New Roman"/>
                <w:sz w:val="17"/>
                <w:szCs w:val="17"/>
                <w:b w:val="1"/>
                <w:bCs w:val="1"/>
                <w:color w:val="auto"/>
              </w:rPr>
              <w:t xml:space="preserve">EBITDA </w:t>
            </w:r>
            <w:r>
              <w:rPr>
                <w:rFonts w:ascii="Times New Roman" w:cs="Times New Roman" w:eastAsia="Times New Roman" w:hAnsi="Times New Roman"/>
                <w:sz w:val="28"/>
                <w:szCs w:val="28"/>
                <w:b w:val="1"/>
                <w:bCs w:val="1"/>
                <w:color w:val="auto"/>
                <w:vertAlign w:val="superscript"/>
              </w:rPr>
              <w:t>(1)</w:t>
            </w:r>
          </w:p>
        </w:tc>
        <w:tc>
          <w:tcPr>
            <w:tcW w:w="12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(19,920)</w:t>
            </w: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11,149</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11,025</w:t>
            </w: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26,791</w:t>
            </w:r>
          </w:p>
        </w:tc>
        <w:tc>
          <w:tcPr>
            <w:tcW w:w="12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(12,536)</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18,374</w:t>
            </w: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16,302</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(43,418)</w:t>
            </w:r>
          </w:p>
        </w:tc>
        <w:tc>
          <w:tcPr>
            <w:tcW w:w="0" w:type="dxa"/>
            <w:vAlign w:val="bottom"/>
          </w:tcPr>
          <w:p>
            <w:pPr>
              <w:spacing w:after="0"/>
              <w:rPr>
                <w:sz w:val="1"/>
                <w:szCs w:val="1"/>
                <w:color w:val="auto"/>
              </w:rPr>
            </w:pPr>
          </w:p>
        </w:tc>
      </w:tr>
      <w:tr>
        <w:trPr>
          <w:trHeight w:val="257"/>
        </w:trPr>
        <w:tc>
          <w:tcPr>
            <w:tcW w:w="2160" w:type="dxa"/>
            <w:vAlign w:val="bottom"/>
            <w:tcBorders>
              <w:bottom w:val="single" w:sz="8" w:color="auto"/>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EBITDA margin </w:t>
            </w:r>
            <w:r>
              <w:rPr>
                <w:rFonts w:ascii="Times New Roman" w:cs="Times New Roman" w:eastAsia="Times New Roman" w:hAnsi="Times New Roman"/>
                <w:sz w:val="29"/>
                <w:szCs w:val="29"/>
                <w:b w:val="1"/>
                <w:bCs w:val="1"/>
                <w:color w:val="auto"/>
                <w:vertAlign w:val="superscript"/>
              </w:rPr>
              <w:t>(1)</w:t>
            </w: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(29)%</w:t>
            </w: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w:t>
            </w: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71%</w:t>
            </w: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(46)%</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58%</w:t>
            </w: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44%</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09"/>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2,851</w:t>
            </w: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3,541</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4,295</w:t>
            </w: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3,843</w:t>
            </w: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4,968</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1,561</w:t>
            </w: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2,975</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3,734</w:t>
            </w:r>
          </w:p>
        </w:tc>
        <w:tc>
          <w:tcPr>
            <w:tcW w:w="0" w:type="dxa"/>
            <w:vAlign w:val="bottom"/>
          </w:tcPr>
          <w:p>
            <w:pPr>
              <w:spacing w:after="0"/>
              <w:rPr>
                <w:sz w:val="1"/>
                <w:szCs w:val="1"/>
                <w:color w:val="auto"/>
              </w:rPr>
            </w:pPr>
          </w:p>
        </w:tc>
      </w:tr>
      <w:tr>
        <w:trPr>
          <w:trHeight w:val="198"/>
        </w:trPr>
        <w:tc>
          <w:tcPr>
            <w:tcW w:w="2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(Reversal of) revaluation</w:t>
            </w:r>
          </w:p>
        </w:tc>
        <w:tc>
          <w:tcPr>
            <w:tcW w:w="120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digital assets</w:t>
            </w:r>
          </w:p>
        </w:tc>
        <w:tc>
          <w:tcPr>
            <w:tcW w:w="1200" w:type="dxa"/>
            <w:vAlign w:val="bottom"/>
            <w:vMerge w:val="continue"/>
            <w:shd w:val="clear" w:color="auto" w:fill="CCEEFF"/>
          </w:tcPr>
          <w:p>
            <w:pPr>
              <w:spacing w:after="0"/>
              <w:rPr>
                <w:sz w:val="20"/>
                <w:szCs w:val="20"/>
                <w:color w:val="auto"/>
              </w:rPr>
            </w:pPr>
          </w:p>
        </w:tc>
        <w:tc>
          <w:tcPr>
            <w:tcW w:w="11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(1,183)</w:t>
            </w:r>
          </w:p>
        </w:tc>
        <w:tc>
          <w:tcPr>
            <w:tcW w:w="0" w:type="dxa"/>
            <w:vAlign w:val="bottom"/>
          </w:tcPr>
          <w:p>
            <w:pPr>
              <w:spacing w:after="0"/>
              <w:rPr>
                <w:sz w:val="1"/>
                <w:szCs w:val="1"/>
                <w:color w:val="auto"/>
              </w:rPr>
            </w:pPr>
          </w:p>
        </w:tc>
      </w:tr>
      <w:tr>
        <w:trPr>
          <w:trHeight w:val="198"/>
        </w:trPr>
        <w:tc>
          <w:tcPr>
            <w:tcW w:w="2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Impairment of non-</w:t>
            </w:r>
          </w:p>
        </w:tc>
        <w:tc>
          <w:tcPr>
            <w:tcW w:w="12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9,102</w:t>
            </w: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assets</w:t>
            </w:r>
          </w:p>
        </w:tc>
        <w:tc>
          <w:tcPr>
            <w:tcW w:w="1200" w:type="dxa"/>
            <w:vAlign w:val="bottom"/>
            <w:vMerge w:val="continue"/>
          </w:tcPr>
          <w:p>
            <w:pPr>
              <w:spacing w:after="0"/>
              <w:rPr>
                <w:sz w:val="20"/>
                <w:szCs w:val="20"/>
                <w:color w:val="auto"/>
              </w:rPr>
            </w:pP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3,628</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2,270</w:t>
            </w:r>
          </w:p>
        </w:tc>
        <w:tc>
          <w:tcPr>
            <w:tcW w:w="0" w:type="dxa"/>
            <w:vAlign w:val="bottom"/>
          </w:tcPr>
          <w:p>
            <w:pPr>
              <w:spacing w:after="0"/>
              <w:rPr>
                <w:sz w:val="1"/>
                <w:szCs w:val="1"/>
                <w:color w:val="auto"/>
              </w:rPr>
            </w:pPr>
          </w:p>
        </w:tc>
      </w:tr>
      <w:tr>
        <w:trPr>
          <w:trHeight w:val="198"/>
        </w:trPr>
        <w:tc>
          <w:tcPr>
            <w:tcW w:w="2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Loss (gain) on revaluation</w:t>
            </w:r>
          </w:p>
        </w:tc>
        <w:tc>
          <w:tcPr>
            <w:tcW w:w="120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26,340</w:t>
            </w:r>
          </w:p>
        </w:tc>
        <w:tc>
          <w:tcPr>
            <w:tcW w:w="1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warrants</w:t>
            </w:r>
          </w:p>
        </w:tc>
        <w:tc>
          <w:tcPr>
            <w:tcW w:w="1200" w:type="dxa"/>
            <w:vAlign w:val="bottom"/>
            <w:vMerge w:val="continue"/>
            <w:shd w:val="clear" w:color="auto" w:fill="CCEEFF"/>
          </w:tcPr>
          <w:p>
            <w:pPr>
              <w:spacing w:after="0"/>
              <w:rPr>
                <w:sz w:val="20"/>
                <w:szCs w:val="20"/>
                <w:color w:val="auto"/>
              </w:rPr>
            </w:pPr>
          </w:p>
        </w:tc>
        <w:tc>
          <w:tcPr>
            <w:tcW w:w="11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(145)</w:t>
            </w: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(5,618)</w:t>
            </w:r>
          </w:p>
        </w:tc>
        <w:tc>
          <w:tcPr>
            <w:tcW w:w="11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(6,314)</w:t>
            </w:r>
          </w:p>
        </w:tc>
        <w:tc>
          <w:tcPr>
            <w:tcW w:w="12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(5,704)</w:t>
            </w: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1,455</w:t>
            </w:r>
          </w:p>
        </w:tc>
        <w:tc>
          <w:tcPr>
            <w:tcW w:w="11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(9,040)</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42,760</w:t>
            </w:r>
          </w:p>
        </w:tc>
        <w:tc>
          <w:tcPr>
            <w:tcW w:w="0" w:type="dxa"/>
            <w:vAlign w:val="bottom"/>
          </w:tcPr>
          <w:p>
            <w:pPr>
              <w:spacing w:after="0"/>
              <w:rPr>
                <w:sz w:val="1"/>
                <w:szCs w:val="1"/>
                <w:color w:val="auto"/>
              </w:rPr>
            </w:pPr>
          </w:p>
        </w:tc>
      </w:tr>
      <w:tr>
        <w:trPr>
          <w:trHeight w:val="198"/>
        </w:trPr>
        <w:tc>
          <w:tcPr>
            <w:tcW w:w="2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Gain on settlement of</w:t>
            </w: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Refundable Hosting</w:t>
            </w:r>
          </w:p>
        </w:tc>
        <w:tc>
          <w:tcPr>
            <w:tcW w:w="12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1200" w:type="dxa"/>
            <w:vAlign w:val="bottom"/>
            <w:vMerge w:val="continue"/>
          </w:tcPr>
          <w:p>
            <w:pPr>
              <w:spacing w:after="0"/>
              <w:rPr>
                <w:sz w:val="20"/>
                <w:szCs w:val="20"/>
                <w:color w:val="auto"/>
              </w:rPr>
            </w:pP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(945)</w:t>
            </w: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Costs not associated with</w:t>
            </w:r>
          </w:p>
        </w:tc>
        <w:tc>
          <w:tcPr>
            <w:tcW w:w="120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9,244</w:t>
            </w:r>
          </w:p>
        </w:tc>
        <w:tc>
          <w:tcPr>
            <w:tcW w:w="1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ongoing operations</w:t>
            </w:r>
          </w:p>
        </w:tc>
        <w:tc>
          <w:tcPr>
            <w:tcW w:w="1200" w:type="dxa"/>
            <w:vAlign w:val="bottom"/>
            <w:vMerge w:val="continue"/>
            <w:shd w:val="clear" w:color="auto" w:fill="CCEEFF"/>
          </w:tcPr>
          <w:p>
            <w:pPr>
              <w:spacing w:after="0"/>
              <w:rPr>
                <w:sz w:val="20"/>
                <w:szCs w:val="20"/>
                <w:color w:val="auto"/>
              </w:rPr>
            </w:pPr>
          </w:p>
        </w:tc>
        <w:tc>
          <w:tcPr>
            <w:tcW w:w="11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1,671</w:t>
            </w:r>
          </w:p>
        </w:tc>
        <w:tc>
          <w:tcPr>
            <w:tcW w:w="11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1,287</w:t>
            </w:r>
          </w:p>
        </w:tc>
        <w:tc>
          <w:tcPr>
            <w:tcW w:w="12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9,383</w:t>
            </w: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3,096</w:t>
            </w:r>
          </w:p>
        </w:tc>
        <w:tc>
          <w:tcPr>
            <w:tcW w:w="11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prior</w:t>
            </w: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years - energy and</w:t>
            </w:r>
          </w:p>
        </w:tc>
        <w:tc>
          <w:tcPr>
            <w:tcW w:w="1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infrastructure and G&amp;A</w:t>
            </w:r>
          </w:p>
        </w:tc>
        <w:tc>
          <w:tcPr>
            <w:tcW w:w="1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160" w:type="dxa"/>
            <w:vAlign w:val="bottom"/>
          </w:tcPr>
          <w:p>
            <w:pPr>
              <w:ind w:left="180"/>
              <w:spacing w:after="0" w:line="271" w:lineRule="exact"/>
              <w:rPr>
                <w:sz w:val="20"/>
                <w:szCs w:val="20"/>
                <w:color w:val="auto"/>
              </w:rPr>
            </w:pPr>
            <w:r>
              <w:rPr>
                <w:rFonts w:ascii="Times New Roman" w:cs="Times New Roman" w:eastAsia="Times New Roman" w:hAnsi="Times New Roman"/>
                <w:sz w:val="18"/>
                <w:szCs w:val="18"/>
                <w:color w:val="auto"/>
              </w:rPr>
              <w:t xml:space="preserve">expenses </w:t>
            </w:r>
            <w:r>
              <w:rPr>
                <w:rFonts w:ascii="Times New Roman" w:cs="Times New Roman" w:eastAsia="Times New Roman" w:hAnsi="Times New Roman"/>
                <w:sz w:val="29"/>
                <w:szCs w:val="29"/>
                <w:color w:val="auto"/>
                <w:vertAlign w:val="superscript"/>
              </w:rPr>
              <w:t>(2)</w:t>
            </w: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(18,468)</w:t>
            </w: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2,387</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2,485</w:t>
            </w:r>
          </w:p>
        </w:tc>
        <w:tc>
          <w:tcPr>
            <w:tcW w:w="0" w:type="dxa"/>
            <w:vAlign w:val="bottom"/>
          </w:tcPr>
          <w:p>
            <w:pPr>
              <w:spacing w:after="0"/>
              <w:rPr>
                <w:sz w:val="1"/>
                <w:szCs w:val="1"/>
                <w:color w:val="auto"/>
              </w:rPr>
            </w:pPr>
          </w:p>
        </w:tc>
      </w:tr>
      <w:tr>
        <w:trPr>
          <w:trHeight w:val="198"/>
        </w:trPr>
        <w:tc>
          <w:tcPr>
            <w:tcW w:w="2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financial expenses and</w:t>
            </w:r>
          </w:p>
        </w:tc>
        <w:tc>
          <w:tcPr>
            <w:tcW w:w="120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(8,054)</w:t>
            </w:r>
          </w:p>
        </w:tc>
        <w:tc>
          <w:tcPr>
            <w:tcW w:w="1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(5,417)</w:t>
            </w:r>
          </w:p>
        </w:tc>
        <w:tc>
          <w:tcPr>
            <w:tcW w:w="11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(581)</w:t>
            </w: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(18,163)</w:t>
            </w:r>
          </w:p>
        </w:tc>
        <w:tc>
          <w:tcPr>
            <w:tcW w:w="12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2,459</w:t>
            </w:r>
          </w:p>
        </w:tc>
        <w:tc>
          <w:tcPr>
            <w:tcW w:w="11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2,385</w:t>
            </w:r>
          </w:p>
        </w:tc>
        <w:tc>
          <w:tcPr>
            <w:tcW w:w="11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620</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1,608</w:t>
            </w:r>
          </w:p>
        </w:tc>
        <w:tc>
          <w:tcPr>
            <w:tcW w:w="0" w:type="dxa"/>
            <w:vAlign w:val="bottom"/>
          </w:tcPr>
          <w:p>
            <w:pPr>
              <w:spacing w:after="0"/>
              <w:rPr>
                <w:sz w:val="1"/>
                <w:szCs w:val="1"/>
                <w:color w:val="auto"/>
              </w:rPr>
            </w:pPr>
          </w:p>
        </w:tc>
      </w:tr>
      <w:tr>
        <w:trPr>
          <w:trHeight w:val="250"/>
        </w:trPr>
        <w:tc>
          <w:tcPr>
            <w:tcW w:w="2160" w:type="dxa"/>
            <w:vAlign w:val="bottom"/>
          </w:tcPr>
          <w:p>
            <w:pPr>
              <w:spacing w:after="0" w:line="250" w:lineRule="exact"/>
              <w:rPr>
                <w:sz w:val="20"/>
                <w:szCs w:val="20"/>
                <w:color w:val="auto"/>
              </w:rPr>
            </w:pPr>
            <w:r>
              <w:rPr>
                <w:rFonts w:ascii="Times New Roman" w:cs="Times New Roman" w:eastAsia="Times New Roman" w:hAnsi="Times New Roman"/>
                <w:sz w:val="17"/>
                <w:szCs w:val="17"/>
                <w:b w:val="1"/>
                <w:bCs w:val="1"/>
                <w:color w:val="auto"/>
              </w:rPr>
              <w:t xml:space="preserve">Adjusted EBITDA </w:t>
            </w:r>
            <w:r>
              <w:rPr>
                <w:rFonts w:ascii="Times New Roman" w:cs="Times New Roman" w:eastAsia="Times New Roman" w:hAnsi="Times New Roman"/>
                <w:sz w:val="28"/>
                <w:szCs w:val="28"/>
                <w:b w:val="1"/>
                <w:bCs w:val="1"/>
                <w:color w:val="auto"/>
                <w:vertAlign w:val="superscript"/>
              </w:rPr>
              <w:t>(1)</w:t>
            </w: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19,563</w:t>
            </w: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9,128</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9,847</w:t>
            </w: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7,444</w:t>
            </w: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2,198</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8,403</w:t>
            </w: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13,244</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8,256</w:t>
            </w:r>
          </w:p>
        </w:tc>
        <w:tc>
          <w:tcPr>
            <w:tcW w:w="0" w:type="dxa"/>
            <w:vAlign w:val="bottom"/>
          </w:tcPr>
          <w:p>
            <w:pPr>
              <w:spacing w:after="0"/>
              <w:rPr>
                <w:sz w:val="1"/>
                <w:szCs w:val="1"/>
                <w:color w:val="auto"/>
              </w:rPr>
            </w:pPr>
          </w:p>
        </w:tc>
      </w:tr>
      <w:tr>
        <w:trPr>
          <w:trHeight w:val="197"/>
        </w:trPr>
        <w:tc>
          <w:tcPr>
            <w:tcW w:w="216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b w:val="1"/>
                <w:bCs w:val="1"/>
                <w:color w:val="auto"/>
              </w:rPr>
              <w:t>Adjusted EBITDA</w:t>
            </w:r>
          </w:p>
        </w:tc>
        <w:tc>
          <w:tcPr>
            <w:tcW w:w="1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2160" w:type="dxa"/>
            <w:vAlign w:val="bottom"/>
            <w:tcBorders>
              <w:bottom w:val="single" w:sz="8" w:color="auto"/>
            </w:tcBorders>
            <w:shd w:val="clear" w:color="auto" w:fill="CCEEFF"/>
          </w:tcPr>
          <w:p>
            <w:pPr>
              <w:ind w:left="180"/>
              <w:spacing w:after="0" w:line="276" w:lineRule="exact"/>
              <w:rPr>
                <w:sz w:val="20"/>
                <w:szCs w:val="20"/>
                <w:color w:val="auto"/>
              </w:rPr>
            </w:pPr>
            <w:r>
              <w:rPr>
                <w:rFonts w:ascii="Times New Roman" w:cs="Times New Roman" w:eastAsia="Times New Roman" w:hAnsi="Times New Roman"/>
                <w:sz w:val="18"/>
                <w:szCs w:val="18"/>
                <w:b w:val="1"/>
                <w:bCs w:val="1"/>
                <w:color w:val="auto"/>
              </w:rPr>
              <w:t xml:space="preserve">margin </w:t>
            </w:r>
            <w:r>
              <w:rPr>
                <w:rFonts w:ascii="Times New Roman" w:cs="Times New Roman" w:eastAsia="Times New Roman" w:hAnsi="Times New Roman"/>
                <w:sz w:val="29"/>
                <w:szCs w:val="29"/>
                <w:b w:val="1"/>
                <w:bCs w:val="1"/>
                <w:color w:val="auto"/>
                <w:vertAlign w:val="superscript"/>
              </w:rPr>
              <w:t>(1)</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28%</w:t>
            </w: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w:t>
            </w: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w:t>
            </w: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340" w:hanging="332"/>
        <w:spacing w:after="0"/>
        <w:tabs>
          <w:tab w:leader="none" w:pos="340" w:val="left"/>
        </w:tabs>
        <w:numPr>
          <w:ilvl w:val="0"/>
          <w:numId w:val="9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EBITDA, EBITDA margin, Adjusted EBITDA and Adjusted EBITDA margin are non-IFRS measures or ratios; refer to Section 10 - </w:t>
      </w:r>
      <w:r>
        <w:rPr>
          <w:rFonts w:ascii="Times New Roman" w:cs="Times New Roman" w:eastAsia="Times New Roman" w:hAnsi="Times New Roman"/>
          <w:sz w:val="18"/>
          <w:szCs w:val="18"/>
          <w:i w:val="1"/>
          <w:iCs w:val="1"/>
          <w:color w:val="auto"/>
        </w:rPr>
        <w:t>Non-IFRS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0"/>
          <w:szCs w:val="20"/>
          <w:color w:val="auto"/>
        </w:rPr>
      </w:pPr>
    </w:p>
    <w:p>
      <w:pPr>
        <w:jc w:val="both"/>
        <w:ind w:left="340" w:hanging="332"/>
        <w:spacing w:after="0" w:line="210" w:lineRule="auto"/>
        <w:tabs>
          <w:tab w:leader="none" w:pos="340" w:val="left"/>
        </w:tabs>
        <w:numPr>
          <w:ilvl w:val="0"/>
          <w:numId w:val="9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Sales tax recovery relating to energy and infrastructure and general and administrative expenses have been allocated to their respective periods; refer to Note 29b - </w:t>
      </w:r>
      <w:r>
        <w:rPr>
          <w:rFonts w:ascii="Times New Roman" w:cs="Times New Roman" w:eastAsia="Times New Roman" w:hAnsi="Times New Roman"/>
          <w:sz w:val="18"/>
          <w:szCs w:val="18"/>
          <w:i w:val="1"/>
          <w:iCs w:val="1"/>
          <w:color w:val="auto"/>
        </w:rPr>
        <w:t>Additional Details to the Statement of Profit or Loss and Comprehensive Profit or Loss (Canadian sales tax refund)</w:t>
      </w:r>
      <w:r>
        <w:rPr>
          <w:rFonts w:ascii="Times New Roman" w:cs="Times New Roman" w:eastAsia="Times New Roman" w:hAnsi="Times New Roman"/>
          <w:sz w:val="18"/>
          <w:szCs w:val="18"/>
          <w:color w:val="auto"/>
        </w:rPr>
        <w:t xml:space="preserve"> to the 2024 Annual Financial Statements.</w:t>
      </w:r>
    </w:p>
    <w:p>
      <w:pPr>
        <w:spacing w:after="0" w:line="2" w:lineRule="exact"/>
        <w:rPr>
          <w:sz w:val="20"/>
          <w:szCs w:val="20"/>
          <w:color w:val="auto"/>
        </w:rPr>
      </w:pPr>
    </w:p>
    <w:p>
      <w:pPr>
        <w:jc w:val="both"/>
        <w:ind w:left="340" w:hanging="332"/>
        <w:spacing w:after="0" w:line="228" w:lineRule="auto"/>
        <w:tabs>
          <w:tab w:leader="none" w:pos="340" w:val="left"/>
        </w:tabs>
        <w:numPr>
          <w:ilvl w:val="0"/>
          <w:numId w:val="10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This data excludes the discontinued operations in Rio Cuarto, Argentina and in Paraguay. On May 12, 2025, the Company’s energy provider GMSA, halted the supply of electricity to the Company’s Rio Cuarto Bitcoin data center with energized capacity of 58 MW. On August 11, 2025, three months after being informed that electricity supply was being halted and with no path forward to resume operations in the future, the decision was made to shut down the plant, which was abandoned by September 30, 2025. Additionally, as of September 30, 2025, the Paso Pe facility met the criteria to be classified as held for sale, and all operations in Paraguay were designated as discontinued operations as the Company makes a strategic shift towards HPC/AI infrastructure in North America. Refer to Section 8 - </w:t>
      </w:r>
      <w:r>
        <w:rPr>
          <w:rFonts w:ascii="Times New Roman" w:cs="Times New Roman" w:eastAsia="Times New Roman" w:hAnsi="Times New Roman"/>
          <w:sz w:val="18"/>
          <w:szCs w:val="18"/>
          <w:i w:val="1"/>
          <w:iCs w:val="1"/>
          <w:color w:val="auto"/>
        </w:rPr>
        <w:t>Financial performance (Discontinued operations)</w:t>
      </w:r>
      <w:r>
        <w:rPr>
          <w:rFonts w:ascii="Times New Roman" w:cs="Times New Roman" w:eastAsia="Times New Roman" w:hAnsi="Times New Roman"/>
          <w:sz w:val="18"/>
          <w:szCs w:val="18"/>
          <w:color w:val="auto"/>
        </w:rPr>
        <w:t xml:space="preserve"> and Section 18 - </w:t>
      </w:r>
      <w:r>
        <w:rPr>
          <w:rFonts w:ascii="Times New Roman" w:cs="Times New Roman" w:eastAsia="Times New Roman" w:hAnsi="Times New Roman"/>
          <w:sz w:val="18"/>
          <w:szCs w:val="18"/>
          <w:i w:val="1"/>
          <w:iCs w:val="1"/>
          <w:color w:val="auto"/>
        </w:rPr>
        <w:t>Risk Factors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Company’s operations in Rio Cuarto have been suspended due to a halt in its supply of electrical power on May 12, 2025) </w:t>
      </w:r>
      <w:r>
        <w:rPr>
          <w:rFonts w:ascii="Times New Roman" w:cs="Times New Roman" w:eastAsia="Times New Roman" w:hAnsi="Times New Roman"/>
          <w:sz w:val="18"/>
          <w:szCs w:val="18"/>
          <w:color w:val="auto"/>
        </w:rPr>
        <w:t>of this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97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10440"/>
        <w:spacing w:after="0"/>
        <w:tabs>
          <w:tab w:leader="none" w:pos="10840" w:val="left"/>
        </w:tabs>
        <w:rPr>
          <w:sz w:val="20"/>
          <w:szCs w:val="20"/>
          <w:color w:val="auto"/>
        </w:rPr>
      </w:pPr>
      <w:r>
        <w:rPr>
          <w:rFonts w:ascii="Times New Roman" w:cs="Times New Roman" w:eastAsia="Times New Roman" w:hAnsi="Times New Roman"/>
          <w:sz w:val="18"/>
          <w:szCs w:val="18"/>
          <w:color w:val="auto"/>
        </w:rPr>
        <w:t>30</w:t>
        <w:tab/>
        <w:t>Page</w:t>
      </w:r>
    </w:p>
    <w:p>
      <w:pPr>
        <w:sectPr>
          <w:pgSz w:w="11900" w:h="16838" w:orient="portrait"/>
          <w:cols w:equalWidth="0" w:num="1">
            <w:col w:w="11240"/>
          </w:cols>
          <w:pgMar w:left="320" w:top="927" w:right="339" w:bottom="474"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SELECTED QUARTERLY INFORMATION FROM CONTINUING OPERATIONS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the BTC Mining industry experiences volatility, BTC prices are not generally subject to seasonality or seasonal effects. Seasonal fluctuations in energy supply, however, may impact the Company’s operations. The Company’s had operations in Quebec, Canada, where power was sourced directly from Hydro-Québec, Hydro-Magog, Hydro-Sherbrooke and the City of Baie-Comeau. The Company also had operations in Washington State, United States, that were powered by the Grant County Power Utility District; as well as operations in Pennsylvania, United States, that were powered by Stronghold and the PJM Interconnection Merchant Market. Among other phenomena, changing weather in Quebec (Canada), Washington State and Pennsylvania (United States) may impact seasonal electricity needs and costs. Periods of extreme cold or extreme hot weather may contribute to service interruptions in cryptocurrency Mining operations. Changes to supply and/or demand of electricity may result in curtailment of electricity to the Company’s cryptocurrency Mining operations. The Company’s geographical diversification may reduce the risk and extent of extreme weather and other external factors unduly affecting the Company’s overall performance.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Q3 2025 details, refer to Section 8A - </w:t>
      </w:r>
      <w:r>
        <w:rPr>
          <w:rFonts w:ascii="Times New Roman" w:cs="Times New Roman" w:eastAsia="Times New Roman" w:hAnsi="Times New Roman"/>
          <w:sz w:val="18"/>
          <w:szCs w:val="18"/>
          <w:i w:val="1"/>
          <w:iCs w:val="1"/>
          <w:color w:val="auto"/>
        </w:rPr>
        <w:t>Financial Performance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xml:space="preserve"> Section 11A - </w:t>
      </w:r>
      <w:r>
        <w:rPr>
          <w:rFonts w:ascii="Times New Roman" w:cs="Times New Roman" w:eastAsia="Times New Roman" w:hAnsi="Times New Roman"/>
          <w:sz w:val="18"/>
          <w:szCs w:val="18"/>
          <w:i w:val="1"/>
          <w:iCs w:val="1"/>
          <w:color w:val="auto"/>
        </w:rPr>
        <w:t>Liquidity and Capital Resources (Cash Flows);</w:t>
      </w:r>
      <w:r>
        <w:rPr>
          <w:rFonts w:ascii="Times New Roman" w:cs="Times New Roman" w:eastAsia="Times New Roman" w:hAnsi="Times New Roman"/>
          <w:sz w:val="18"/>
          <w:szCs w:val="18"/>
          <w:color w:val="auto"/>
        </w:rPr>
        <w:t xml:space="preserve"> and Section 7</w:t>
      </w:r>
    </w:p>
    <w:p>
      <w:pPr>
        <w:spacing w:after="0" w:line="29" w:lineRule="exact"/>
        <w:rPr>
          <w:sz w:val="20"/>
          <w:szCs w:val="20"/>
          <w:color w:val="auto"/>
        </w:rPr>
      </w:pPr>
    </w:p>
    <w:p>
      <w:pPr>
        <w:ind w:left="120" w:hanging="112"/>
        <w:spacing w:after="0"/>
        <w:tabs>
          <w:tab w:leader="none" w:pos="1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HPC/AI Infrastructure and BTC Mining Expansion Projects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United States Expansion and Canada Expansion</w:t>
      </w:r>
      <w:r>
        <w:rPr>
          <w:rFonts w:ascii="Times New Roman" w:cs="Times New Roman" w:eastAsia="Times New Roman" w:hAnsi="Times New Roman"/>
          <w:sz w:val="18"/>
          <w:szCs w:val="18"/>
          <w:color w:val="auto"/>
        </w:rPr>
        <w:t>) of this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97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10440"/>
        <w:spacing w:after="0"/>
        <w:tabs>
          <w:tab w:leader="none" w:pos="10840" w:val="left"/>
        </w:tabs>
        <w:rPr>
          <w:sz w:val="20"/>
          <w:szCs w:val="20"/>
          <w:color w:val="auto"/>
        </w:rPr>
      </w:pPr>
      <w:r>
        <w:rPr>
          <w:rFonts w:ascii="Times New Roman" w:cs="Times New Roman" w:eastAsia="Times New Roman" w:hAnsi="Times New Roman"/>
          <w:sz w:val="18"/>
          <w:szCs w:val="18"/>
          <w:color w:val="auto"/>
        </w:rPr>
        <w:t>31</w:t>
        <w:tab/>
        <w:t>Page</w:t>
      </w:r>
    </w:p>
    <w:p>
      <w:pPr>
        <w:sectPr>
          <w:pgSz w:w="11900" w:h="16838" w:orient="portrait"/>
          <w:cols w:equalWidth="0" w:num="1">
            <w:col w:w="11240"/>
          </w:cols>
          <w:pgMar w:left="320" w:top="954"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NON-IFRS AND OTHER FINANCIAL MEASURES AND RATIOS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Non-IFRS financial measures from continuing operations</w:t>
      </w:r>
      <w:r>
        <w:rPr>
          <w:rFonts w:ascii="Times New Roman" w:cs="Times New Roman" w:eastAsia="Times New Roman" w:hAnsi="Times New Roman"/>
          <w:sz w:val="29"/>
          <w:szCs w:val="29"/>
          <w:b w:val="1"/>
          <w:bCs w:val="1"/>
          <w:color w:val="auto"/>
          <w:vertAlign w:val="superscript"/>
        </w:rPr>
        <w:t>1</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utilizes a number of non-IFRS financial measures and ratios in assessing operating performance. Non-IFRS financial measures and ratios may exclude the impact of certain items and are used internally when analyzing operating performance. Refer to Section 22 - </w:t>
      </w:r>
      <w:r>
        <w:rPr>
          <w:rFonts w:ascii="Times New Roman" w:cs="Times New Roman" w:eastAsia="Times New Roman" w:hAnsi="Times New Roman"/>
          <w:sz w:val="18"/>
          <w:szCs w:val="18"/>
          <w:i w:val="1"/>
          <w:iCs w:val="1"/>
          <w:color w:val="auto"/>
        </w:rPr>
        <w:t>Cautionary Note Regarding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Non-IFRS and Other Financial Measures and Ratios </w:t>
      </w:r>
      <w:r>
        <w:rPr>
          <w:rFonts w:ascii="Times New Roman" w:cs="Times New Roman" w:eastAsia="Times New Roman" w:hAnsi="Times New Roman"/>
          <w:sz w:val="18"/>
          <w:szCs w:val="18"/>
          <w:color w:val="auto"/>
        </w:rPr>
        <w:t>of this MD&amp;A.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Measures</w:t>
            </w:r>
          </w:p>
        </w:tc>
        <w:tc>
          <w:tcPr>
            <w:tcW w:w="43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56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Purpose</w:t>
            </w:r>
          </w:p>
        </w:tc>
      </w:tr>
      <w:tr>
        <w:trPr>
          <w:trHeight w:val="187"/>
        </w:trPr>
        <w:tc>
          <w:tcPr>
            <w:tcW w:w="126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Gross Mining</w:t>
            </w:r>
          </w:p>
        </w:tc>
        <w:tc>
          <w:tcPr>
            <w:tcW w:w="4360" w:type="dxa"/>
            <w:vAlign w:val="bottom"/>
          </w:tcPr>
          <w:p>
            <w:pPr>
              <w:ind w:left="140"/>
              <w:spacing w:after="0" w:line="188" w:lineRule="exact"/>
              <w:rPr>
                <w:sz w:val="20"/>
                <w:szCs w:val="20"/>
                <w:color w:val="auto"/>
              </w:rPr>
            </w:pPr>
            <w:r>
              <w:rPr>
                <w:rFonts w:ascii="Times New Roman" w:cs="Times New Roman" w:eastAsia="Times New Roman" w:hAnsi="Times New Roman"/>
                <w:sz w:val="18"/>
                <w:szCs w:val="18"/>
                <w:color w:val="auto"/>
              </w:rPr>
              <w:t>Gross  Profit  adjusted  to  exclude:  (i)  non-Mining</w:t>
            </w:r>
          </w:p>
        </w:tc>
        <w:tc>
          <w:tcPr>
            <w:tcW w:w="5620" w:type="dxa"/>
            <w:vAlign w:val="bottom"/>
          </w:tcPr>
          <w:p>
            <w:pPr>
              <w:ind w:left="140"/>
              <w:spacing w:after="0" w:line="188" w:lineRule="exact"/>
              <w:rPr>
                <w:sz w:val="20"/>
                <w:szCs w:val="20"/>
                <w:color w:val="auto"/>
              </w:rPr>
            </w:pPr>
            <w:r>
              <w:rPr>
                <w:rFonts w:ascii="Times New Roman" w:cs="Times New Roman" w:eastAsia="Times New Roman" w:hAnsi="Times New Roman"/>
                <w:sz w:val="18"/>
                <w:szCs w:val="18"/>
                <w:color w:val="auto"/>
              </w:rPr>
              <w:t>●     To assess profitability after power costs in cryptocurrency production</w:t>
            </w:r>
          </w:p>
        </w:tc>
      </w:tr>
      <w:tr>
        <w:trPr>
          <w:trHeight w:val="220"/>
        </w:trPr>
        <w:tc>
          <w:tcPr>
            <w:tcW w:w="1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profit</w:t>
            </w:r>
          </w:p>
        </w:tc>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revenues;  (ii)  depreciation  and  amortization;  (iii)</w:t>
            </w:r>
          </w:p>
        </w:tc>
        <w:tc>
          <w:tcPr>
            <w:tcW w:w="5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and other infrastructure costs. Power costs are the largest variable</w:t>
            </w:r>
          </w:p>
        </w:tc>
      </w:tr>
      <w:tr>
        <w:trPr>
          <w:trHeight w:val="216"/>
        </w:trPr>
        <w:tc>
          <w:tcPr>
            <w:tcW w:w="1260" w:type="dxa"/>
            <w:vAlign w:val="bottom"/>
          </w:tcPr>
          <w:p>
            <w:pPr>
              <w:spacing w:after="0"/>
              <w:rPr>
                <w:sz w:val="18"/>
                <w:szCs w:val="18"/>
                <w:color w:val="auto"/>
              </w:rPr>
            </w:pPr>
          </w:p>
        </w:tc>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expenses related to hosting and energy revenues; (iv)</w:t>
            </w:r>
          </w:p>
        </w:tc>
        <w:tc>
          <w:tcPr>
            <w:tcW w:w="5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expense in Mining.</w:t>
            </w:r>
          </w:p>
        </w:tc>
      </w:tr>
      <w:tr>
        <w:trPr>
          <w:trHeight w:val="216"/>
        </w:trPr>
        <w:tc>
          <w:tcPr>
            <w:tcW w:w="1260" w:type="dxa"/>
            <w:vAlign w:val="bottom"/>
          </w:tcPr>
          <w:p>
            <w:pPr>
              <w:spacing w:after="0"/>
              <w:rPr>
                <w:sz w:val="18"/>
                <w:szCs w:val="18"/>
                <w:color w:val="auto"/>
              </w:rPr>
            </w:pPr>
          </w:p>
        </w:tc>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electrical components and other expenses;</w:t>
            </w:r>
          </w:p>
        </w:tc>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To provide the users of the MD&amp;A the ability to assess the gross</w:t>
            </w:r>
          </w:p>
        </w:tc>
      </w:tr>
      <w:tr>
        <w:trPr>
          <w:trHeight w:val="216"/>
        </w:trPr>
        <w:tc>
          <w:tcPr>
            <w:tcW w:w="1260" w:type="dxa"/>
            <w:vAlign w:val="bottom"/>
          </w:tcPr>
          <w:p>
            <w:pPr>
              <w:spacing w:after="0"/>
              <w:rPr>
                <w:sz w:val="18"/>
                <w:szCs w:val="18"/>
                <w:color w:val="auto"/>
              </w:rPr>
            </w:pPr>
          </w:p>
        </w:tc>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 electrician salaries and payroll taxes; and (vi) sales</w:t>
            </w:r>
          </w:p>
        </w:tc>
        <w:tc>
          <w:tcPr>
            <w:tcW w:w="5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profitability of the Company’s digital asset Mining operations.</w:t>
            </w:r>
          </w:p>
        </w:tc>
      </w:tr>
      <w:tr>
        <w:trPr>
          <w:trHeight w:val="234"/>
        </w:trPr>
        <w:tc>
          <w:tcPr>
            <w:tcW w:w="1260" w:type="dxa"/>
            <w:vAlign w:val="bottom"/>
            <w:tcBorders>
              <w:bottom w:val="single" w:sz="8" w:color="auto"/>
            </w:tcBorders>
          </w:tcPr>
          <w:p>
            <w:pPr>
              <w:spacing w:after="0"/>
              <w:rPr>
                <w:sz w:val="20"/>
                <w:szCs w:val="20"/>
                <w:color w:val="auto"/>
              </w:rPr>
            </w:pPr>
          </w:p>
        </w:tc>
        <w:tc>
          <w:tcPr>
            <w:tcW w:w="4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tax recovery.</w:t>
            </w:r>
          </w:p>
        </w:tc>
        <w:tc>
          <w:tcPr>
            <w:tcW w:w="5620" w:type="dxa"/>
            <w:vAlign w:val="bottom"/>
            <w:tcBorders>
              <w:bottom w:val="single" w:sz="8" w:color="auto"/>
            </w:tcBorders>
          </w:tcPr>
          <w:p>
            <w:pPr>
              <w:spacing w:after="0"/>
              <w:rPr>
                <w:sz w:val="20"/>
                <w:szCs w:val="20"/>
                <w:color w:val="auto"/>
              </w:rPr>
            </w:pPr>
          </w:p>
        </w:tc>
      </w:tr>
      <w:tr>
        <w:trPr>
          <w:trHeight w:val="191"/>
        </w:trPr>
        <w:tc>
          <w:tcPr>
            <w:tcW w:w="126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b w:val="1"/>
                <w:bCs w:val="1"/>
                <w:color w:val="auto"/>
              </w:rPr>
              <w:t>EBITDA</w:t>
            </w:r>
          </w:p>
        </w:tc>
        <w:tc>
          <w:tcPr>
            <w:tcW w:w="436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Net  income  (loss)  adjusted  to  exclude:  (i)  interest</w:t>
            </w:r>
          </w:p>
        </w:tc>
        <w:tc>
          <w:tcPr>
            <w:tcW w:w="562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w w:val="99"/>
              </w:rPr>
              <w:t>●     To assess profitability before the impact of different financing methods,</w:t>
            </w:r>
          </w:p>
        </w:tc>
      </w:tr>
      <w:tr>
        <w:trPr>
          <w:trHeight w:val="216"/>
        </w:trPr>
        <w:tc>
          <w:tcPr>
            <w:tcW w:w="1260" w:type="dxa"/>
            <w:vAlign w:val="bottom"/>
          </w:tcPr>
          <w:p>
            <w:pPr>
              <w:spacing w:after="0"/>
              <w:rPr>
                <w:sz w:val="18"/>
                <w:szCs w:val="18"/>
                <w:color w:val="auto"/>
              </w:rPr>
            </w:pPr>
          </w:p>
        </w:tc>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expense; (ii) income tax expense; and (iii) depreciation</w:t>
            </w:r>
          </w:p>
        </w:tc>
        <w:tc>
          <w:tcPr>
            <w:tcW w:w="5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taxes,  depreciation  of  capital  assets  and  amortization  of</w:t>
            </w:r>
          </w:p>
        </w:tc>
      </w:tr>
      <w:tr>
        <w:trPr>
          <w:trHeight w:val="216"/>
        </w:trPr>
        <w:tc>
          <w:tcPr>
            <w:tcW w:w="1260" w:type="dxa"/>
            <w:vAlign w:val="bottom"/>
          </w:tcPr>
          <w:p>
            <w:pPr>
              <w:spacing w:after="0"/>
              <w:rPr>
                <w:sz w:val="18"/>
                <w:szCs w:val="18"/>
                <w:color w:val="auto"/>
              </w:rPr>
            </w:pPr>
          </w:p>
        </w:tc>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amortization.</w:t>
            </w:r>
          </w:p>
        </w:tc>
        <w:tc>
          <w:tcPr>
            <w:tcW w:w="5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intangible assets.</w:t>
            </w:r>
          </w:p>
        </w:tc>
      </w:tr>
      <w:tr>
        <w:trPr>
          <w:trHeight w:val="216"/>
        </w:trPr>
        <w:tc>
          <w:tcPr>
            <w:tcW w:w="12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     To provide the users of the MD&amp;A with additional information to assist</w:t>
            </w:r>
          </w:p>
        </w:tc>
      </w:tr>
      <w:tr>
        <w:trPr>
          <w:trHeight w:val="216"/>
        </w:trPr>
        <w:tc>
          <w:tcPr>
            <w:tcW w:w="12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5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them in understanding components of the Company’s financial results,</w:t>
            </w:r>
          </w:p>
        </w:tc>
      </w:tr>
      <w:tr>
        <w:trPr>
          <w:trHeight w:val="216"/>
        </w:trPr>
        <w:tc>
          <w:tcPr>
            <w:tcW w:w="12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5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including  a  more  complete  understanding  of  factors  and  trends</w:t>
            </w:r>
          </w:p>
        </w:tc>
      </w:tr>
      <w:tr>
        <w:trPr>
          <w:trHeight w:val="216"/>
        </w:trPr>
        <w:tc>
          <w:tcPr>
            <w:tcW w:w="12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5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affecting its performance.</w:t>
            </w:r>
          </w:p>
        </w:tc>
      </w:tr>
      <w:tr>
        <w:trPr>
          <w:trHeight w:val="216"/>
        </w:trPr>
        <w:tc>
          <w:tcPr>
            <w:tcW w:w="12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Used by Management to facilitate comparisons of cash operating</w:t>
            </w:r>
          </w:p>
        </w:tc>
      </w:tr>
      <w:tr>
        <w:trPr>
          <w:trHeight w:val="216"/>
        </w:trPr>
        <w:tc>
          <w:tcPr>
            <w:tcW w:w="12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5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performance excluding the impact of charges and credits associated</w:t>
            </w:r>
          </w:p>
        </w:tc>
      </w:tr>
      <w:tr>
        <w:trPr>
          <w:trHeight w:val="216"/>
        </w:trPr>
        <w:tc>
          <w:tcPr>
            <w:tcW w:w="12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5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with financing the operations and growth of the Company from period</w:t>
            </w:r>
          </w:p>
        </w:tc>
      </w:tr>
      <w:tr>
        <w:trPr>
          <w:trHeight w:val="234"/>
        </w:trPr>
        <w:tc>
          <w:tcPr>
            <w:tcW w:w="1260" w:type="dxa"/>
            <w:vAlign w:val="bottom"/>
            <w:tcBorders>
              <w:bottom w:val="single" w:sz="8" w:color="auto"/>
            </w:tcBorders>
          </w:tcPr>
          <w:p>
            <w:pPr>
              <w:spacing w:after="0"/>
              <w:rPr>
                <w:sz w:val="20"/>
                <w:szCs w:val="20"/>
                <w:color w:val="auto"/>
              </w:rPr>
            </w:pPr>
          </w:p>
        </w:tc>
        <w:tc>
          <w:tcPr>
            <w:tcW w:w="4360" w:type="dxa"/>
            <w:vAlign w:val="bottom"/>
            <w:tcBorders>
              <w:bottom w:val="single" w:sz="8" w:color="auto"/>
            </w:tcBorders>
          </w:tcPr>
          <w:p>
            <w:pPr>
              <w:spacing w:after="0"/>
              <w:rPr>
                <w:sz w:val="20"/>
                <w:szCs w:val="20"/>
                <w:color w:val="auto"/>
              </w:rPr>
            </w:pPr>
          </w:p>
        </w:tc>
        <w:tc>
          <w:tcPr>
            <w:tcW w:w="56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to period and to prepare annual operating budgets and forecasts.</w:t>
            </w:r>
          </w:p>
        </w:tc>
      </w:tr>
      <w:tr>
        <w:trPr>
          <w:trHeight w:val="187"/>
        </w:trPr>
        <w:tc>
          <w:tcPr>
            <w:tcW w:w="126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Adjusted</w:t>
            </w:r>
          </w:p>
        </w:tc>
        <w:tc>
          <w:tcPr>
            <w:tcW w:w="4360" w:type="dxa"/>
            <w:vAlign w:val="bottom"/>
          </w:tcPr>
          <w:p>
            <w:pPr>
              <w:ind w:left="140"/>
              <w:spacing w:after="0" w:line="188" w:lineRule="exact"/>
              <w:rPr>
                <w:sz w:val="20"/>
                <w:szCs w:val="20"/>
                <w:color w:val="auto"/>
              </w:rPr>
            </w:pPr>
            <w:r>
              <w:rPr>
                <w:rFonts w:ascii="Times New Roman" w:cs="Times New Roman" w:eastAsia="Times New Roman" w:hAnsi="Times New Roman"/>
                <w:sz w:val="18"/>
                <w:szCs w:val="18"/>
                <w:color w:val="auto"/>
              </w:rPr>
              <w:t>EBITDA adjusted to exclude: (i) share-based payment;</w:t>
            </w:r>
          </w:p>
        </w:tc>
        <w:tc>
          <w:tcPr>
            <w:tcW w:w="5620" w:type="dxa"/>
            <w:vAlign w:val="bottom"/>
          </w:tcPr>
          <w:p>
            <w:pPr>
              <w:ind w:left="140"/>
              <w:spacing w:after="0" w:line="188" w:lineRule="exact"/>
              <w:rPr>
                <w:sz w:val="20"/>
                <w:szCs w:val="20"/>
                <w:color w:val="auto"/>
              </w:rPr>
            </w:pPr>
            <w:r>
              <w:rPr>
                <w:rFonts w:ascii="Times New Roman" w:cs="Times New Roman" w:eastAsia="Times New Roman" w:hAnsi="Times New Roman"/>
                <w:sz w:val="18"/>
                <w:szCs w:val="18"/>
                <w:color w:val="auto"/>
                <w:w w:val="98"/>
              </w:rPr>
              <w:t>●     To assess profitability before the impact of all of the items in calculating</w:t>
            </w:r>
          </w:p>
        </w:tc>
      </w:tr>
      <w:tr>
        <w:trPr>
          <w:trHeight w:val="220"/>
        </w:trPr>
        <w:tc>
          <w:tcPr>
            <w:tcW w:w="1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(ii) non-cash finance expenses; (iii) asset impairment</w:t>
            </w:r>
          </w:p>
        </w:tc>
        <w:tc>
          <w:tcPr>
            <w:tcW w:w="5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EBITDA in addition to certain other non-cash expenses.</w:t>
            </w:r>
          </w:p>
        </w:tc>
      </w:tr>
      <w:tr>
        <w:trPr>
          <w:trHeight w:val="216"/>
        </w:trPr>
        <w:tc>
          <w:tcPr>
            <w:tcW w:w="1260" w:type="dxa"/>
            <w:vAlign w:val="bottom"/>
          </w:tcPr>
          <w:p>
            <w:pPr>
              <w:spacing w:after="0"/>
              <w:rPr>
                <w:sz w:val="18"/>
                <w:szCs w:val="18"/>
                <w:color w:val="auto"/>
              </w:rPr>
            </w:pPr>
          </w:p>
        </w:tc>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charges; (iv) (reversal of) revaluation loss on digital</w:t>
            </w:r>
          </w:p>
        </w:tc>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To provide the users of the MD&amp;A a consistent comparable metric for</w:t>
            </w:r>
          </w:p>
        </w:tc>
      </w:tr>
      <w:tr>
        <w:trPr>
          <w:trHeight w:val="216"/>
        </w:trPr>
        <w:tc>
          <w:tcPr>
            <w:tcW w:w="1260" w:type="dxa"/>
            <w:vAlign w:val="bottom"/>
          </w:tcPr>
          <w:p>
            <w:pPr>
              <w:spacing w:after="0"/>
              <w:rPr>
                <w:sz w:val="18"/>
                <w:szCs w:val="18"/>
                <w:color w:val="auto"/>
              </w:rPr>
            </w:pPr>
          </w:p>
        </w:tc>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assets; (v) gain on disposition of marketable securities,</w:t>
            </w:r>
          </w:p>
        </w:tc>
        <w:tc>
          <w:tcPr>
            <w:tcW w:w="5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profitability of the Company’s core operations across time periods.</w:t>
            </w:r>
          </w:p>
        </w:tc>
      </w:tr>
      <w:tr>
        <w:trPr>
          <w:trHeight w:val="216"/>
        </w:trPr>
        <w:tc>
          <w:tcPr>
            <w:tcW w:w="1260" w:type="dxa"/>
            <w:vAlign w:val="bottom"/>
          </w:tcPr>
          <w:p>
            <w:pPr>
              <w:spacing w:after="0"/>
              <w:rPr>
                <w:sz w:val="18"/>
                <w:szCs w:val="18"/>
                <w:color w:val="auto"/>
              </w:rPr>
            </w:pPr>
          </w:p>
        </w:tc>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gains or losses on derivative assets and liabilities and</w:t>
            </w:r>
          </w:p>
        </w:tc>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Used  by  Management  to  facilitate  comparisons  of  operating</w:t>
            </w:r>
          </w:p>
        </w:tc>
      </w:tr>
      <w:tr>
        <w:trPr>
          <w:trHeight w:val="216"/>
        </w:trPr>
        <w:tc>
          <w:tcPr>
            <w:tcW w:w="1260" w:type="dxa"/>
            <w:vAlign w:val="bottom"/>
          </w:tcPr>
          <w:p>
            <w:pPr>
              <w:spacing w:after="0"/>
              <w:rPr>
                <w:sz w:val="18"/>
                <w:szCs w:val="18"/>
                <w:color w:val="auto"/>
              </w:rPr>
            </w:pPr>
          </w:p>
        </w:tc>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discount expense on VAT receivable; (vi) loss (gain) on</w:t>
            </w:r>
          </w:p>
        </w:tc>
        <w:tc>
          <w:tcPr>
            <w:tcW w:w="5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performance from period to period and to prepare annual operating</w:t>
            </w:r>
          </w:p>
        </w:tc>
      </w:tr>
      <w:tr>
        <w:trPr>
          <w:trHeight w:val="216"/>
        </w:trPr>
        <w:tc>
          <w:tcPr>
            <w:tcW w:w="1260" w:type="dxa"/>
            <w:vAlign w:val="bottom"/>
          </w:tcPr>
          <w:p>
            <w:pPr>
              <w:spacing w:after="0"/>
              <w:rPr>
                <w:sz w:val="18"/>
                <w:szCs w:val="18"/>
                <w:color w:val="auto"/>
              </w:rPr>
            </w:pPr>
          </w:p>
        </w:tc>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revaluation of warrants and warrant issuance costs; (vii)</w:t>
            </w:r>
          </w:p>
        </w:tc>
        <w:tc>
          <w:tcPr>
            <w:tcW w:w="5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budgets and forecasts.</w:t>
            </w:r>
          </w:p>
        </w:tc>
      </w:tr>
      <w:tr>
        <w:trPr>
          <w:trHeight w:val="234"/>
        </w:trPr>
        <w:tc>
          <w:tcPr>
            <w:tcW w:w="1260" w:type="dxa"/>
            <w:vAlign w:val="bottom"/>
          </w:tcPr>
          <w:p>
            <w:pPr>
              <w:spacing w:after="0"/>
              <w:rPr>
                <w:sz w:val="20"/>
                <w:szCs w:val="20"/>
                <w:color w:val="auto"/>
              </w:rPr>
            </w:pPr>
          </w:p>
        </w:tc>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currency exchange; (viii) sales tax recovery; and</w:t>
            </w:r>
          </w:p>
        </w:tc>
        <w:tc>
          <w:tcPr>
            <w:tcW w:w="5620" w:type="dxa"/>
            <w:vAlign w:val="bottom"/>
          </w:tcPr>
          <w:p>
            <w:pPr>
              <w:spacing w:after="0"/>
              <w:rPr>
                <w:sz w:val="20"/>
                <w:szCs w:val="20"/>
                <w:color w:val="auto"/>
              </w:rPr>
            </w:pPr>
          </w:p>
        </w:tc>
      </w:tr>
    </w:tbl>
    <w:p>
      <w:pPr>
        <w:ind w:left="1400" w:right="5680" w:firstLine="6"/>
        <w:spacing w:after="0" w:line="260" w:lineRule="auto"/>
        <w:tabs>
          <w:tab w:leader="none" w:pos="1714"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non-recurring items that do not reflect the core performance of the Company.</w:t>
      </w:r>
    </w:p>
    <w:p>
      <w:pPr>
        <w:spacing w:after="0" w:line="208" w:lineRule="exact"/>
        <w:rPr>
          <w:rFonts w:ascii="Times New Roman" w:cs="Times New Roman" w:eastAsia="Times New Roman" w:hAnsi="Times New Roman"/>
          <w:sz w:val="18"/>
          <w:szCs w:val="18"/>
          <w:color w:val="auto"/>
        </w:rPr>
      </w:pPr>
    </w:p>
    <w:p>
      <w:pPr>
        <w:ind w:left="400" w:right="40" w:hanging="385"/>
        <w:spacing w:after="0" w:line="235" w:lineRule="auto"/>
        <w:rPr>
          <w:rFonts w:ascii="Times New Roman" w:cs="Times New Roman" w:eastAsia="Times New Roman" w:hAnsi="Times New Roman"/>
          <w:sz w:val="18"/>
          <w:szCs w:val="18"/>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The definitions exclude the discontinued operations in Rio Cuarto, Argentina and in Paraguay. On May 12, 2025, the Company’s energy provider GMSA, halted the supply of electricity to the Company’s Rio Cuarto Bitcoin data center with energized capacity of 58 MW. On August 11, 2025, three months after being informed that electricity supply was being halted and with no path forward to resume operations in the future, the decision was made to shut down the plant, which was abandoned by September 30, 2025. Additionally, as of September 30, 2025, the Paso Pe facility met the criteria to be classified as held for sale, and all operations in Paraguay were designated as discontinued operations as the Company makes a strategic shift towards HPC/AI infrastructure in North America. Refer to Section 8 - </w:t>
      </w:r>
      <w:r>
        <w:rPr>
          <w:rFonts w:ascii="Times New Roman" w:cs="Times New Roman" w:eastAsia="Times New Roman" w:hAnsi="Times New Roman"/>
          <w:sz w:val="18"/>
          <w:szCs w:val="18"/>
          <w:i w:val="1"/>
          <w:iCs w:val="1"/>
          <w:color w:val="auto"/>
        </w:rPr>
        <w:t>Financial performance (Discontinued operations)</w:t>
      </w:r>
      <w:r>
        <w:rPr>
          <w:rFonts w:ascii="Times New Roman" w:cs="Times New Roman" w:eastAsia="Times New Roman" w:hAnsi="Times New Roman"/>
          <w:sz w:val="18"/>
          <w:szCs w:val="18"/>
          <w:color w:val="auto"/>
        </w:rPr>
        <w:t xml:space="preserve"> and Section 18 -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(The Company’s operations in Rio Cuarto have been suspended due to a halt in its supply of electrical power on May 12, 2025) </w:t>
      </w:r>
      <w:r>
        <w:rPr>
          <w:rFonts w:ascii="Times New Roman" w:cs="Times New Roman" w:eastAsia="Times New Roman" w:hAnsi="Times New Roman"/>
          <w:sz w:val="18"/>
          <w:szCs w:val="18"/>
          <w:color w:val="auto"/>
        </w:rPr>
        <w:t>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-1250315</wp:posOffset>
            </wp:positionV>
            <wp:extent cx="71323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-1104265</wp:posOffset>
            </wp:positionV>
            <wp:extent cx="71323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1803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3">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440"/>
        <w:spacing w:after="0"/>
        <w:tabs>
          <w:tab w:leader="none" w:pos="10840" w:val="left"/>
        </w:tabs>
        <w:rPr>
          <w:sz w:val="20"/>
          <w:szCs w:val="20"/>
          <w:color w:val="auto"/>
        </w:rPr>
      </w:pPr>
      <w:r>
        <w:rPr>
          <w:rFonts w:ascii="Times New Roman" w:cs="Times New Roman" w:eastAsia="Times New Roman" w:hAnsi="Times New Roman"/>
          <w:sz w:val="18"/>
          <w:szCs w:val="18"/>
          <w:color w:val="auto"/>
        </w:rPr>
        <w:t>32</w:t>
        <w:tab/>
        <w:t>Page</w:t>
      </w:r>
    </w:p>
    <w:p>
      <w:pPr>
        <w:sectPr>
          <w:pgSz w:w="11900" w:h="16838" w:orient="portrait"/>
          <w:cols w:equalWidth="0" w:num="1">
            <w:col w:w="11240"/>
          </w:cols>
          <w:pgMar w:left="320" w:top="92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NON-IFRS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Non-IFRS financial measures from continuing operations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3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Measures</w:t>
            </w:r>
          </w:p>
        </w:tc>
        <w:tc>
          <w:tcPr>
            <w:tcW w:w="42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562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Purpose</w:t>
            </w:r>
          </w:p>
        </w:tc>
      </w:tr>
      <w:tr>
        <w:trPr>
          <w:trHeight w:val="191"/>
        </w:trPr>
        <w:tc>
          <w:tcPr>
            <w:tcW w:w="13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b w:val="1"/>
                <w:bCs w:val="1"/>
                <w:color w:val="auto"/>
              </w:rPr>
              <w:t>Direct Cost</w:t>
            </w:r>
          </w:p>
        </w:tc>
        <w:tc>
          <w:tcPr>
            <w:tcW w:w="42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Cost of revenues adjusted to exclude: (i) depreciation and</w:t>
            </w:r>
          </w:p>
        </w:tc>
        <w:tc>
          <w:tcPr>
            <w:tcW w:w="5620" w:type="dxa"/>
            <w:vAlign w:val="bottom"/>
            <w:gridSpan w:val="2"/>
          </w:tcPr>
          <w:p>
            <w:pPr>
              <w:ind w:left="140"/>
              <w:spacing w:after="0" w:line="191" w:lineRule="exact"/>
              <w:rPr>
                <w:sz w:val="20"/>
                <w:szCs w:val="20"/>
                <w:color w:val="auto"/>
              </w:rPr>
            </w:pPr>
            <w:r>
              <w:rPr>
                <w:rFonts w:ascii="Times New Roman" w:cs="Times New Roman" w:eastAsia="Times New Roman" w:hAnsi="Times New Roman"/>
                <w:sz w:val="18"/>
                <w:szCs w:val="18"/>
                <w:color w:val="auto"/>
              </w:rPr>
              <w:t>●     To assess the Company’s power and hosting costs, the largest variable</w:t>
            </w:r>
          </w:p>
        </w:tc>
      </w:tr>
      <w:tr>
        <w:trPr>
          <w:trHeight w:val="216"/>
        </w:trPr>
        <w:tc>
          <w:tcPr>
            <w:tcW w:w="1340" w:type="dxa"/>
            <w:vAlign w:val="bottom"/>
          </w:tcPr>
          <w:p>
            <w:pPr>
              <w:spacing w:after="0"/>
              <w:rPr>
                <w:sz w:val="18"/>
                <w:szCs w:val="18"/>
                <w:color w:val="auto"/>
              </w:rPr>
            </w:pPr>
          </w:p>
        </w:tc>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amortization; (ii) expenses related to hosting and energy</w:t>
            </w:r>
          </w:p>
        </w:tc>
        <w:tc>
          <w:tcPr>
            <w:tcW w:w="5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expense in Mining.</w:t>
            </w:r>
          </w:p>
        </w:tc>
      </w:tr>
      <w:tr>
        <w:trPr>
          <w:trHeight w:val="216"/>
        </w:trPr>
        <w:tc>
          <w:tcPr>
            <w:tcW w:w="1340" w:type="dxa"/>
            <w:vAlign w:val="bottom"/>
          </w:tcPr>
          <w:p>
            <w:pPr>
              <w:spacing w:after="0"/>
              <w:rPr>
                <w:sz w:val="18"/>
                <w:szCs w:val="18"/>
                <w:color w:val="auto"/>
              </w:rPr>
            </w:pPr>
          </w:p>
        </w:tc>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revenues; (iii) purchases of electrical components; (iv)</w:t>
            </w:r>
          </w:p>
        </w:tc>
        <w:tc>
          <w:tcPr>
            <w:tcW w:w="5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To provide the users of the MD&amp;A a metric to evaluate the Company’s</w:t>
            </w:r>
          </w:p>
        </w:tc>
      </w:tr>
      <w:tr>
        <w:trPr>
          <w:trHeight w:val="216"/>
        </w:trPr>
        <w:tc>
          <w:tcPr>
            <w:tcW w:w="1340" w:type="dxa"/>
            <w:vAlign w:val="bottom"/>
          </w:tcPr>
          <w:p>
            <w:pPr>
              <w:spacing w:after="0"/>
              <w:rPr>
                <w:sz w:val="18"/>
                <w:szCs w:val="18"/>
                <w:color w:val="auto"/>
              </w:rPr>
            </w:pPr>
          </w:p>
        </w:tc>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electrician salaries and payroll taxes; (v) infrastructure;</w:t>
            </w:r>
          </w:p>
        </w:tc>
        <w:tc>
          <w:tcPr>
            <w:tcW w:w="5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direct variable cost and marginal cost for its core digital asset Mining</w:t>
            </w:r>
          </w:p>
        </w:tc>
      </w:tr>
      <w:tr>
        <w:trPr>
          <w:trHeight w:val="216"/>
        </w:trPr>
        <w:tc>
          <w:tcPr>
            <w:tcW w:w="1340" w:type="dxa"/>
            <w:vAlign w:val="bottom"/>
          </w:tcPr>
          <w:p>
            <w:pPr>
              <w:spacing w:after="0"/>
              <w:rPr>
                <w:sz w:val="18"/>
                <w:szCs w:val="18"/>
                <w:color w:val="auto"/>
              </w:rPr>
            </w:pPr>
          </w:p>
        </w:tc>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 sales tax recovery; and (vii) other direct expenses.</w:t>
            </w:r>
          </w:p>
        </w:tc>
        <w:tc>
          <w:tcPr>
            <w:tcW w:w="5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operations across time periods.</w:t>
            </w:r>
          </w:p>
        </w:tc>
      </w:tr>
      <w:tr>
        <w:trPr>
          <w:trHeight w:val="216"/>
        </w:trPr>
        <w:tc>
          <w:tcPr>
            <w:tcW w:w="13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Used by Management to assess the operating performance from period</w:t>
            </w:r>
          </w:p>
        </w:tc>
      </w:tr>
      <w:tr>
        <w:trPr>
          <w:trHeight w:val="234"/>
        </w:trPr>
        <w:tc>
          <w:tcPr>
            <w:tcW w:w="134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tcPr>
          <w:p>
            <w:pPr>
              <w:spacing w:after="0"/>
              <w:rPr>
                <w:sz w:val="20"/>
                <w:szCs w:val="20"/>
                <w:color w:val="auto"/>
              </w:rPr>
            </w:pPr>
          </w:p>
        </w:tc>
        <w:tc>
          <w:tcPr>
            <w:tcW w:w="562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color w:val="auto"/>
              </w:rPr>
              <w:t>to period and to prepare annual operating budgets and forecasts.</w:t>
            </w:r>
          </w:p>
        </w:tc>
      </w:tr>
      <w:tr>
        <w:trPr>
          <w:trHeight w:val="191"/>
        </w:trPr>
        <w:tc>
          <w:tcPr>
            <w:tcW w:w="13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b w:val="1"/>
                <w:bCs w:val="1"/>
                <w:color w:val="auto"/>
              </w:rPr>
              <w:t>Total Cash Cost</w:t>
            </w:r>
          </w:p>
        </w:tc>
        <w:tc>
          <w:tcPr>
            <w:tcW w:w="42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The  sum  of  cost  of  revenues  and  general  and</w:t>
            </w:r>
          </w:p>
        </w:tc>
        <w:tc>
          <w:tcPr>
            <w:tcW w:w="5620" w:type="dxa"/>
            <w:vAlign w:val="bottom"/>
            <w:gridSpan w:val="2"/>
          </w:tcPr>
          <w:p>
            <w:pPr>
              <w:ind w:left="140"/>
              <w:spacing w:after="0" w:line="191" w:lineRule="exact"/>
              <w:rPr>
                <w:sz w:val="20"/>
                <w:szCs w:val="20"/>
                <w:color w:val="auto"/>
              </w:rPr>
            </w:pPr>
            <w:r>
              <w:rPr>
                <w:rFonts w:ascii="Times New Roman" w:cs="Times New Roman" w:eastAsia="Times New Roman" w:hAnsi="Times New Roman"/>
                <w:sz w:val="18"/>
                <w:szCs w:val="18"/>
                <w:color w:val="auto"/>
                <w:w w:val="99"/>
              </w:rPr>
              <w:t>●     To assess the total cash cost of the Company’s core digital asset Mining</w:t>
            </w:r>
          </w:p>
        </w:tc>
      </w:tr>
      <w:tr>
        <w:trPr>
          <w:trHeight w:val="216"/>
        </w:trPr>
        <w:tc>
          <w:tcPr>
            <w:tcW w:w="1340" w:type="dxa"/>
            <w:vAlign w:val="bottom"/>
          </w:tcPr>
          <w:p>
            <w:pPr>
              <w:spacing w:after="0"/>
              <w:rPr>
                <w:sz w:val="18"/>
                <w:szCs w:val="18"/>
                <w:color w:val="auto"/>
              </w:rPr>
            </w:pPr>
          </w:p>
        </w:tc>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administrative  expenses  before:  (i)  depreciation  and</w:t>
            </w:r>
          </w:p>
        </w:tc>
        <w:tc>
          <w:tcPr>
            <w:tcW w:w="5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operations.</w:t>
            </w:r>
          </w:p>
        </w:tc>
      </w:tr>
      <w:tr>
        <w:trPr>
          <w:trHeight w:val="216"/>
        </w:trPr>
        <w:tc>
          <w:tcPr>
            <w:tcW w:w="1340" w:type="dxa"/>
            <w:vAlign w:val="bottom"/>
          </w:tcPr>
          <w:p>
            <w:pPr>
              <w:spacing w:after="0"/>
              <w:rPr>
                <w:sz w:val="18"/>
                <w:szCs w:val="18"/>
                <w:color w:val="auto"/>
              </w:rPr>
            </w:pPr>
          </w:p>
        </w:tc>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amortization; (ii) non-cash service expense; (iii) expenses</w:t>
            </w:r>
          </w:p>
        </w:tc>
        <w:tc>
          <w:tcPr>
            <w:tcW w:w="5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To provide the users of the MD&amp;A a consistent comparable metric for</w:t>
            </w:r>
          </w:p>
        </w:tc>
      </w:tr>
      <w:tr>
        <w:trPr>
          <w:trHeight w:val="216"/>
        </w:trPr>
        <w:tc>
          <w:tcPr>
            <w:tcW w:w="1340" w:type="dxa"/>
            <w:vAlign w:val="bottom"/>
          </w:tcPr>
          <w:p>
            <w:pPr>
              <w:spacing w:after="0"/>
              <w:rPr>
                <w:sz w:val="18"/>
                <w:szCs w:val="18"/>
                <w:color w:val="auto"/>
              </w:rPr>
            </w:pPr>
          </w:p>
        </w:tc>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related to hosting and energy revenues; (iv) purchases of</w:t>
            </w:r>
          </w:p>
        </w:tc>
        <w:tc>
          <w:tcPr>
            <w:tcW w:w="5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the liquidity impact of the Company’s mining activities across time</w:t>
            </w:r>
          </w:p>
        </w:tc>
      </w:tr>
      <w:tr>
        <w:trPr>
          <w:trHeight w:val="216"/>
        </w:trPr>
        <w:tc>
          <w:tcPr>
            <w:tcW w:w="1340" w:type="dxa"/>
            <w:vAlign w:val="bottom"/>
          </w:tcPr>
          <w:p>
            <w:pPr>
              <w:spacing w:after="0"/>
              <w:rPr>
                <w:sz w:val="18"/>
                <w:szCs w:val="18"/>
                <w:color w:val="auto"/>
              </w:rPr>
            </w:pPr>
          </w:p>
        </w:tc>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electrical components; (v) electrician salaries and payroll</w:t>
            </w:r>
          </w:p>
        </w:tc>
        <w:tc>
          <w:tcPr>
            <w:tcW w:w="5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periods.</w:t>
            </w:r>
          </w:p>
        </w:tc>
      </w:tr>
      <w:tr>
        <w:trPr>
          <w:trHeight w:val="216"/>
        </w:trPr>
        <w:tc>
          <w:tcPr>
            <w:tcW w:w="1340" w:type="dxa"/>
            <w:vAlign w:val="bottom"/>
          </w:tcPr>
          <w:p>
            <w:pPr>
              <w:spacing w:after="0"/>
              <w:rPr>
                <w:sz w:val="18"/>
                <w:szCs w:val="18"/>
                <w:color w:val="auto"/>
              </w:rPr>
            </w:pPr>
          </w:p>
        </w:tc>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taxes;  (vi)  share-based  payment;  (vii)  other  direct</w:t>
            </w:r>
          </w:p>
        </w:tc>
        <w:tc>
          <w:tcPr>
            <w:tcW w:w="5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Used by Management to assess the operating performance from period</w:t>
            </w:r>
          </w:p>
        </w:tc>
      </w:tr>
      <w:tr>
        <w:trPr>
          <w:trHeight w:val="216"/>
        </w:trPr>
        <w:tc>
          <w:tcPr>
            <w:tcW w:w="1340" w:type="dxa"/>
            <w:vAlign w:val="bottom"/>
          </w:tcPr>
          <w:p>
            <w:pPr>
              <w:spacing w:after="0"/>
              <w:rPr>
                <w:sz w:val="18"/>
                <w:szCs w:val="18"/>
                <w:color w:val="auto"/>
              </w:rPr>
            </w:pPr>
          </w:p>
        </w:tc>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expenses; (viii) sales tax recovery; and (ix) other non-</w:t>
            </w:r>
          </w:p>
        </w:tc>
        <w:tc>
          <w:tcPr>
            <w:tcW w:w="5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 period and to prepare annual operating budgets and forecasts.</w:t>
            </w:r>
          </w:p>
        </w:tc>
      </w:tr>
      <w:tr>
        <w:trPr>
          <w:trHeight w:val="216"/>
        </w:trPr>
        <w:tc>
          <w:tcPr>
            <w:tcW w:w="1340" w:type="dxa"/>
            <w:vAlign w:val="bottom"/>
          </w:tcPr>
          <w:p>
            <w:pPr>
              <w:spacing w:after="0"/>
              <w:rPr>
                <w:sz w:val="18"/>
                <w:szCs w:val="18"/>
                <w:color w:val="auto"/>
              </w:rPr>
            </w:pPr>
          </w:p>
        </w:tc>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recurring items that do not reflect the core performance</w:t>
            </w:r>
          </w:p>
        </w:tc>
        <w:tc>
          <w:tcPr>
            <w:tcW w:w="50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34"/>
        </w:trPr>
        <w:tc>
          <w:tcPr>
            <w:tcW w:w="134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of the Company.</w:t>
            </w:r>
          </w:p>
        </w:tc>
        <w:tc>
          <w:tcPr>
            <w:tcW w:w="50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r>
      <w:tr>
        <w:trPr>
          <w:trHeight w:val="187"/>
        </w:trPr>
        <w:tc>
          <w:tcPr>
            <w:tcW w:w="134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Gross Mining</w:t>
            </w:r>
          </w:p>
        </w:tc>
        <w:tc>
          <w:tcPr>
            <w:tcW w:w="428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color w:val="auto"/>
              </w:rPr>
              <w:t>The percentage obtained when dividing Gross Mining</w:t>
            </w:r>
          </w:p>
        </w:tc>
        <w:tc>
          <w:tcPr>
            <w:tcW w:w="5620" w:type="dxa"/>
            <w:vAlign w:val="bottom"/>
            <w:gridSpan w:val="2"/>
          </w:tcPr>
          <w:p>
            <w:pPr>
              <w:ind w:left="140"/>
              <w:spacing w:after="0" w:line="188" w:lineRule="exact"/>
              <w:rPr>
                <w:sz w:val="20"/>
                <w:szCs w:val="20"/>
                <w:color w:val="auto"/>
              </w:rPr>
            </w:pPr>
            <w:r>
              <w:rPr>
                <w:rFonts w:ascii="Times New Roman" w:cs="Times New Roman" w:eastAsia="Times New Roman" w:hAnsi="Times New Roman"/>
                <w:sz w:val="18"/>
                <w:szCs w:val="18"/>
                <w:color w:val="auto"/>
              </w:rPr>
              <w:t>●     To assess profitability after power costs in cryptocurrency production,</w:t>
            </w:r>
          </w:p>
        </w:tc>
      </w:tr>
      <w:tr>
        <w:trPr>
          <w:trHeight w:val="220"/>
        </w:trPr>
        <w:tc>
          <w:tcPr>
            <w:tcW w:w="13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profit by Mining related revenues.</w:t>
            </w:r>
          </w:p>
        </w:tc>
        <w:tc>
          <w:tcPr>
            <w:tcW w:w="5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the largest variable expense in Mining.</w:t>
            </w:r>
          </w:p>
        </w:tc>
      </w:tr>
      <w:tr>
        <w:trPr>
          <w:trHeight w:val="216"/>
        </w:trPr>
        <w:tc>
          <w:tcPr>
            <w:tcW w:w="13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To provide the users of the MD&amp;A the ability to assess the profitability</w:t>
            </w:r>
          </w:p>
        </w:tc>
      </w:tr>
      <w:tr>
        <w:trPr>
          <w:trHeight w:val="216"/>
        </w:trPr>
        <w:tc>
          <w:tcPr>
            <w:tcW w:w="13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of the Company’s core digital asset Mining operations, exclusive of</w:t>
            </w:r>
          </w:p>
        </w:tc>
      </w:tr>
      <w:tr>
        <w:trPr>
          <w:trHeight w:val="216"/>
        </w:trPr>
        <w:tc>
          <w:tcPr>
            <w:tcW w:w="13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 and certain general and administrative</w:t>
            </w:r>
          </w:p>
        </w:tc>
      </w:tr>
      <w:tr>
        <w:trPr>
          <w:trHeight w:val="234"/>
        </w:trPr>
        <w:tc>
          <w:tcPr>
            <w:tcW w:w="134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tcPr>
          <w:p>
            <w:pPr>
              <w:spacing w:after="0"/>
              <w:rPr>
                <w:sz w:val="20"/>
                <w:szCs w:val="20"/>
                <w:color w:val="auto"/>
              </w:rPr>
            </w:pPr>
          </w:p>
        </w:tc>
        <w:tc>
          <w:tcPr>
            <w:tcW w:w="562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color w:val="auto"/>
              </w:rPr>
              <w:t>expenses.</w:t>
            </w:r>
          </w:p>
        </w:tc>
      </w:tr>
      <w:tr>
        <w:trPr>
          <w:trHeight w:val="187"/>
        </w:trPr>
        <w:tc>
          <w:tcPr>
            <w:tcW w:w="134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EBITDA</w:t>
            </w:r>
          </w:p>
        </w:tc>
        <w:tc>
          <w:tcPr>
            <w:tcW w:w="428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color w:val="auto"/>
              </w:rPr>
              <w:t>The percentage obtained when dividing EBITDA by</w:t>
            </w:r>
          </w:p>
        </w:tc>
        <w:tc>
          <w:tcPr>
            <w:tcW w:w="5620" w:type="dxa"/>
            <w:vAlign w:val="bottom"/>
            <w:gridSpan w:val="2"/>
          </w:tcPr>
          <w:p>
            <w:pPr>
              <w:ind w:left="140"/>
              <w:spacing w:after="0" w:line="188" w:lineRule="exact"/>
              <w:rPr>
                <w:sz w:val="20"/>
                <w:szCs w:val="20"/>
                <w:color w:val="auto"/>
              </w:rPr>
            </w:pPr>
            <w:r>
              <w:rPr>
                <w:rFonts w:ascii="Times New Roman" w:cs="Times New Roman" w:eastAsia="Times New Roman" w:hAnsi="Times New Roman"/>
                <w:sz w:val="18"/>
                <w:szCs w:val="18"/>
                <w:color w:val="auto"/>
                <w:w w:val="99"/>
              </w:rPr>
              <w:t>●     To assess profitability before the impact of different financing methods,</w:t>
            </w:r>
          </w:p>
        </w:tc>
      </w:tr>
      <w:tr>
        <w:trPr>
          <w:trHeight w:val="220"/>
        </w:trPr>
        <w:tc>
          <w:tcPr>
            <w:tcW w:w="13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Revenues.</w:t>
            </w:r>
          </w:p>
        </w:tc>
        <w:tc>
          <w:tcPr>
            <w:tcW w:w="5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income  taxes,  depreciation  of  capital  assets  and  amortization  of</w:t>
            </w:r>
          </w:p>
        </w:tc>
      </w:tr>
      <w:tr>
        <w:trPr>
          <w:trHeight w:val="216"/>
        </w:trPr>
        <w:tc>
          <w:tcPr>
            <w:tcW w:w="13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intangible assets.</w:t>
            </w:r>
          </w:p>
        </w:tc>
      </w:tr>
      <w:tr>
        <w:trPr>
          <w:trHeight w:val="216"/>
        </w:trPr>
        <w:tc>
          <w:tcPr>
            <w:tcW w:w="13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Used  by  Management  to  facilitate  comparisons  of  operating</w:t>
            </w:r>
          </w:p>
        </w:tc>
      </w:tr>
      <w:tr>
        <w:trPr>
          <w:trHeight w:val="216"/>
        </w:trPr>
        <w:tc>
          <w:tcPr>
            <w:tcW w:w="13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performance from period to period and to prepare annual operating</w:t>
            </w:r>
          </w:p>
        </w:tc>
      </w:tr>
      <w:tr>
        <w:trPr>
          <w:trHeight w:val="216"/>
        </w:trPr>
        <w:tc>
          <w:tcPr>
            <w:tcW w:w="13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budgets and forecasts.</w:t>
            </w:r>
          </w:p>
        </w:tc>
      </w:tr>
      <w:tr>
        <w:trPr>
          <w:trHeight w:val="216"/>
        </w:trPr>
        <w:tc>
          <w:tcPr>
            <w:tcW w:w="13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Useful for providing users of the MD&amp;A with additional information to</w:t>
            </w:r>
          </w:p>
        </w:tc>
      </w:tr>
      <w:tr>
        <w:trPr>
          <w:trHeight w:val="216"/>
        </w:trPr>
        <w:tc>
          <w:tcPr>
            <w:tcW w:w="13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assist them in understanding components of the Company’s financial</w:t>
            </w:r>
          </w:p>
        </w:tc>
      </w:tr>
      <w:tr>
        <w:trPr>
          <w:trHeight w:val="216"/>
        </w:trPr>
        <w:tc>
          <w:tcPr>
            <w:tcW w:w="13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results, including a more complete understanding of factors and trends</w:t>
            </w:r>
          </w:p>
        </w:tc>
      </w:tr>
      <w:tr>
        <w:trPr>
          <w:trHeight w:val="234"/>
        </w:trPr>
        <w:tc>
          <w:tcPr>
            <w:tcW w:w="134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tcPr>
          <w:p>
            <w:pPr>
              <w:spacing w:after="0"/>
              <w:rPr>
                <w:sz w:val="20"/>
                <w:szCs w:val="20"/>
                <w:color w:val="auto"/>
              </w:rPr>
            </w:pPr>
          </w:p>
        </w:tc>
        <w:tc>
          <w:tcPr>
            <w:tcW w:w="562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color w:val="auto"/>
              </w:rPr>
              <w:t>affecting its performance.</w:t>
            </w:r>
          </w:p>
        </w:tc>
      </w:tr>
      <w:tr>
        <w:trPr>
          <w:trHeight w:val="425"/>
        </w:trPr>
        <w:tc>
          <w:tcPr>
            <w:tcW w:w="134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r>
        <w:trPr>
          <w:trHeight w:val="237"/>
        </w:trPr>
        <w:tc>
          <w:tcPr>
            <w:tcW w:w="13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5080" w:type="dxa"/>
            <w:vAlign w:val="bottom"/>
            <w:tcBorders>
              <w:right w:val="single" w:sz="8" w:color="auto"/>
            </w:tcBorders>
          </w:tcPr>
          <w:p>
            <w:pPr>
              <w:ind w:left="4820"/>
              <w:spacing w:after="0"/>
              <w:rPr>
                <w:sz w:val="20"/>
                <w:szCs w:val="20"/>
                <w:color w:val="auto"/>
              </w:rPr>
            </w:pPr>
            <w:r>
              <w:rPr>
                <w:rFonts w:ascii="Times New Roman" w:cs="Times New Roman" w:eastAsia="Times New Roman" w:hAnsi="Times New Roman"/>
                <w:sz w:val="18"/>
                <w:szCs w:val="18"/>
                <w:color w:val="auto"/>
              </w:rPr>
              <w:t>33</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Page</w:t>
            </w:r>
          </w:p>
        </w:tc>
      </w:tr>
      <w:tr>
        <w:trPr>
          <w:trHeight w:val="27"/>
        </w:trPr>
        <w:tc>
          <w:tcPr>
            <w:tcW w:w="13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508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r>
    </w:tbl>
    <w:p>
      <w:pPr>
        <w:sectPr>
          <w:pgSz w:w="11900" w:h="16838" w:orient="portrait"/>
          <w:cols w:equalWidth="0" w:num="1">
            <w:col w:w="11240"/>
          </w:cols>
          <w:pgMar w:left="320" w:top="92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NON-IFRS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Non-IFRS financial ratios from continuing operations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3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Ratios</w:t>
            </w:r>
          </w:p>
        </w:tc>
        <w:tc>
          <w:tcPr>
            <w:tcW w:w="42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56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Purpose</w:t>
            </w:r>
          </w:p>
        </w:tc>
      </w:tr>
      <w:tr>
        <w:trPr>
          <w:trHeight w:val="187"/>
        </w:trPr>
        <w:tc>
          <w:tcPr>
            <w:tcW w:w="134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Adjusted</w:t>
            </w:r>
          </w:p>
        </w:tc>
        <w:tc>
          <w:tcPr>
            <w:tcW w:w="428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color w:val="auto"/>
              </w:rPr>
              <w:t>The  percentage  obtained  when  dividing  Adjusted</w:t>
            </w:r>
          </w:p>
        </w:tc>
        <w:tc>
          <w:tcPr>
            <w:tcW w:w="5620" w:type="dxa"/>
            <w:vAlign w:val="bottom"/>
          </w:tcPr>
          <w:p>
            <w:pPr>
              <w:ind w:left="140"/>
              <w:spacing w:after="0" w:line="188" w:lineRule="exact"/>
              <w:rPr>
                <w:sz w:val="20"/>
                <w:szCs w:val="20"/>
                <w:color w:val="auto"/>
              </w:rPr>
            </w:pPr>
            <w:r>
              <w:rPr>
                <w:rFonts w:ascii="Times New Roman" w:cs="Times New Roman" w:eastAsia="Times New Roman" w:hAnsi="Times New Roman"/>
                <w:sz w:val="18"/>
                <w:szCs w:val="18"/>
                <w:color w:val="auto"/>
                <w:w w:val="98"/>
              </w:rPr>
              <w:t>●     To assess profitability before the impact of all of the items in calculating</w:t>
            </w:r>
          </w:p>
        </w:tc>
      </w:tr>
      <w:tr>
        <w:trPr>
          <w:trHeight w:val="216"/>
        </w:trPr>
        <w:tc>
          <w:tcPr>
            <w:tcW w:w="13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EBITDA by Revenues.</w:t>
            </w:r>
          </w:p>
        </w:tc>
        <w:tc>
          <w:tcPr>
            <w:tcW w:w="5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EBITDA in addition to certain other non-cash expenses.</w:t>
            </w:r>
          </w:p>
        </w:tc>
      </w:tr>
      <w:tr>
        <w:trPr>
          <w:trHeight w:val="220"/>
        </w:trPr>
        <w:tc>
          <w:tcPr>
            <w:tcW w:w="13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4280" w:type="dxa"/>
            <w:vAlign w:val="bottom"/>
          </w:tcPr>
          <w:p>
            <w:pPr>
              <w:spacing w:after="0"/>
              <w:rPr>
                <w:sz w:val="19"/>
                <w:szCs w:val="19"/>
                <w:color w:val="auto"/>
              </w:rPr>
            </w:pPr>
          </w:p>
        </w:tc>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To provide a consistent comparable metric for profitability of the</w:t>
            </w:r>
          </w:p>
        </w:tc>
      </w:tr>
      <w:tr>
        <w:trPr>
          <w:trHeight w:val="216"/>
        </w:trPr>
        <w:tc>
          <w:tcPr>
            <w:tcW w:w="13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Company’s core performance across time periods.</w:t>
            </w:r>
          </w:p>
        </w:tc>
      </w:tr>
      <w:tr>
        <w:trPr>
          <w:trHeight w:val="216"/>
        </w:trPr>
        <w:tc>
          <w:tcPr>
            <w:tcW w:w="13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Used  by  Management  to  facilitate  comparisons  of  operating</w:t>
            </w:r>
          </w:p>
        </w:tc>
      </w:tr>
      <w:tr>
        <w:trPr>
          <w:trHeight w:val="216"/>
        </w:trPr>
        <w:tc>
          <w:tcPr>
            <w:tcW w:w="13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performance from period to period and to prepare annual operating</w:t>
            </w:r>
          </w:p>
        </w:tc>
      </w:tr>
      <w:tr>
        <w:trPr>
          <w:trHeight w:val="234"/>
        </w:trPr>
        <w:tc>
          <w:tcPr>
            <w:tcW w:w="134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tcPr>
          <w:p>
            <w:pPr>
              <w:spacing w:after="0"/>
              <w:rPr>
                <w:sz w:val="20"/>
                <w:szCs w:val="20"/>
                <w:color w:val="auto"/>
              </w:rPr>
            </w:pPr>
          </w:p>
        </w:tc>
        <w:tc>
          <w:tcPr>
            <w:tcW w:w="56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budgets and forecasts.</w:t>
            </w:r>
          </w:p>
        </w:tc>
      </w:tr>
      <w:tr>
        <w:trPr>
          <w:trHeight w:val="187"/>
        </w:trPr>
        <w:tc>
          <w:tcPr>
            <w:tcW w:w="134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Direct Cost per</w:t>
            </w:r>
          </w:p>
        </w:tc>
        <w:tc>
          <w:tcPr>
            <w:tcW w:w="428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color w:val="auto"/>
              </w:rPr>
              <w:t>The amount obtained when dividing Direct Cost by the</w:t>
            </w:r>
          </w:p>
        </w:tc>
        <w:tc>
          <w:tcPr>
            <w:tcW w:w="5620" w:type="dxa"/>
            <w:vAlign w:val="bottom"/>
          </w:tcPr>
          <w:p>
            <w:pPr>
              <w:ind w:left="140"/>
              <w:spacing w:after="0" w:line="188" w:lineRule="exact"/>
              <w:rPr>
                <w:sz w:val="20"/>
                <w:szCs w:val="20"/>
                <w:color w:val="auto"/>
              </w:rPr>
            </w:pPr>
            <w:r>
              <w:rPr>
                <w:rFonts w:ascii="Times New Roman" w:cs="Times New Roman" w:eastAsia="Times New Roman" w:hAnsi="Times New Roman"/>
                <w:sz w:val="18"/>
                <w:szCs w:val="18"/>
                <w:color w:val="auto"/>
              </w:rPr>
              <w:t>●     To assess the Company’s power costs, the largest variable expense in</w:t>
            </w:r>
          </w:p>
        </w:tc>
      </w:tr>
      <w:tr>
        <w:trPr>
          <w:trHeight w:val="220"/>
        </w:trPr>
        <w:tc>
          <w:tcPr>
            <w:tcW w:w="13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BTC</w:t>
            </w:r>
          </w:p>
        </w:tc>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quantity of BTC earned.</w:t>
            </w:r>
          </w:p>
        </w:tc>
        <w:tc>
          <w:tcPr>
            <w:tcW w:w="5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Mining.</w:t>
            </w:r>
          </w:p>
        </w:tc>
      </w:tr>
      <w:tr>
        <w:trPr>
          <w:trHeight w:val="216"/>
        </w:trPr>
        <w:tc>
          <w:tcPr>
            <w:tcW w:w="13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To provide the users of the MD&amp;A a metric to evaluate the Company’s</w:t>
            </w:r>
          </w:p>
        </w:tc>
      </w:tr>
      <w:tr>
        <w:trPr>
          <w:trHeight w:val="216"/>
        </w:trPr>
        <w:tc>
          <w:tcPr>
            <w:tcW w:w="13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direct variable cost for its core digital asset Mining operations across</w:t>
            </w:r>
          </w:p>
        </w:tc>
      </w:tr>
      <w:tr>
        <w:trPr>
          <w:trHeight w:val="216"/>
        </w:trPr>
        <w:tc>
          <w:tcPr>
            <w:tcW w:w="13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time periods.</w:t>
            </w:r>
          </w:p>
        </w:tc>
      </w:tr>
      <w:tr>
        <w:trPr>
          <w:trHeight w:val="216"/>
        </w:trPr>
        <w:tc>
          <w:tcPr>
            <w:tcW w:w="13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Used by Management to assess the operating performance from period</w:t>
            </w:r>
          </w:p>
        </w:tc>
      </w:tr>
      <w:tr>
        <w:trPr>
          <w:trHeight w:val="234"/>
        </w:trPr>
        <w:tc>
          <w:tcPr>
            <w:tcW w:w="134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tcPr>
          <w:p>
            <w:pPr>
              <w:spacing w:after="0"/>
              <w:rPr>
                <w:sz w:val="20"/>
                <w:szCs w:val="20"/>
                <w:color w:val="auto"/>
              </w:rPr>
            </w:pPr>
          </w:p>
        </w:tc>
        <w:tc>
          <w:tcPr>
            <w:tcW w:w="56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to period and to prepare annual operating budgets and forecasts.</w:t>
            </w:r>
          </w:p>
        </w:tc>
      </w:tr>
      <w:tr>
        <w:trPr>
          <w:trHeight w:val="187"/>
        </w:trPr>
        <w:tc>
          <w:tcPr>
            <w:tcW w:w="134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Total Cash Cost</w:t>
            </w:r>
          </w:p>
        </w:tc>
        <w:tc>
          <w:tcPr>
            <w:tcW w:w="428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color w:val="auto"/>
              </w:rPr>
              <w:t>The amount obtained when dividing Total Cash cost by</w:t>
            </w:r>
          </w:p>
        </w:tc>
        <w:tc>
          <w:tcPr>
            <w:tcW w:w="5620" w:type="dxa"/>
            <w:vAlign w:val="bottom"/>
          </w:tcPr>
          <w:p>
            <w:pPr>
              <w:ind w:left="140"/>
              <w:spacing w:after="0" w:line="188" w:lineRule="exact"/>
              <w:rPr>
                <w:sz w:val="20"/>
                <w:szCs w:val="20"/>
                <w:color w:val="auto"/>
              </w:rPr>
            </w:pPr>
            <w:r>
              <w:rPr>
                <w:rFonts w:ascii="Times New Roman" w:cs="Times New Roman" w:eastAsia="Times New Roman" w:hAnsi="Times New Roman"/>
                <w:sz w:val="18"/>
                <w:szCs w:val="18"/>
                <w:color w:val="auto"/>
                <w:w w:val="99"/>
              </w:rPr>
              <w:t>●     To assess the total cash cost of the Company’s core digital asset Mining</w:t>
            </w:r>
          </w:p>
        </w:tc>
      </w:tr>
      <w:tr>
        <w:trPr>
          <w:trHeight w:val="220"/>
        </w:trPr>
        <w:tc>
          <w:tcPr>
            <w:tcW w:w="13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per BTC</w:t>
            </w:r>
          </w:p>
        </w:tc>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quantity of BTC earned.</w:t>
            </w:r>
          </w:p>
        </w:tc>
        <w:tc>
          <w:tcPr>
            <w:tcW w:w="5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operations.</w:t>
            </w:r>
          </w:p>
        </w:tc>
      </w:tr>
      <w:tr>
        <w:trPr>
          <w:trHeight w:val="216"/>
        </w:trPr>
        <w:tc>
          <w:tcPr>
            <w:tcW w:w="13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To provide the users of the MD&amp;A a consistent comparable metric for</w:t>
            </w:r>
          </w:p>
        </w:tc>
      </w:tr>
      <w:tr>
        <w:trPr>
          <w:trHeight w:val="234"/>
        </w:trPr>
        <w:tc>
          <w:tcPr>
            <w:tcW w:w="13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5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liquidity impact of the Company’s mining activities across time</w:t>
            </w:r>
          </w:p>
        </w:tc>
      </w:tr>
    </w:tbl>
    <w:p>
      <w:pPr>
        <w:ind w:left="6080"/>
        <w:spacing w:after="0"/>
        <w:rPr>
          <w:sz w:val="20"/>
          <w:szCs w:val="20"/>
          <w:color w:val="auto"/>
        </w:rPr>
      </w:pPr>
      <w:r>
        <w:rPr>
          <w:rFonts w:ascii="Times New Roman" w:cs="Times New Roman" w:eastAsia="Times New Roman" w:hAnsi="Times New Roman"/>
          <w:sz w:val="18"/>
          <w:szCs w:val="18"/>
          <w:color w:val="auto"/>
        </w:rPr>
        <w:t>periods.</w:t>
      </w:r>
    </w:p>
    <w:p>
      <w:pPr>
        <w:spacing w:after="0" w:line="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     Used by Management to assess the operating performance from period</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to period and to prepare annual operating budgets and forecasts.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financial ratios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utilizes the following supplemental financial ratios in assessing operating performance.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Ratios</w:t>
            </w:r>
          </w:p>
        </w:tc>
        <w:tc>
          <w:tcPr>
            <w:tcW w:w="43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562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Purpose</w:t>
            </w:r>
          </w:p>
        </w:tc>
      </w:tr>
      <w:tr>
        <w:trPr>
          <w:trHeight w:val="191"/>
        </w:trPr>
        <w:tc>
          <w:tcPr>
            <w:tcW w:w="126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b w:val="1"/>
                <w:bCs w:val="1"/>
                <w:color w:val="auto"/>
              </w:rPr>
              <w:t>Gross margin</w:t>
            </w:r>
          </w:p>
        </w:tc>
        <w:tc>
          <w:tcPr>
            <w:tcW w:w="436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The percentage obtained when dividing Gross profit by</w:t>
            </w:r>
          </w:p>
        </w:tc>
        <w:tc>
          <w:tcPr>
            <w:tcW w:w="5620" w:type="dxa"/>
            <w:vAlign w:val="bottom"/>
            <w:gridSpan w:val="2"/>
          </w:tcPr>
          <w:p>
            <w:pPr>
              <w:ind w:left="80"/>
              <w:spacing w:after="0" w:line="191" w:lineRule="exact"/>
              <w:rPr>
                <w:sz w:val="20"/>
                <w:szCs w:val="20"/>
                <w:color w:val="auto"/>
              </w:rPr>
            </w:pPr>
            <w:r>
              <w:rPr>
                <w:rFonts w:ascii="Times New Roman" w:cs="Times New Roman" w:eastAsia="Times New Roman" w:hAnsi="Times New Roman"/>
                <w:sz w:val="18"/>
                <w:szCs w:val="18"/>
                <w:color w:val="auto"/>
              </w:rPr>
              <w:t>●     To assess profitability of the Company across time periods.</w:t>
            </w:r>
          </w:p>
        </w:tc>
      </w:tr>
      <w:tr>
        <w:trPr>
          <w:trHeight w:val="234"/>
        </w:trPr>
        <w:tc>
          <w:tcPr>
            <w:tcW w:w="1260" w:type="dxa"/>
            <w:vAlign w:val="bottom"/>
            <w:tcBorders>
              <w:bottom w:val="single" w:sz="8" w:color="auto"/>
            </w:tcBorders>
          </w:tcPr>
          <w:p>
            <w:pPr>
              <w:spacing w:after="0"/>
              <w:rPr>
                <w:sz w:val="20"/>
                <w:szCs w:val="20"/>
                <w:color w:val="auto"/>
              </w:rPr>
            </w:pPr>
          </w:p>
        </w:tc>
        <w:tc>
          <w:tcPr>
            <w:tcW w:w="4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Revenues.</w:t>
            </w:r>
          </w:p>
        </w:tc>
        <w:tc>
          <w:tcPr>
            <w:tcW w:w="50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r>
      <w:tr>
        <w:trPr>
          <w:trHeight w:val="187"/>
        </w:trPr>
        <w:tc>
          <w:tcPr>
            <w:tcW w:w="126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Operating</w:t>
            </w:r>
          </w:p>
        </w:tc>
        <w:tc>
          <w:tcPr>
            <w:tcW w:w="4360" w:type="dxa"/>
            <w:vAlign w:val="bottom"/>
          </w:tcPr>
          <w:p>
            <w:pPr>
              <w:ind w:left="140"/>
              <w:spacing w:after="0" w:line="188" w:lineRule="exact"/>
              <w:rPr>
                <w:sz w:val="20"/>
                <w:szCs w:val="20"/>
                <w:color w:val="auto"/>
              </w:rPr>
            </w:pPr>
            <w:r>
              <w:rPr>
                <w:rFonts w:ascii="Times New Roman" w:cs="Times New Roman" w:eastAsia="Times New Roman" w:hAnsi="Times New Roman"/>
                <w:sz w:val="18"/>
                <w:szCs w:val="18"/>
                <w:color w:val="auto"/>
              </w:rPr>
              <w:t>The  percentage  obtained  when  dividing  Operating</w:t>
            </w:r>
          </w:p>
        </w:tc>
        <w:tc>
          <w:tcPr>
            <w:tcW w:w="5620" w:type="dxa"/>
            <w:vAlign w:val="bottom"/>
            <w:gridSpan w:val="2"/>
          </w:tcPr>
          <w:p>
            <w:pPr>
              <w:ind w:left="80"/>
              <w:spacing w:after="0" w:line="188" w:lineRule="exact"/>
              <w:rPr>
                <w:sz w:val="20"/>
                <w:szCs w:val="20"/>
                <w:color w:val="auto"/>
              </w:rPr>
            </w:pPr>
            <w:r>
              <w:rPr>
                <w:rFonts w:ascii="Times New Roman" w:cs="Times New Roman" w:eastAsia="Times New Roman" w:hAnsi="Times New Roman"/>
                <w:sz w:val="18"/>
                <w:szCs w:val="18"/>
                <w:color w:val="auto"/>
              </w:rPr>
              <w:t>●     To assess operational profitability of the Company across time periods.</w:t>
            </w:r>
          </w:p>
        </w:tc>
      </w:tr>
      <w:tr>
        <w:trPr>
          <w:trHeight w:val="238"/>
        </w:trPr>
        <w:tc>
          <w:tcPr>
            <w:tcW w:w="1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4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income (loss) by Revenues.</w:t>
            </w:r>
          </w:p>
        </w:tc>
        <w:tc>
          <w:tcPr>
            <w:tcW w:w="50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r>
      <w:tr>
        <w:trPr>
          <w:trHeight w:val="425"/>
        </w:trPr>
        <w:tc>
          <w:tcPr>
            <w:tcW w:w="126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r>
        <w:trPr>
          <w:trHeight w:val="237"/>
        </w:trPr>
        <w:tc>
          <w:tcPr>
            <w:tcW w:w="126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50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Page</w:t>
            </w:r>
          </w:p>
        </w:tc>
      </w:tr>
      <w:tr>
        <w:trPr>
          <w:trHeight w:val="27"/>
        </w:trPr>
        <w:tc>
          <w:tcPr>
            <w:tcW w:w="12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508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r>
    </w:tbl>
    <w:p>
      <w:pPr>
        <w:sectPr>
          <w:pgSz w:w="11900" w:h="16838" w:orient="portrait"/>
          <w:cols w:equalWidth="0" w:num="1">
            <w:col w:w="11240"/>
          </w:cols>
          <w:pgMar w:left="320" w:top="92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NON-IFRS AND OTHER FINANCIAL MEASURES AND RATIOS </w:t>
      </w:r>
      <w:r>
        <w:rPr>
          <w:rFonts w:ascii="Times New Roman" w:cs="Times New Roman" w:eastAsia="Times New Roman" w:hAnsi="Times New Roman"/>
          <w:sz w:val="18"/>
          <w:szCs w:val="18"/>
          <w:color w:val="auto"/>
        </w:rPr>
        <w:t>(Continued)</w:t>
      </w:r>
    </w:p>
    <w:p>
      <w:pPr>
        <w:spacing w:after="0" w:line="213" w:lineRule="exact"/>
        <w:rPr>
          <w:sz w:val="20"/>
          <w:szCs w:val="20"/>
          <w:color w:val="auto"/>
        </w:rPr>
      </w:pPr>
    </w:p>
    <w:p>
      <w:pPr>
        <w:ind w:left="660" w:hanging="652"/>
        <w:spacing w:after="0"/>
        <w:tabs>
          <w:tab w:leader="none" w:pos="660" w:val="left"/>
        </w:tabs>
        <w:numPr>
          <w:ilvl w:val="0"/>
          <w:numId w:val="103"/>
        </w:numPr>
        <w:rPr>
          <w:rFonts w:ascii="Times New Roman" w:cs="Times New Roman" w:eastAsia="Times New Roman" w:hAnsi="Times New Roman"/>
          <w:sz w:val="36"/>
          <w:szCs w:val="36"/>
          <w:b w:val="1"/>
          <w:bCs w:val="1"/>
          <w:color w:val="auto"/>
          <w:vertAlign w:val="superscript"/>
        </w:rPr>
      </w:pPr>
      <w:r>
        <w:rPr>
          <w:rFonts w:ascii="Times New Roman" w:cs="Times New Roman" w:eastAsia="Times New Roman" w:hAnsi="Times New Roman"/>
          <w:sz w:val="18"/>
          <w:szCs w:val="18"/>
          <w:b w:val="1"/>
          <w:bCs w:val="1"/>
          <w:color w:val="auto"/>
        </w:rPr>
        <w:t>Reconciliation of Consolidated Net Income (loss) to EBITDA and Adjusted EBITDA from Continuing Operations</w:t>
      </w:r>
      <w:r>
        <w:rPr>
          <w:rFonts w:ascii="Times New Roman" w:cs="Times New Roman" w:eastAsia="Times New Roman" w:hAnsi="Times New Roman"/>
          <w:sz w:val="29"/>
          <w:szCs w:val="29"/>
          <w:b w:val="1"/>
          <w:bCs w:val="1"/>
          <w:color w:val="auto"/>
          <w:vertAlign w:val="superscript"/>
        </w:rPr>
        <w:t>2</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16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0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(U.S.$ in thousands except</w:t>
            </w:r>
          </w:p>
        </w:tc>
        <w:tc>
          <w:tcPr>
            <w:tcW w:w="12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6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1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where indicated)</w:t>
            </w:r>
          </w:p>
        </w:tc>
        <w:tc>
          <w:tcPr>
            <w:tcW w:w="12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11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 Change</w:t>
            </w: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 Change</w:t>
            </w:r>
          </w:p>
        </w:tc>
        <w:tc>
          <w:tcPr>
            <w:tcW w:w="116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2024</w:t>
            </w:r>
          </w:p>
        </w:tc>
        <w:tc>
          <w:tcPr>
            <w:tcW w:w="11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 Change</w:t>
            </w: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09"/>
        </w:trPr>
        <w:tc>
          <w:tcPr>
            <w:tcW w:w="2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69,245</w:t>
            </w:r>
          </w:p>
        </w:tc>
        <w:tc>
          <w:tcPr>
            <w:tcW w:w="11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27,072</w:t>
            </w:r>
          </w:p>
        </w:tc>
        <w:tc>
          <w:tcPr>
            <w:tcW w:w="11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42,173</w:t>
            </w:r>
          </w:p>
        </w:tc>
        <w:tc>
          <w:tcPr>
            <w:tcW w:w="12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156%</w:t>
            </w:r>
          </w:p>
        </w:tc>
        <w:tc>
          <w:tcPr>
            <w:tcW w:w="11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179,050</w:t>
            </w:r>
          </w:p>
        </w:tc>
        <w:tc>
          <w:tcPr>
            <w:tcW w:w="10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95,522</w:t>
            </w:r>
          </w:p>
        </w:tc>
        <w:tc>
          <w:tcPr>
            <w:tcW w:w="11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83,528</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0"/>
        </w:trPr>
        <w:tc>
          <w:tcPr>
            <w:tcW w:w="2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16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loss before income</w:t>
            </w:r>
          </w:p>
        </w:tc>
        <w:tc>
          <w:tcPr>
            <w:tcW w:w="1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12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(48,605)</w:t>
            </w:r>
          </w:p>
        </w:tc>
        <w:tc>
          <w:tcPr>
            <w:tcW w:w="11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(24,082)</w:t>
            </w: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(24,523)</w:t>
            </w:r>
          </w:p>
        </w:tc>
        <w:tc>
          <w:tcPr>
            <w:tcW w:w="12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102%</w:t>
            </w:r>
          </w:p>
        </w:tc>
        <w:tc>
          <w:tcPr>
            <w:tcW w:w="11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(74,189)</w:t>
            </w: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(56,902)</w:t>
            </w: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(17,287)</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0"/>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(expense)</w:t>
            </w: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1,299</w:t>
            </w:r>
          </w:p>
        </w:tc>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(2,037)</w:t>
            </w:r>
          </w:p>
        </w:tc>
        <w:tc>
          <w:tcPr>
            <w:tcW w:w="11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3,336</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(164)%</w:t>
            </w: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2,670</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(4,082)</w:t>
            </w:r>
          </w:p>
        </w:tc>
        <w:tc>
          <w:tcPr>
            <w:tcW w:w="11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6,752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198"/>
        </w:trPr>
        <w:tc>
          <w:tcPr>
            <w:tcW w:w="2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Depreciation and</w:t>
            </w:r>
          </w:p>
        </w:tc>
        <w:tc>
          <w:tcPr>
            <w:tcW w:w="1240" w:type="dxa"/>
            <w:vAlign w:val="bottom"/>
            <w:vMerge w:val="restart"/>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27,386</w:t>
            </w:r>
          </w:p>
        </w:tc>
        <w:tc>
          <w:tcPr>
            <w:tcW w:w="1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73,773</w:t>
            </w:r>
          </w:p>
        </w:tc>
        <w:tc>
          <w:tcPr>
            <w:tcW w:w="10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240" w:type="dxa"/>
            <w:vAlign w:val="bottom"/>
            <w:vMerge w:val="continue"/>
            <w:shd w:val="clear" w:color="auto" w:fill="CCEEFF"/>
          </w:tcPr>
          <w:p>
            <w:pPr>
              <w:spacing w:after="0"/>
              <w:rPr>
                <w:sz w:val="20"/>
                <w:szCs w:val="20"/>
                <w:color w:val="auto"/>
              </w:rPr>
            </w:pPr>
          </w:p>
        </w:tc>
        <w:tc>
          <w:tcPr>
            <w:tcW w:w="11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13,583</w:t>
            </w:r>
          </w:p>
        </w:tc>
        <w:tc>
          <w:tcPr>
            <w:tcW w:w="11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13,803</w:t>
            </w:r>
          </w:p>
        </w:tc>
        <w:tc>
          <w:tcPr>
            <w:tcW w:w="12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102%</w:t>
            </w:r>
          </w:p>
        </w:tc>
        <w:tc>
          <w:tcPr>
            <w:tcW w:w="1160" w:type="dxa"/>
            <w:vAlign w:val="bottom"/>
            <w:vMerge w:val="continue"/>
            <w:shd w:val="clear" w:color="auto" w:fill="CCEEFF"/>
          </w:tcPr>
          <w:p>
            <w:pPr>
              <w:spacing w:after="0"/>
              <w:rPr>
                <w:sz w:val="20"/>
                <w:szCs w:val="20"/>
                <w:color w:val="auto"/>
              </w:rPr>
            </w:pPr>
          </w:p>
        </w:tc>
        <w:tc>
          <w:tcPr>
            <w:tcW w:w="1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91,884</w:t>
            </w:r>
          </w:p>
        </w:tc>
        <w:tc>
          <w:tcPr>
            <w:tcW w:w="11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(18,111)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8"/>
        </w:trPr>
        <w:tc>
          <w:tcPr>
            <w:tcW w:w="2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w:t>
            </w: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w:t>
            </w:r>
          </w:p>
        </w:tc>
        <w:tc>
          <w:tcPr>
            <w:tcW w:w="12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6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2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(8,760)</w:t>
            </w:r>
          </w:p>
        </w:tc>
        <w:tc>
          <w:tcPr>
            <w:tcW w:w="11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8,760</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9"/>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2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(19,920)</w:t>
            </w:r>
          </w:p>
        </w:tc>
        <w:tc>
          <w:tcPr>
            <w:tcW w:w="11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(12,536)</w:t>
            </w:r>
          </w:p>
        </w:tc>
        <w:tc>
          <w:tcPr>
            <w:tcW w:w="11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(7,384)</w:t>
            </w:r>
          </w:p>
        </w:tc>
        <w:tc>
          <w:tcPr>
            <w:tcW w:w="12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59%</w:t>
            </w:r>
          </w:p>
        </w:tc>
        <w:tc>
          <w:tcPr>
            <w:tcW w:w="11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2,254</w:t>
            </w:r>
          </w:p>
        </w:tc>
        <w:tc>
          <w:tcPr>
            <w:tcW w:w="1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22,140</w:t>
            </w:r>
          </w:p>
        </w:tc>
        <w:tc>
          <w:tcPr>
            <w:tcW w:w="11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(19,886)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EBITDA margin</w:t>
            </w:r>
          </w:p>
        </w:tc>
        <w:tc>
          <w:tcPr>
            <w:tcW w:w="12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(29)%</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(46)%</w:t>
            </w:r>
          </w:p>
        </w:tc>
        <w:tc>
          <w:tcPr>
            <w:tcW w:w="11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w:t>
            </w: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23%</w:t>
            </w:r>
          </w:p>
        </w:tc>
        <w:tc>
          <w:tcPr>
            <w:tcW w:w="11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12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2,851</w:t>
            </w:r>
          </w:p>
        </w:tc>
        <w:tc>
          <w:tcPr>
            <w:tcW w:w="11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4,968</w:t>
            </w:r>
          </w:p>
        </w:tc>
        <w:tc>
          <w:tcPr>
            <w:tcW w:w="11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(2,117)</w:t>
            </w: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(43)%</w:t>
            </w:r>
          </w:p>
        </w:tc>
        <w:tc>
          <w:tcPr>
            <w:tcW w:w="11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10,687</w:t>
            </w:r>
          </w:p>
        </w:tc>
        <w:tc>
          <w:tcPr>
            <w:tcW w:w="1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9,504</w:t>
            </w:r>
          </w:p>
        </w:tc>
        <w:tc>
          <w:tcPr>
            <w:tcW w:w="11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1,183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8"/>
        </w:trPr>
        <w:tc>
          <w:tcPr>
            <w:tcW w:w="2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Impairment of non-</w:t>
            </w:r>
          </w:p>
        </w:tc>
        <w:tc>
          <w:tcPr>
            <w:tcW w:w="12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9,102</w:t>
            </w: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9,102</w:t>
            </w: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assets</w:t>
            </w:r>
          </w:p>
        </w:tc>
        <w:tc>
          <w:tcPr>
            <w:tcW w:w="1240" w:type="dxa"/>
            <w:vAlign w:val="bottom"/>
            <w:vMerge w:val="continue"/>
          </w:tcPr>
          <w:p>
            <w:pPr>
              <w:spacing w:after="0"/>
              <w:rPr>
                <w:sz w:val="20"/>
                <w:szCs w:val="20"/>
                <w:color w:val="auto"/>
              </w:rPr>
            </w:pP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3,628</w:t>
            </w:r>
          </w:p>
        </w:tc>
        <w:tc>
          <w:tcPr>
            <w:tcW w:w="11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5,474</w:t>
            </w:r>
          </w:p>
        </w:tc>
        <w:tc>
          <w:tcPr>
            <w:tcW w:w="12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151%</w:t>
            </w:r>
          </w:p>
        </w:tc>
        <w:tc>
          <w:tcPr>
            <w:tcW w:w="1160" w:type="dxa"/>
            <w:vAlign w:val="bottom"/>
            <w:vMerge w:val="continue"/>
          </w:tcPr>
          <w:p>
            <w:pPr>
              <w:spacing w:after="0"/>
              <w:rPr>
                <w:sz w:val="20"/>
                <w:szCs w:val="20"/>
                <w:color w:val="auto"/>
              </w:rPr>
            </w:pP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3,628</w:t>
            </w:r>
          </w:p>
        </w:tc>
        <w:tc>
          <w:tcPr>
            <w:tcW w:w="11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5,474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198"/>
        </w:trPr>
        <w:tc>
          <w:tcPr>
            <w:tcW w:w="2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Loss (gain) on revaluation</w:t>
            </w:r>
          </w:p>
        </w:tc>
        <w:tc>
          <w:tcPr>
            <w:tcW w:w="1240" w:type="dxa"/>
            <w:vAlign w:val="bottom"/>
            <w:vMerge w:val="restart"/>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26,340</w:t>
            </w:r>
          </w:p>
        </w:tc>
        <w:tc>
          <w:tcPr>
            <w:tcW w:w="1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i w:val="1"/>
                <w:iCs w:val="1"/>
                <w:color w:val="auto"/>
              </w:rPr>
              <w:t>nm</w:t>
            </w:r>
          </w:p>
        </w:tc>
        <w:tc>
          <w:tcPr>
            <w:tcW w:w="1160" w:type="dxa"/>
            <w:vAlign w:val="bottom"/>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20,577</w:t>
            </w:r>
          </w:p>
        </w:tc>
        <w:tc>
          <w:tcPr>
            <w:tcW w:w="10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34"/>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warrants</w:t>
            </w:r>
          </w:p>
        </w:tc>
        <w:tc>
          <w:tcPr>
            <w:tcW w:w="1240" w:type="dxa"/>
            <w:vAlign w:val="bottom"/>
            <w:vMerge w:val="continue"/>
            <w:shd w:val="clear" w:color="auto" w:fill="CCEEFF"/>
          </w:tcPr>
          <w:p>
            <w:pPr>
              <w:spacing w:after="0"/>
              <w:rPr>
                <w:sz w:val="20"/>
                <w:szCs w:val="20"/>
                <w:color w:val="auto"/>
              </w:rPr>
            </w:pPr>
          </w:p>
        </w:tc>
        <w:tc>
          <w:tcPr>
            <w:tcW w:w="11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(5,704)</w:t>
            </w:r>
          </w:p>
        </w:tc>
        <w:tc>
          <w:tcPr>
            <w:tcW w:w="11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32,044</w:t>
            </w:r>
          </w:p>
        </w:tc>
        <w:tc>
          <w:tcPr>
            <w:tcW w:w="1200" w:type="dxa"/>
            <w:vAlign w:val="bottom"/>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(13,289)</w:t>
            </w:r>
          </w:p>
        </w:tc>
        <w:tc>
          <w:tcPr>
            <w:tcW w:w="11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33,866</w:t>
            </w:r>
          </w:p>
        </w:tc>
        <w:tc>
          <w:tcPr>
            <w:tcW w:w="10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Gain on settlement of</w:t>
            </w: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Refundable Hosting</w:t>
            </w:r>
          </w:p>
        </w:tc>
        <w:tc>
          <w:tcPr>
            <w:tcW w:w="12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6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(945)</w:t>
            </w: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1240" w:type="dxa"/>
            <w:vAlign w:val="bottom"/>
            <w:vMerge w:val="continue"/>
          </w:tcPr>
          <w:p>
            <w:pPr>
              <w:spacing w:after="0"/>
              <w:rPr>
                <w:sz w:val="20"/>
                <w:szCs w:val="20"/>
                <w:color w:val="auto"/>
              </w:rPr>
            </w:pP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continue"/>
          </w:tcPr>
          <w:p>
            <w:pPr>
              <w:spacing w:after="0"/>
              <w:rPr>
                <w:sz w:val="20"/>
                <w:szCs w:val="20"/>
                <w:color w:val="auto"/>
              </w:rPr>
            </w:pP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(945)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Costs not associated with</w:t>
            </w:r>
          </w:p>
        </w:tc>
        <w:tc>
          <w:tcPr>
            <w:tcW w:w="1240" w:type="dxa"/>
            <w:vAlign w:val="bottom"/>
            <w:vMerge w:val="restart"/>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9,244</w:t>
            </w:r>
          </w:p>
        </w:tc>
        <w:tc>
          <w:tcPr>
            <w:tcW w:w="1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10,915</w:t>
            </w:r>
          </w:p>
        </w:tc>
        <w:tc>
          <w:tcPr>
            <w:tcW w:w="10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ongoing operations</w:t>
            </w:r>
          </w:p>
        </w:tc>
        <w:tc>
          <w:tcPr>
            <w:tcW w:w="1240" w:type="dxa"/>
            <w:vAlign w:val="bottom"/>
            <w:vMerge w:val="continue"/>
            <w:shd w:val="clear" w:color="auto" w:fill="CCEEFF"/>
          </w:tcPr>
          <w:p>
            <w:pPr>
              <w:spacing w:after="0"/>
              <w:rPr>
                <w:sz w:val="20"/>
                <w:szCs w:val="20"/>
                <w:color w:val="auto"/>
              </w:rPr>
            </w:pPr>
          </w:p>
        </w:tc>
        <w:tc>
          <w:tcPr>
            <w:tcW w:w="11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9,383</w:t>
            </w:r>
          </w:p>
        </w:tc>
        <w:tc>
          <w:tcPr>
            <w:tcW w:w="11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(139)</w:t>
            </w: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1160" w:type="dxa"/>
            <w:vAlign w:val="bottom"/>
            <w:vMerge w:val="continue"/>
            <w:shd w:val="clear" w:color="auto" w:fill="CCEEFF"/>
          </w:tcPr>
          <w:p>
            <w:pPr>
              <w:spacing w:after="0"/>
              <w:rPr>
                <w:sz w:val="20"/>
                <w:szCs w:val="20"/>
                <w:color w:val="auto"/>
              </w:rPr>
            </w:pPr>
          </w:p>
        </w:tc>
        <w:tc>
          <w:tcPr>
            <w:tcW w:w="1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12,479</w:t>
            </w:r>
          </w:p>
        </w:tc>
        <w:tc>
          <w:tcPr>
            <w:tcW w:w="11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(1,564)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8"/>
        </w:trPr>
        <w:tc>
          <w:tcPr>
            <w:tcW w:w="2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prior</w:t>
            </w: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years - energy and</w:t>
            </w: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infrastructure and G&amp;A</w:t>
            </w:r>
          </w:p>
        </w:tc>
        <w:tc>
          <w:tcPr>
            <w:tcW w:w="1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160" w:type="dxa"/>
            <w:vAlign w:val="bottom"/>
          </w:tcPr>
          <w:p>
            <w:pPr>
              <w:ind w:left="180"/>
              <w:spacing w:after="0" w:line="271" w:lineRule="exact"/>
              <w:rPr>
                <w:sz w:val="20"/>
                <w:szCs w:val="20"/>
                <w:color w:val="auto"/>
              </w:rPr>
            </w:pPr>
            <w:r>
              <w:rPr>
                <w:rFonts w:ascii="Times New Roman" w:cs="Times New Roman" w:eastAsia="Times New Roman" w:hAnsi="Times New Roman"/>
                <w:sz w:val="18"/>
                <w:szCs w:val="18"/>
                <w:color w:val="auto"/>
              </w:rPr>
              <w:t xml:space="preserve">expenses </w:t>
            </w:r>
            <w:r>
              <w:rPr>
                <w:rFonts w:ascii="Times New Roman" w:cs="Times New Roman" w:eastAsia="Times New Roman" w:hAnsi="Times New Roman"/>
                <w:sz w:val="29"/>
                <w:szCs w:val="29"/>
                <w:color w:val="auto"/>
                <w:vertAlign w:val="superscript"/>
              </w:rPr>
              <w:t>(1)</w:t>
            </w: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(16,081)</w:t>
            </w:r>
          </w:p>
        </w:tc>
        <w:tc>
          <w:tcPr>
            <w:tcW w:w="11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16,081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financial (income)</w:t>
            </w:r>
          </w:p>
        </w:tc>
        <w:tc>
          <w:tcPr>
            <w:tcW w:w="1240" w:type="dxa"/>
            <w:vAlign w:val="bottom"/>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(8,054)</w:t>
            </w:r>
          </w:p>
        </w:tc>
        <w:tc>
          <w:tcPr>
            <w:tcW w:w="1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(14,052)</w:t>
            </w:r>
          </w:p>
        </w:tc>
        <w:tc>
          <w:tcPr>
            <w:tcW w:w="10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 and other</w:t>
            </w: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2,459</w:t>
            </w: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(10,513)</w:t>
            </w: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(428)%</w:t>
            </w: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5,464</w:t>
            </w: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(19,516)</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10"/>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19,563</w:t>
            </w: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2,198</w:t>
            </w:r>
          </w:p>
        </w:tc>
        <w:tc>
          <w:tcPr>
            <w:tcW w:w="11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17,365</w:t>
            </w:r>
          </w:p>
        </w:tc>
        <w:tc>
          <w:tcPr>
            <w:tcW w:w="12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790%</w:t>
            </w: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38,538</w:t>
            </w: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23,845</w:t>
            </w:r>
          </w:p>
        </w:tc>
        <w:tc>
          <w:tcPr>
            <w:tcW w:w="11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14,693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4"/>
        </w:trPr>
        <w:tc>
          <w:tcPr>
            <w:tcW w:w="21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Adjusted EBITDA</w:t>
            </w:r>
          </w:p>
        </w:tc>
        <w:tc>
          <w:tcPr>
            <w:tcW w:w="1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1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12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28%</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w:t>
            </w:r>
          </w:p>
        </w:tc>
        <w:tc>
          <w:tcPr>
            <w:tcW w:w="11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22%</w:t>
            </w: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w:t>
            </w:r>
          </w:p>
        </w:tc>
        <w:tc>
          <w:tcPr>
            <w:tcW w:w="11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left="340" w:hanging="332"/>
        <w:spacing w:after="0" w:line="210" w:lineRule="auto"/>
        <w:tabs>
          <w:tab w:leader="none" w:pos="340" w:val="left"/>
        </w:tabs>
        <w:numPr>
          <w:ilvl w:val="0"/>
          <w:numId w:val="10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Sales tax recovery relating to energy and infrastructure and general and administrative expenses have been allocated to their respective periods; refer to Note 29b - </w:t>
      </w:r>
      <w:r>
        <w:rPr>
          <w:rFonts w:ascii="Times New Roman" w:cs="Times New Roman" w:eastAsia="Times New Roman" w:hAnsi="Times New Roman"/>
          <w:sz w:val="18"/>
          <w:szCs w:val="18"/>
          <w:i w:val="1"/>
          <w:iCs w:val="1"/>
          <w:color w:val="auto"/>
        </w:rPr>
        <w:t>Additional Details to the Statement of Profit or Loss and Comprehensive Profit or Loss (Canadian sales tax refund)</w:t>
      </w:r>
      <w:r>
        <w:rPr>
          <w:rFonts w:ascii="Times New Roman" w:cs="Times New Roman" w:eastAsia="Times New Roman" w:hAnsi="Times New Roman"/>
          <w:sz w:val="18"/>
          <w:szCs w:val="18"/>
          <w:color w:val="auto"/>
        </w:rPr>
        <w:t xml:space="preserve"> to the 2024 Annual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both"/>
        <w:ind w:left="340" w:hanging="332"/>
        <w:spacing w:after="0"/>
        <w:tabs>
          <w:tab w:leader="none" w:pos="340" w:val="left"/>
        </w:tabs>
        <w:numPr>
          <w:ilvl w:val="0"/>
          <w:numId w:val="10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This data excludes the discontinued operations in Rio Cuarto, Argentina and in Paraguay. On May 12, 2025, the Company’s energy provider GMSA, halted the supply of electricity to the Company’s Rio Cuarto Bitcoin data center with energized capacity of 58 MW. On August 11, 2025, three months after being informed that electricity supply was being halted and with no path forward to resume operations in the future, the decision was made to shut down the plant, which was abandoned by September 30, 2025. Additionally, as of September 30, 2025, the Paso Pe facility met the criteria to be classified as held for sale, and all operations in Paraguay were designated as discontinued operations as the Company makes a strategic shift towards HPC/AI infrastructure in North America. Refer to Section 8 - </w:t>
      </w:r>
      <w:r>
        <w:rPr>
          <w:rFonts w:ascii="Times New Roman" w:cs="Times New Roman" w:eastAsia="Times New Roman" w:hAnsi="Times New Roman"/>
          <w:sz w:val="18"/>
          <w:szCs w:val="18"/>
          <w:i w:val="1"/>
          <w:iCs w:val="1"/>
          <w:color w:val="auto"/>
        </w:rPr>
        <w:t>Financial performance (Discontinued operations)</w:t>
      </w:r>
      <w:r>
        <w:rPr>
          <w:rFonts w:ascii="Times New Roman" w:cs="Times New Roman" w:eastAsia="Times New Roman" w:hAnsi="Times New Roman"/>
          <w:sz w:val="18"/>
          <w:szCs w:val="18"/>
          <w:color w:val="auto"/>
        </w:rPr>
        <w:t xml:space="preserve"> and Section 18 -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(The Company’s operations in Rio Cuarto have been suspended due to a halt in its supply of electrical power on May 12, 2025) </w:t>
      </w:r>
      <w:r>
        <w:rPr>
          <w:rFonts w:ascii="Times New Roman" w:cs="Times New Roman" w:eastAsia="Times New Roman" w:hAnsi="Times New Roman"/>
          <w:sz w:val="18"/>
          <w:szCs w:val="18"/>
          <w:color w:val="auto"/>
        </w:rPr>
        <w:t>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363855</wp:posOffset>
            </wp:positionV>
            <wp:extent cx="7132320" cy="1803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10440"/>
        <w:spacing w:after="0"/>
        <w:tabs>
          <w:tab w:leader="none" w:pos="10840" w:val="left"/>
        </w:tabs>
        <w:rPr>
          <w:sz w:val="20"/>
          <w:szCs w:val="20"/>
          <w:color w:val="auto"/>
        </w:rPr>
      </w:pPr>
      <w:r>
        <w:rPr>
          <w:rFonts w:ascii="Times New Roman" w:cs="Times New Roman" w:eastAsia="Times New Roman" w:hAnsi="Times New Roman"/>
          <w:sz w:val="18"/>
          <w:szCs w:val="18"/>
          <w:color w:val="auto"/>
        </w:rPr>
        <w:t>35</w:t>
        <w:tab/>
        <w:t>Page</w:t>
      </w:r>
    </w:p>
    <w:p>
      <w:pPr>
        <w:sectPr>
          <w:pgSz w:w="11900" w:h="16838" w:orient="portrait"/>
          <w:cols w:equalWidth="0" w:num="1">
            <w:col w:w="11240"/>
          </w:cols>
          <w:pgMar w:left="320" w:top="92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NON-IFRS AND OTHER FINANCIAL MEASURES AND RATIOS </w:t>
      </w:r>
      <w:r>
        <w:rPr>
          <w:rFonts w:ascii="Times New Roman" w:cs="Times New Roman" w:eastAsia="Times New Roman" w:hAnsi="Times New Roman"/>
          <w:sz w:val="18"/>
          <w:szCs w:val="18"/>
          <w:color w:val="auto"/>
        </w:rPr>
        <w:t>(Continued)</w:t>
      </w:r>
    </w:p>
    <w:p>
      <w:pPr>
        <w:spacing w:after="0" w:line="213" w:lineRule="exact"/>
        <w:rPr>
          <w:sz w:val="20"/>
          <w:szCs w:val="20"/>
          <w:color w:val="auto"/>
        </w:rPr>
      </w:pPr>
    </w:p>
    <w:p>
      <w:pPr>
        <w:ind w:left="660" w:hanging="652"/>
        <w:spacing w:after="0"/>
        <w:tabs>
          <w:tab w:leader="none" w:pos="660" w:val="left"/>
        </w:tabs>
        <w:numPr>
          <w:ilvl w:val="0"/>
          <w:numId w:val="106"/>
        </w:numPr>
        <w:rPr>
          <w:rFonts w:ascii="Times New Roman" w:cs="Times New Roman" w:eastAsia="Times New Roman" w:hAnsi="Times New Roman"/>
          <w:sz w:val="36"/>
          <w:szCs w:val="36"/>
          <w:b w:val="1"/>
          <w:bCs w:val="1"/>
          <w:color w:val="auto"/>
          <w:vertAlign w:val="superscript"/>
        </w:rPr>
      </w:pPr>
      <w:r>
        <w:rPr>
          <w:rFonts w:ascii="Times New Roman" w:cs="Times New Roman" w:eastAsia="Times New Roman" w:hAnsi="Times New Roman"/>
          <w:sz w:val="18"/>
          <w:szCs w:val="18"/>
          <w:b w:val="1"/>
          <w:bCs w:val="1"/>
          <w:color w:val="auto"/>
        </w:rPr>
        <w:t>Calculation of Gross Mining Profit and Gross Mining Margin from Continuing Operations</w:t>
      </w:r>
      <w:r>
        <w:rPr>
          <w:rFonts w:ascii="Times New Roman" w:cs="Times New Roman" w:eastAsia="Times New Roman" w:hAnsi="Times New Roman"/>
          <w:sz w:val="29"/>
          <w:szCs w:val="29"/>
          <w:b w:val="1"/>
          <w:bCs w:val="1"/>
          <w:color w:val="auto"/>
          <w:vertAlign w:val="superscript"/>
        </w:rPr>
        <w:t>4</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32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6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3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(U.S.$ in thousands except</w:t>
            </w:r>
          </w:p>
        </w:tc>
        <w:tc>
          <w:tcPr>
            <w:tcW w:w="11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2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where indicated)</w:t>
            </w:r>
          </w:p>
        </w:tc>
        <w:tc>
          <w:tcPr>
            <w:tcW w:w="118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11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 Change</w:t>
            </w:r>
          </w:p>
        </w:tc>
        <w:tc>
          <w:tcPr>
            <w:tcW w:w="12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99"/>
              </w:rPr>
              <w:t>% Change</w:t>
            </w:r>
          </w:p>
        </w:tc>
        <w:tc>
          <w:tcPr>
            <w:tcW w:w="112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11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10"/>
        </w:trPr>
        <w:tc>
          <w:tcPr>
            <w:tcW w:w="2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w:t>
            </w:r>
          </w:p>
        </w:tc>
        <w:tc>
          <w:tcPr>
            <w:tcW w:w="11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(2,882)</w:t>
            </w:r>
          </w:p>
        </w:tc>
        <w:tc>
          <w:tcPr>
            <w:tcW w:w="10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(2,000)</w:t>
            </w:r>
          </w:p>
        </w:tc>
        <w:tc>
          <w:tcPr>
            <w:tcW w:w="11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(882)</w:t>
            </w:r>
          </w:p>
        </w:tc>
        <w:tc>
          <w:tcPr>
            <w:tcW w:w="12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44%</w:t>
            </w:r>
          </w:p>
        </w:tc>
        <w:tc>
          <w:tcPr>
            <w:tcW w:w="11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(2,634)</w:t>
            </w:r>
          </w:p>
        </w:tc>
        <w:tc>
          <w:tcPr>
            <w:tcW w:w="10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(21,953)</w:t>
            </w:r>
          </w:p>
        </w:tc>
        <w:tc>
          <w:tcPr>
            <w:tcW w:w="11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19,319</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9"/>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Non-Mining revenues¹</w:t>
            </w:r>
          </w:p>
        </w:tc>
        <w:tc>
          <w:tcPr>
            <w:tcW w:w="11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(8,806)</w:t>
            </w: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(1,451)</w:t>
            </w: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(7,355)</w:t>
            </w: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507%</w:t>
            </w: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(17,299)</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(3,510)</w:t>
            </w: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(13,789)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198"/>
        </w:trPr>
        <w:tc>
          <w:tcPr>
            <w:tcW w:w="2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Depreciation and</w:t>
            </w:r>
          </w:p>
        </w:tc>
        <w:tc>
          <w:tcPr>
            <w:tcW w:w="1180" w:type="dxa"/>
            <w:vAlign w:val="bottom"/>
            <w:vMerge w:val="restart"/>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27,386</w:t>
            </w:r>
          </w:p>
        </w:tc>
        <w:tc>
          <w:tcPr>
            <w:tcW w:w="10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73,773</w:t>
            </w:r>
          </w:p>
        </w:tc>
        <w:tc>
          <w:tcPr>
            <w:tcW w:w="10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180" w:type="dxa"/>
            <w:vAlign w:val="bottom"/>
            <w:vMerge w:val="continue"/>
            <w:shd w:val="clear" w:color="auto" w:fill="CCEEFF"/>
          </w:tcPr>
          <w:p>
            <w:pPr>
              <w:spacing w:after="0"/>
              <w:rPr>
                <w:sz w:val="20"/>
                <w:szCs w:val="20"/>
                <w:color w:val="auto"/>
              </w:rPr>
            </w:pPr>
          </w:p>
        </w:tc>
        <w:tc>
          <w:tcPr>
            <w:tcW w:w="10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13,583</w:t>
            </w:r>
          </w:p>
        </w:tc>
        <w:tc>
          <w:tcPr>
            <w:tcW w:w="11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13,803</w:t>
            </w:r>
          </w:p>
        </w:tc>
        <w:tc>
          <w:tcPr>
            <w:tcW w:w="12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102%</w:t>
            </w:r>
          </w:p>
        </w:tc>
        <w:tc>
          <w:tcPr>
            <w:tcW w:w="1120" w:type="dxa"/>
            <w:vAlign w:val="bottom"/>
            <w:vMerge w:val="continue"/>
            <w:shd w:val="clear" w:color="auto" w:fill="CCEEFF"/>
          </w:tcPr>
          <w:p>
            <w:pPr>
              <w:spacing w:after="0"/>
              <w:rPr>
                <w:sz w:val="20"/>
                <w:szCs w:val="20"/>
                <w:color w:val="auto"/>
              </w:rPr>
            </w:pPr>
          </w:p>
        </w:tc>
        <w:tc>
          <w:tcPr>
            <w:tcW w:w="10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91,884</w:t>
            </w:r>
          </w:p>
        </w:tc>
        <w:tc>
          <w:tcPr>
            <w:tcW w:w="11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(18,111)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8"/>
        </w:trPr>
        <w:tc>
          <w:tcPr>
            <w:tcW w:w="2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Expenses related to hosting</w:t>
            </w:r>
          </w:p>
        </w:tc>
        <w:tc>
          <w:tcPr>
            <w:tcW w:w="11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4,312</w:t>
            </w: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2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12,308</w:t>
            </w: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energy revenues</w:t>
            </w:r>
          </w:p>
        </w:tc>
        <w:tc>
          <w:tcPr>
            <w:tcW w:w="1180" w:type="dxa"/>
            <w:vAlign w:val="bottom"/>
            <w:vMerge w:val="continue"/>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4,312</w:t>
            </w: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vMerge w:val="continue"/>
          </w:tcPr>
          <w:p>
            <w:pPr>
              <w:spacing w:after="0"/>
              <w:rPr>
                <w:sz w:val="20"/>
                <w:szCs w:val="20"/>
                <w:color w:val="auto"/>
              </w:rPr>
            </w:pP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12,308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w:t>
            </w:r>
          </w:p>
        </w:tc>
        <w:tc>
          <w:tcPr>
            <w:tcW w:w="1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w:t>
            </w:r>
          </w:p>
        </w:tc>
        <w:tc>
          <w:tcPr>
            <w:tcW w:w="1180" w:type="dxa"/>
            <w:vAlign w:val="bottom"/>
            <w:vMerge w:val="restart"/>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180" w:type="dxa"/>
            <w:vAlign w:val="bottom"/>
            <w:vMerge w:val="continue"/>
            <w:shd w:val="clear" w:color="auto" w:fill="CCEEFF"/>
          </w:tcPr>
          <w:p>
            <w:pPr>
              <w:spacing w:after="0"/>
              <w:rPr>
                <w:sz w:val="20"/>
                <w:szCs w:val="20"/>
                <w:color w:val="auto"/>
              </w:rPr>
            </w:pPr>
          </w:p>
        </w:tc>
        <w:tc>
          <w:tcPr>
            <w:tcW w:w="10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continue"/>
            <w:shd w:val="clear" w:color="auto" w:fill="CCEEFF"/>
          </w:tcPr>
          <w:p>
            <w:pPr>
              <w:spacing w:after="0"/>
              <w:rPr>
                <w:sz w:val="20"/>
                <w:szCs w:val="20"/>
                <w:color w:val="auto"/>
              </w:rPr>
            </w:pPr>
          </w:p>
        </w:tc>
        <w:tc>
          <w:tcPr>
            <w:tcW w:w="10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(8,760)</w:t>
            </w:r>
          </w:p>
        </w:tc>
        <w:tc>
          <w:tcPr>
            <w:tcW w:w="11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8,760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Electrical components and</w:t>
            </w:r>
          </w:p>
        </w:tc>
        <w:tc>
          <w:tcPr>
            <w:tcW w:w="11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1,081</w:t>
            </w: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2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2,788</w:t>
            </w: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salaries</w:t>
            </w:r>
          </w:p>
        </w:tc>
        <w:tc>
          <w:tcPr>
            <w:tcW w:w="1180" w:type="dxa"/>
            <w:vAlign w:val="bottom"/>
            <w:vMerge w:val="continue"/>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1,097</w:t>
            </w: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(16)</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vMerge w:val="continue"/>
          </w:tcPr>
          <w:p>
            <w:pPr>
              <w:spacing w:after="0"/>
              <w:rPr>
                <w:sz w:val="20"/>
                <w:szCs w:val="20"/>
                <w:color w:val="auto"/>
              </w:rPr>
            </w:pP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2,678</w:t>
            </w: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110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8"/>
        </w:trPr>
        <w:tc>
          <w:tcPr>
            <w:tcW w:w="2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prior</w:t>
            </w:r>
          </w:p>
        </w:tc>
        <w:tc>
          <w:tcPr>
            <w:tcW w:w="1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years - energy and</w:t>
            </w:r>
          </w:p>
        </w:tc>
        <w:tc>
          <w:tcPr>
            <w:tcW w:w="1180" w:type="dxa"/>
            <w:vAlign w:val="bottom"/>
            <w:vMerge w:val="restart"/>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infrastructure²</w:t>
            </w:r>
          </w:p>
        </w:tc>
        <w:tc>
          <w:tcPr>
            <w:tcW w:w="1180" w:type="dxa"/>
            <w:vAlign w:val="bottom"/>
            <w:vMerge w:val="continue"/>
            <w:shd w:val="clear" w:color="auto" w:fill="CCEEFF"/>
          </w:tcPr>
          <w:p>
            <w:pPr>
              <w:spacing w:after="0"/>
              <w:rPr>
                <w:sz w:val="20"/>
                <w:szCs w:val="20"/>
                <w:color w:val="auto"/>
              </w:rPr>
            </w:pPr>
          </w:p>
        </w:tc>
        <w:tc>
          <w:tcPr>
            <w:tcW w:w="10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vMerge w:val="continue"/>
            <w:shd w:val="clear" w:color="auto" w:fill="CCEEFF"/>
          </w:tcPr>
          <w:p>
            <w:pPr>
              <w:spacing w:after="0"/>
              <w:rPr>
                <w:sz w:val="20"/>
                <w:szCs w:val="20"/>
                <w:color w:val="auto"/>
              </w:rPr>
            </w:pPr>
          </w:p>
        </w:tc>
        <w:tc>
          <w:tcPr>
            <w:tcW w:w="10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(14,338)</w:t>
            </w:r>
          </w:p>
        </w:tc>
        <w:tc>
          <w:tcPr>
            <w:tcW w:w="11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14,338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13</w:t>
            </w: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(13)</w:t>
            </w:r>
          </w:p>
        </w:tc>
        <w:tc>
          <w:tcPr>
            <w:tcW w:w="12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1,222</w:t>
            </w:r>
          </w:p>
        </w:tc>
        <w:tc>
          <w:tcPr>
            <w:tcW w:w="11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(1,222)</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Mining profit</w:t>
            </w:r>
          </w:p>
        </w:tc>
        <w:tc>
          <w:tcPr>
            <w:tcW w:w="1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21,091</w:t>
            </w:r>
          </w:p>
        </w:tc>
        <w:tc>
          <w:tcPr>
            <w:tcW w:w="10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11,242</w:t>
            </w:r>
          </w:p>
        </w:tc>
        <w:tc>
          <w:tcPr>
            <w:tcW w:w="11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9,849</w:t>
            </w:r>
          </w:p>
        </w:tc>
        <w:tc>
          <w:tcPr>
            <w:tcW w:w="12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88%</w:t>
            </w:r>
          </w:p>
        </w:tc>
        <w:tc>
          <w:tcPr>
            <w:tcW w:w="11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68,936</w:t>
            </w:r>
          </w:p>
        </w:tc>
        <w:tc>
          <w:tcPr>
            <w:tcW w:w="10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47,223</w:t>
            </w:r>
          </w:p>
        </w:tc>
        <w:tc>
          <w:tcPr>
            <w:tcW w:w="11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21,713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3"/>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Gross Mining margin</w:t>
            </w:r>
          </w:p>
        </w:tc>
        <w:tc>
          <w:tcPr>
            <w:tcW w:w="11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35%</w:t>
            </w: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44%</w:t>
            </w:r>
          </w:p>
        </w:tc>
        <w:tc>
          <w:tcPr>
            <w:tcW w:w="11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43%</w:t>
            </w: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51%</w:t>
            </w:r>
          </w:p>
        </w:tc>
        <w:tc>
          <w:tcPr>
            <w:tcW w:w="11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3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  Non-Mining revenues reconciliation:</w:t>
            </w: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32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gridSpan w:val="4"/>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4340" w:type="dxa"/>
            <w:vAlign w:val="bottom"/>
            <w:tcBorders>
              <w:bottom w:val="single" w:sz="8" w:color="auto"/>
            </w:tcBorders>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191"/>
        </w:trPr>
        <w:tc>
          <w:tcPr>
            <w:tcW w:w="23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(U.S.$ in thousands except</w:t>
            </w:r>
          </w:p>
        </w:tc>
        <w:tc>
          <w:tcPr>
            <w:tcW w:w="11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where indicated)</w:t>
            </w:r>
          </w:p>
        </w:tc>
        <w:tc>
          <w:tcPr>
            <w:tcW w:w="118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2024</w:t>
            </w: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c>
          <w:tcPr>
            <w:tcW w:w="12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 Change</w:t>
            </w:r>
          </w:p>
        </w:tc>
        <w:tc>
          <w:tcPr>
            <w:tcW w:w="112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2024</w:t>
            </w:r>
          </w:p>
        </w:tc>
        <w:tc>
          <w:tcPr>
            <w:tcW w:w="11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 Change</w:t>
            </w: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10"/>
        </w:trPr>
        <w:tc>
          <w:tcPr>
            <w:tcW w:w="2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69,245</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27,072</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42,173</w:t>
            </w: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156%</w:t>
            </w:r>
          </w:p>
        </w:tc>
        <w:tc>
          <w:tcPr>
            <w:tcW w:w="11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179,050</w:t>
            </w: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95,522</w:t>
            </w:r>
          </w:p>
        </w:tc>
        <w:tc>
          <w:tcPr>
            <w:tcW w:w="11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83,528</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191"/>
        </w:trPr>
        <w:tc>
          <w:tcPr>
            <w:tcW w:w="23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Less Mining related revenues</w:t>
            </w:r>
          </w:p>
        </w:tc>
        <w:tc>
          <w:tcPr>
            <w:tcW w:w="1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 the purpose of</w:t>
            </w: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calculating gross Mining</w:t>
            </w: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margin:</w:t>
            </w:r>
          </w:p>
        </w:tc>
        <w:tc>
          <w:tcPr>
            <w:tcW w:w="1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Mining revenues³</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(60,439)</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(25,621)</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(34,818)</w:t>
            </w: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136%</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(161,751)</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(92,012)</w:t>
            </w: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(69,739)</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Non-Mining revenues</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8,806</w:t>
            </w: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1,451</w:t>
            </w: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7,355</w:t>
            </w:r>
          </w:p>
        </w:tc>
        <w:tc>
          <w:tcPr>
            <w:tcW w:w="1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507%</w:t>
            </w: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17,299</w:t>
            </w: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3,510</w:t>
            </w:r>
          </w:p>
        </w:tc>
        <w:tc>
          <w:tcPr>
            <w:tcW w:w="11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13,789</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40" w:hanging="332"/>
        <w:spacing w:after="0" w:line="262" w:lineRule="auto"/>
        <w:tabs>
          <w:tab w:leader="none" w:pos="3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Sales tax recovery relating to energy and infrastructure expenses has been allocated to their respective periods; refer to Note 29b - </w:t>
      </w:r>
      <w:r>
        <w:rPr>
          <w:rFonts w:ascii="Times New Roman" w:cs="Times New Roman" w:eastAsia="Times New Roman" w:hAnsi="Times New Roman"/>
          <w:sz w:val="18"/>
          <w:szCs w:val="18"/>
          <w:i w:val="1"/>
          <w:iCs w:val="1"/>
          <w:color w:val="auto"/>
        </w:rPr>
        <w:t>Additional Details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Statement of Profit or Loss and Comprehensive Profit or Loss (Canadian sales tax refund) </w:t>
      </w:r>
      <w:r>
        <w:rPr>
          <w:rFonts w:ascii="Times New Roman" w:cs="Times New Roman" w:eastAsia="Times New Roman" w:hAnsi="Times New Roman"/>
          <w:sz w:val="18"/>
          <w:szCs w:val="18"/>
          <w:color w:val="auto"/>
        </w:rPr>
        <w:t>to the 2024 Annual Financial Statements.</w:t>
      </w:r>
    </w:p>
    <w:p>
      <w:pPr>
        <w:ind w:left="340" w:hanging="332"/>
        <w:spacing w:after="0" w:line="250" w:lineRule="auto"/>
        <w:tabs>
          <w:tab w:leader="none" w:pos="3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Mining revenues include revenues from sale of computational power used for hashing calculations and revenues from computational power sold in exchange of services.</w:t>
      </w:r>
    </w:p>
    <w:p>
      <w:pPr>
        <w:jc w:val="both"/>
        <w:ind w:left="340" w:hanging="332"/>
        <w:spacing w:after="0" w:line="252" w:lineRule="auto"/>
        <w:tabs>
          <w:tab w:leader="none" w:pos="3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data excludes the discontinued operations in Rio Cuarto, Argentina and in Paraguay. On May 12, 2025, the Company’s energy provider GMSA, halted the supply of electricity to the Company’s Rio Cuarto Bitcoin data center with energized capacity of 58 MW. On August 11, 2025, three months after being informed that electricity supply was being halted and with no path forward to resume operations in the future, the decision was made to shut down the plant, which was abandoned by September 30, 2025. Additionally, as of September 30, 2025, the Paso Pe facility met the criteria to be classified as held for sale, and all operations in Paraguay were designated as discontinued operations as the Company makes a strategic shift towards HPC/AI infrastructure in North America. Refer to Section 8 - </w:t>
      </w:r>
      <w:r>
        <w:rPr>
          <w:rFonts w:ascii="Times New Roman" w:cs="Times New Roman" w:eastAsia="Times New Roman" w:hAnsi="Times New Roman"/>
          <w:sz w:val="18"/>
          <w:szCs w:val="18"/>
          <w:i w:val="1"/>
          <w:iCs w:val="1"/>
          <w:color w:val="auto"/>
        </w:rPr>
        <w:t>Financial performance (Discontinued operations)</w:t>
      </w:r>
      <w:r>
        <w:rPr>
          <w:rFonts w:ascii="Times New Roman" w:cs="Times New Roman" w:eastAsia="Times New Roman" w:hAnsi="Times New Roman"/>
          <w:sz w:val="18"/>
          <w:szCs w:val="18"/>
          <w:color w:val="auto"/>
        </w:rPr>
        <w:t xml:space="preserve"> and Section 18 -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(The Company’s operations in Rio Cuarto have been suspended due to a halt in its supply of electrical power on May 12, 2025) </w:t>
      </w:r>
      <w:r>
        <w:rPr>
          <w:rFonts w:ascii="Times New Roman" w:cs="Times New Roman" w:eastAsia="Times New Roman" w:hAnsi="Times New Roman"/>
          <w:sz w:val="18"/>
          <w:szCs w:val="18"/>
          <w:color w:val="auto"/>
        </w:rPr>
        <w:t>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97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0440"/>
        <w:spacing w:after="0"/>
        <w:tabs>
          <w:tab w:leader="none" w:pos="10840" w:val="left"/>
        </w:tabs>
        <w:rPr>
          <w:sz w:val="20"/>
          <w:szCs w:val="20"/>
          <w:color w:val="auto"/>
        </w:rPr>
      </w:pPr>
      <w:r>
        <w:rPr>
          <w:rFonts w:ascii="Times New Roman" w:cs="Times New Roman" w:eastAsia="Times New Roman" w:hAnsi="Times New Roman"/>
          <w:sz w:val="18"/>
          <w:szCs w:val="18"/>
          <w:color w:val="auto"/>
        </w:rPr>
        <w:t>36</w:t>
        <w:tab/>
        <w:t>Page</w:t>
      </w:r>
    </w:p>
    <w:p>
      <w:pPr>
        <w:sectPr>
          <w:pgSz w:w="11900" w:h="16838" w:orient="portrait"/>
          <w:cols w:equalWidth="0" w:num="1">
            <w:col w:w="11240"/>
          </w:cols>
          <w:pgMar w:left="320" w:top="92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NON-IFRS AND OTHER FINANCIAL MEASURES AND RATIOS </w:t>
      </w:r>
      <w:r>
        <w:rPr>
          <w:rFonts w:ascii="Times New Roman" w:cs="Times New Roman" w:eastAsia="Times New Roman" w:hAnsi="Times New Roman"/>
          <w:sz w:val="18"/>
          <w:szCs w:val="18"/>
          <w:color w:val="auto"/>
        </w:rPr>
        <w:t>(Continued)</w:t>
      </w:r>
    </w:p>
    <w:p>
      <w:pPr>
        <w:spacing w:after="0" w:line="213" w:lineRule="exact"/>
        <w:rPr>
          <w:sz w:val="20"/>
          <w:szCs w:val="20"/>
          <w:color w:val="auto"/>
        </w:rPr>
      </w:pPr>
    </w:p>
    <w:p>
      <w:pPr>
        <w:ind w:left="660" w:hanging="652"/>
        <w:spacing w:after="0"/>
        <w:tabs>
          <w:tab w:leader="none" w:pos="660" w:val="left"/>
        </w:tabs>
        <w:numPr>
          <w:ilvl w:val="0"/>
          <w:numId w:val="108"/>
        </w:numPr>
        <w:rPr>
          <w:rFonts w:ascii="Times New Roman" w:cs="Times New Roman" w:eastAsia="Times New Roman" w:hAnsi="Times New Roman"/>
          <w:sz w:val="36"/>
          <w:szCs w:val="36"/>
          <w:b w:val="1"/>
          <w:bCs w:val="1"/>
          <w:color w:val="auto"/>
          <w:vertAlign w:val="superscript"/>
        </w:rPr>
      </w:pPr>
      <w:r>
        <w:rPr>
          <w:rFonts w:ascii="Times New Roman" w:cs="Times New Roman" w:eastAsia="Times New Roman" w:hAnsi="Times New Roman"/>
          <w:sz w:val="18"/>
          <w:szCs w:val="18"/>
          <w:b w:val="1"/>
          <w:bCs w:val="1"/>
          <w:color w:val="auto"/>
        </w:rPr>
        <w:t>Calculation of Direct Cost and Direct Cost per BTC from Continuing Operations</w:t>
      </w:r>
      <w:r>
        <w:rPr>
          <w:rFonts w:ascii="Times New Roman" w:cs="Times New Roman" w:eastAsia="Times New Roman" w:hAnsi="Times New Roman"/>
          <w:sz w:val="29"/>
          <w:szCs w:val="29"/>
          <w:b w:val="1"/>
          <w:bCs w:val="1"/>
          <w:color w:val="auto"/>
          <w:vertAlign w:val="superscript"/>
        </w:rPr>
        <w:t>2</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300" w:type="dxa"/>
            <w:vAlign w:val="bottom"/>
            <w:tcBorders>
              <w:bottom w:val="single" w:sz="8" w:color="auto"/>
            </w:tcBorders>
          </w:tcPr>
          <w:p>
            <w:pPr>
              <w:spacing w:after="0"/>
              <w:rPr>
                <w:sz w:val="19"/>
                <w:szCs w:val="19"/>
                <w:color w:val="auto"/>
              </w:rPr>
            </w:pPr>
          </w:p>
        </w:tc>
        <w:tc>
          <w:tcPr>
            <w:tcW w:w="3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16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(U.S.$ in thousands except</w:t>
            </w:r>
          </w:p>
        </w:tc>
        <w:tc>
          <w:tcPr>
            <w:tcW w:w="11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where indicated)</w:t>
            </w:r>
          </w:p>
        </w:tc>
        <w:tc>
          <w:tcPr>
            <w:tcW w:w="118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2024</w:t>
            </w:r>
          </w:p>
        </w:tc>
        <w:tc>
          <w:tcPr>
            <w:tcW w:w="1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 Change</w:t>
            </w:r>
          </w:p>
        </w:tc>
        <w:tc>
          <w:tcPr>
            <w:tcW w:w="11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6"/>
              </w:rPr>
              <w:t>% Change</w:t>
            </w:r>
          </w:p>
        </w:tc>
        <w:tc>
          <w:tcPr>
            <w:tcW w:w="110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2024</w:t>
            </w:r>
          </w:p>
        </w:tc>
        <w:tc>
          <w:tcPr>
            <w:tcW w:w="12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 Change</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9"/>
              </w:rPr>
              <w:t>% Change</w:t>
            </w:r>
          </w:p>
        </w:tc>
        <w:tc>
          <w:tcPr>
            <w:tcW w:w="0" w:type="dxa"/>
            <w:vAlign w:val="bottom"/>
          </w:tcPr>
          <w:p>
            <w:pPr>
              <w:spacing w:after="0"/>
              <w:rPr>
                <w:sz w:val="1"/>
                <w:szCs w:val="1"/>
                <w:color w:val="auto"/>
              </w:rPr>
            </w:pPr>
          </w:p>
        </w:tc>
      </w:tr>
      <w:tr>
        <w:trPr>
          <w:trHeight w:val="209"/>
        </w:trPr>
        <w:tc>
          <w:tcPr>
            <w:tcW w:w="2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1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72,127</w:t>
            </w:r>
          </w:p>
        </w:tc>
        <w:tc>
          <w:tcPr>
            <w:tcW w:w="10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29,072</w:t>
            </w:r>
          </w:p>
        </w:tc>
        <w:tc>
          <w:tcPr>
            <w:tcW w:w="12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43,055</w:t>
            </w:r>
          </w:p>
        </w:tc>
        <w:tc>
          <w:tcPr>
            <w:tcW w:w="11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148%</w:t>
            </w:r>
          </w:p>
        </w:tc>
        <w:tc>
          <w:tcPr>
            <w:tcW w:w="11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181,684</w:t>
            </w:r>
          </w:p>
        </w:tc>
        <w:tc>
          <w:tcPr>
            <w:tcW w:w="10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117,475</w:t>
            </w:r>
          </w:p>
        </w:tc>
        <w:tc>
          <w:tcPr>
            <w:tcW w:w="12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64,209</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1"/>
        </w:trPr>
        <w:tc>
          <w:tcPr>
            <w:tcW w:w="2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Depreciation and</w:t>
            </w:r>
          </w:p>
        </w:tc>
        <w:tc>
          <w:tcPr>
            <w:tcW w:w="11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(27,386)</w:t>
            </w:r>
          </w:p>
        </w:tc>
        <w:tc>
          <w:tcPr>
            <w:tcW w:w="10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(73,773)</w:t>
            </w: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180" w:type="dxa"/>
            <w:vAlign w:val="bottom"/>
            <w:vMerge w:val="continue"/>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(13,583)</w:t>
            </w: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(13,803)</w:t>
            </w: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102%</w:t>
            </w:r>
          </w:p>
        </w:tc>
        <w:tc>
          <w:tcPr>
            <w:tcW w:w="1100" w:type="dxa"/>
            <w:vAlign w:val="bottom"/>
            <w:vMerge w:val="continue"/>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(91,884)</w:t>
            </w:r>
          </w:p>
        </w:tc>
        <w:tc>
          <w:tcPr>
            <w:tcW w:w="12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18,111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8"/>
        </w:trPr>
        <w:tc>
          <w:tcPr>
            <w:tcW w:w="2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Expenses related to hosting</w:t>
            </w:r>
          </w:p>
        </w:tc>
        <w:tc>
          <w:tcPr>
            <w:tcW w:w="118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(2,034)</w:t>
            </w:r>
          </w:p>
        </w:tc>
        <w:tc>
          <w:tcPr>
            <w:tcW w:w="10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(5,039)</w:t>
            </w:r>
          </w:p>
        </w:tc>
        <w:tc>
          <w:tcPr>
            <w:tcW w:w="10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energy revenues</w:t>
            </w:r>
          </w:p>
        </w:tc>
        <w:tc>
          <w:tcPr>
            <w:tcW w:w="1180" w:type="dxa"/>
            <w:vAlign w:val="bottom"/>
            <w:vMerge w:val="continue"/>
            <w:shd w:val="clear" w:color="auto" w:fill="CCEEFF"/>
          </w:tcPr>
          <w:p>
            <w:pPr>
              <w:spacing w:after="0"/>
              <w:rPr>
                <w:sz w:val="20"/>
                <w:szCs w:val="20"/>
                <w:color w:val="auto"/>
              </w:rPr>
            </w:pPr>
          </w:p>
        </w:tc>
        <w:tc>
          <w:tcPr>
            <w:tcW w:w="1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(2,034)</w:t>
            </w: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(100)%</w:t>
            </w:r>
          </w:p>
        </w:tc>
        <w:tc>
          <w:tcPr>
            <w:tcW w:w="1100" w:type="dxa"/>
            <w:vAlign w:val="bottom"/>
            <w:vMerge w:val="continue"/>
            <w:shd w:val="clear" w:color="auto" w:fill="CCEEFF"/>
          </w:tcPr>
          <w:p>
            <w:pPr>
              <w:spacing w:after="0"/>
              <w:rPr>
                <w:sz w:val="20"/>
                <w:szCs w:val="20"/>
                <w:color w:val="auto"/>
              </w:rPr>
            </w:pP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(5,039)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w:t>
            </w:r>
          </w:p>
        </w:tc>
        <w:tc>
          <w:tcPr>
            <w:tcW w:w="1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w:t>
            </w:r>
          </w:p>
        </w:tc>
        <w:tc>
          <w:tcPr>
            <w:tcW w:w="11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180" w:type="dxa"/>
            <w:vAlign w:val="bottom"/>
            <w:vMerge w:val="continue"/>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continue"/>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8,760</w:t>
            </w: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(8,760)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Electrical components and</w:t>
            </w:r>
          </w:p>
        </w:tc>
        <w:tc>
          <w:tcPr>
            <w:tcW w:w="118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(1,081)</w:t>
            </w:r>
          </w:p>
        </w:tc>
        <w:tc>
          <w:tcPr>
            <w:tcW w:w="10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(2,788)</w:t>
            </w:r>
          </w:p>
        </w:tc>
        <w:tc>
          <w:tcPr>
            <w:tcW w:w="10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salaries</w:t>
            </w:r>
          </w:p>
        </w:tc>
        <w:tc>
          <w:tcPr>
            <w:tcW w:w="1180" w:type="dxa"/>
            <w:vAlign w:val="bottom"/>
            <w:vMerge w:val="continue"/>
            <w:shd w:val="clear" w:color="auto" w:fill="CCEEFF"/>
          </w:tcPr>
          <w:p>
            <w:pPr>
              <w:spacing w:after="0"/>
              <w:rPr>
                <w:sz w:val="20"/>
                <w:szCs w:val="20"/>
                <w:color w:val="auto"/>
              </w:rPr>
            </w:pP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(1,097)</w:t>
            </w:r>
          </w:p>
        </w:tc>
        <w:tc>
          <w:tcPr>
            <w:tcW w:w="12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16</w:t>
            </w: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vMerge w:val="continue"/>
            <w:shd w:val="clear" w:color="auto" w:fill="CCEEFF"/>
          </w:tcPr>
          <w:p>
            <w:pPr>
              <w:spacing w:after="0"/>
              <w:rPr>
                <w:sz w:val="20"/>
                <w:szCs w:val="20"/>
                <w:color w:val="auto"/>
              </w:rPr>
            </w:pP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(2,678)</w:t>
            </w:r>
          </w:p>
        </w:tc>
        <w:tc>
          <w:tcPr>
            <w:tcW w:w="12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Infrastructure expenses</w:t>
            </w: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(21,799)</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(1,284)</w:t>
            </w: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(20,515)</w:t>
            </w:r>
          </w:p>
        </w:tc>
        <w:tc>
          <w:tcPr>
            <w:tcW w:w="1160" w:type="dxa"/>
            <w:vAlign w:val="bottom"/>
          </w:tcPr>
          <w:p>
            <w:pPr>
              <w:jc w:val="right"/>
              <w:ind w:right="330"/>
              <w:spacing w:after="0"/>
              <w:rPr>
                <w:sz w:val="20"/>
                <w:szCs w:val="20"/>
                <w:color w:val="auto"/>
              </w:rPr>
            </w:pPr>
            <w:r>
              <w:rPr>
                <w:rFonts w:ascii="Times New Roman" w:cs="Times New Roman" w:eastAsia="Times New Roman" w:hAnsi="Times New Roman"/>
                <w:sz w:val="18"/>
                <w:szCs w:val="18"/>
                <w:i w:val="1"/>
                <w:iCs w:val="1"/>
                <w:color w:val="auto"/>
              </w:rPr>
              <w:t>nm</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(40,235)</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(4,070)</w:t>
            </w: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(36,165)</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r>
        <w:trPr>
          <w:trHeight w:val="198"/>
        </w:trPr>
        <w:tc>
          <w:tcPr>
            <w:tcW w:w="2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Infrastructure expenses</w:t>
            </w:r>
          </w:p>
        </w:tc>
        <w:tc>
          <w:tcPr>
            <w:tcW w:w="1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to self-producing</w:t>
            </w:r>
          </w:p>
        </w:tc>
        <w:tc>
          <w:tcPr>
            <w:tcW w:w="118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5,212</w:t>
            </w:r>
          </w:p>
        </w:tc>
        <w:tc>
          <w:tcPr>
            <w:tcW w:w="10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13,498</w:t>
            </w:r>
          </w:p>
        </w:tc>
        <w:tc>
          <w:tcPr>
            <w:tcW w:w="10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energy for mining</w:t>
            </w:r>
          </w:p>
        </w:tc>
        <w:tc>
          <w:tcPr>
            <w:tcW w:w="1180" w:type="dxa"/>
            <w:vAlign w:val="bottom"/>
            <w:vMerge w:val="continue"/>
            <w:shd w:val="clear" w:color="auto" w:fill="CCEEFF"/>
          </w:tcPr>
          <w:p>
            <w:pPr>
              <w:spacing w:after="0"/>
              <w:rPr>
                <w:sz w:val="20"/>
                <w:szCs w:val="20"/>
                <w:color w:val="auto"/>
              </w:rPr>
            </w:pPr>
          </w:p>
        </w:tc>
        <w:tc>
          <w:tcPr>
            <w:tcW w:w="1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5,212</w:t>
            </w:r>
          </w:p>
        </w:tc>
        <w:tc>
          <w:tcPr>
            <w:tcW w:w="11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100%</w:t>
            </w:r>
          </w:p>
        </w:tc>
        <w:tc>
          <w:tcPr>
            <w:tcW w:w="1100" w:type="dxa"/>
            <w:vAlign w:val="bottom"/>
            <w:vMerge w:val="continue"/>
            <w:shd w:val="clear" w:color="auto" w:fill="CCEEFF"/>
          </w:tcPr>
          <w:p>
            <w:pPr>
              <w:spacing w:after="0"/>
              <w:rPr>
                <w:sz w:val="20"/>
                <w:szCs w:val="20"/>
                <w:color w:val="auto"/>
              </w:rPr>
            </w:pP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13,498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prior</w:t>
            </w:r>
          </w:p>
        </w:tc>
        <w:tc>
          <w:tcPr>
            <w:tcW w:w="1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years - energy and</w:t>
            </w:r>
          </w:p>
        </w:tc>
        <w:tc>
          <w:tcPr>
            <w:tcW w:w="1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300" w:type="dxa"/>
            <w:vAlign w:val="bottom"/>
            <w:tcBorders>
              <w:bottom w:val="single" w:sz="8" w:color="auto"/>
            </w:tcBorders>
          </w:tcPr>
          <w:p>
            <w:pPr>
              <w:ind w:left="180"/>
              <w:spacing w:after="0" w:line="271" w:lineRule="exact"/>
              <w:rPr>
                <w:sz w:val="20"/>
                <w:szCs w:val="20"/>
                <w:color w:val="auto"/>
              </w:rPr>
            </w:pPr>
            <w:r>
              <w:rPr>
                <w:rFonts w:ascii="Times New Roman" w:cs="Times New Roman" w:eastAsia="Times New Roman" w:hAnsi="Times New Roman"/>
                <w:sz w:val="18"/>
                <w:szCs w:val="18"/>
                <w:color w:val="auto"/>
              </w:rPr>
              <w:t xml:space="preserve">infrastructure </w:t>
            </w:r>
            <w:r>
              <w:rPr>
                <w:rFonts w:ascii="Times New Roman" w:cs="Times New Roman" w:eastAsia="Times New Roman" w:hAnsi="Times New Roman"/>
                <w:sz w:val="29"/>
                <w:szCs w:val="29"/>
                <w:color w:val="auto"/>
                <w:vertAlign w:val="superscript"/>
              </w:rPr>
              <w:t>(1)</w:t>
            </w:r>
          </w:p>
        </w:tc>
        <w:tc>
          <w:tcPr>
            <w:tcW w:w="11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14,338</w:t>
            </w:r>
          </w:p>
        </w:tc>
        <w:tc>
          <w:tcPr>
            <w:tcW w:w="12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(14,338)</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0"/>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 Cost</w:t>
            </w:r>
          </w:p>
        </w:tc>
        <w:tc>
          <w:tcPr>
            <w:tcW w:w="11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25,039</w:t>
            </w:r>
          </w:p>
        </w:tc>
        <w:tc>
          <w:tcPr>
            <w:tcW w:w="1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13,108</w:t>
            </w:r>
          </w:p>
        </w:tc>
        <w:tc>
          <w:tcPr>
            <w:tcW w:w="12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11,931</w:t>
            </w:r>
          </w:p>
        </w:tc>
        <w:tc>
          <w:tcPr>
            <w:tcW w:w="11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91%</w:t>
            </w:r>
          </w:p>
        </w:tc>
        <w:tc>
          <w:tcPr>
            <w:tcW w:w="11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73,347</w:t>
            </w: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41,941</w:t>
            </w:r>
          </w:p>
        </w:tc>
        <w:tc>
          <w:tcPr>
            <w:tcW w:w="12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31,406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Quantity of BTC earned</w:t>
            </w:r>
          </w:p>
        </w:tc>
        <w:tc>
          <w:tcPr>
            <w:tcW w:w="11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520</w:t>
            </w:r>
          </w:p>
        </w:tc>
        <w:tc>
          <w:tcPr>
            <w:tcW w:w="10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414</w:t>
            </w:r>
          </w:p>
        </w:tc>
        <w:tc>
          <w:tcPr>
            <w:tcW w:w="12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106</w:t>
            </w:r>
          </w:p>
        </w:tc>
        <w:tc>
          <w:tcPr>
            <w:tcW w:w="11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26%</w:t>
            </w:r>
          </w:p>
        </w:tc>
        <w:tc>
          <w:tcPr>
            <w:tcW w:w="11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1,570</w:t>
            </w:r>
          </w:p>
        </w:tc>
        <w:tc>
          <w:tcPr>
            <w:tcW w:w="10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1,562</w:t>
            </w:r>
          </w:p>
        </w:tc>
        <w:tc>
          <w:tcPr>
            <w:tcW w:w="12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7"/>
        </w:trPr>
        <w:tc>
          <w:tcPr>
            <w:tcW w:w="23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Direct Cost per BTC (in</w:t>
            </w: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3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U.S. dollars)</w:t>
            </w:r>
          </w:p>
        </w:tc>
        <w:tc>
          <w:tcPr>
            <w:tcW w:w="11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48,200</w:t>
            </w:r>
          </w:p>
        </w:tc>
        <w:tc>
          <w:tcPr>
            <w:tcW w:w="10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31,700</w:t>
            </w:r>
          </w:p>
        </w:tc>
        <w:tc>
          <w:tcPr>
            <w:tcW w:w="1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16,500</w:t>
            </w:r>
          </w:p>
        </w:tc>
        <w:tc>
          <w:tcPr>
            <w:tcW w:w="11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52%</w:t>
            </w:r>
          </w:p>
        </w:tc>
        <w:tc>
          <w:tcPr>
            <w:tcW w:w="11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46,700</w:t>
            </w: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26,900</w:t>
            </w:r>
          </w:p>
        </w:tc>
        <w:tc>
          <w:tcPr>
            <w:tcW w:w="12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19,800</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6"/>
        </w:trPr>
        <w:tc>
          <w:tcPr>
            <w:tcW w:w="2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tc>
        <w:tc>
          <w:tcPr>
            <w:tcW w:w="1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400" w:hanging="392"/>
        <w:spacing w:after="0"/>
        <w:tabs>
          <w:tab w:leader="none" w:pos="400" w:val="left"/>
        </w:tabs>
        <w:numPr>
          <w:ilvl w:val="0"/>
          <w:numId w:val="10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Sales tax recovery relating to energy and infrastructure has been allocated to its respective periods; refer to Note 29b - </w:t>
      </w:r>
      <w:r>
        <w:rPr>
          <w:rFonts w:ascii="Times New Roman" w:cs="Times New Roman" w:eastAsia="Times New Roman" w:hAnsi="Times New Roman"/>
          <w:sz w:val="18"/>
          <w:szCs w:val="18"/>
          <w:i w:val="1"/>
          <w:iCs w:val="1"/>
          <w:color w:val="auto"/>
        </w:rPr>
        <w:t>Additional Details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400"/>
        <w:spacing w:after="0"/>
        <w:rPr>
          <w:sz w:val="20"/>
          <w:szCs w:val="20"/>
          <w:color w:val="auto"/>
        </w:rPr>
      </w:pPr>
      <w:r>
        <w:rPr>
          <w:rFonts w:ascii="Times New Roman" w:cs="Times New Roman" w:eastAsia="Times New Roman" w:hAnsi="Times New Roman"/>
          <w:sz w:val="18"/>
          <w:szCs w:val="18"/>
          <w:i w:val="1"/>
          <w:iCs w:val="1"/>
          <w:color w:val="auto"/>
        </w:rPr>
        <w:t xml:space="preserve">Statement of Profit or Loss and Comprehensive Profit or Loss (Canadian sales tax refund) </w:t>
      </w:r>
      <w:r>
        <w:rPr>
          <w:rFonts w:ascii="Times New Roman" w:cs="Times New Roman" w:eastAsia="Times New Roman" w:hAnsi="Times New Roman"/>
          <w:sz w:val="18"/>
          <w:szCs w:val="18"/>
          <w:color w:val="auto"/>
        </w:rPr>
        <w:t>to the 2024 Annual Financial Statements.</w:t>
      </w:r>
    </w:p>
    <w:p>
      <w:pPr>
        <w:spacing w:after="0" w:line="7" w:lineRule="exact"/>
        <w:rPr>
          <w:sz w:val="20"/>
          <w:szCs w:val="20"/>
          <w:color w:val="auto"/>
        </w:rPr>
      </w:pPr>
    </w:p>
    <w:p>
      <w:pPr>
        <w:jc w:val="both"/>
        <w:ind w:left="400" w:right="40" w:hanging="392"/>
        <w:spacing w:after="0" w:line="231" w:lineRule="auto"/>
        <w:tabs>
          <w:tab w:leader="none" w:pos="400" w:val="left"/>
        </w:tabs>
        <w:numPr>
          <w:ilvl w:val="0"/>
          <w:numId w:val="1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This data excludes the discontinued operations in Rio Cuarto, Argentina and in Paraguay. On May 12, 2025, the Company’s energy provider GMSA, halted the supply of electricity to the Company’s Rio Cuarto Bitcoin data center with energized capacity of 58 MW. On August 11, 2025, three months after being informed that electricity supply was being halted and with no path forward to resume operations in the future, the decision was made to shut down the plant, which was abandoned by September 30, 2025. Additionally, as of September 30, 2025, the Paso Pe facility met the criteria to be classified as held for sale, and all operations in Paraguay were designated as discontinued operations as the Company makes a strategic shift towards HPC/AI infrastructure in North America. Refer to Section 8 - </w:t>
      </w:r>
      <w:r>
        <w:rPr>
          <w:rFonts w:ascii="Times New Roman" w:cs="Times New Roman" w:eastAsia="Times New Roman" w:hAnsi="Times New Roman"/>
          <w:sz w:val="18"/>
          <w:szCs w:val="18"/>
          <w:i w:val="1"/>
          <w:iCs w:val="1"/>
          <w:color w:val="auto"/>
        </w:rPr>
        <w:t>Financial performance (Discontinued operations)</w:t>
      </w:r>
      <w:r>
        <w:rPr>
          <w:rFonts w:ascii="Times New Roman" w:cs="Times New Roman" w:eastAsia="Times New Roman" w:hAnsi="Times New Roman"/>
          <w:sz w:val="18"/>
          <w:szCs w:val="18"/>
          <w:color w:val="auto"/>
        </w:rPr>
        <w:t xml:space="preserve"> and Section 18 -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(The Company’s operations in Rio Cuarto have been suspended due to a halt in its supply of electrical power on May 12, 2025) </w:t>
      </w:r>
      <w:r>
        <w:rPr>
          <w:rFonts w:ascii="Times New Roman" w:cs="Times New Roman" w:eastAsia="Times New Roman" w:hAnsi="Times New Roman"/>
          <w:sz w:val="18"/>
          <w:szCs w:val="18"/>
          <w:color w:val="auto"/>
        </w:rPr>
        <w:t>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1797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10440"/>
        <w:spacing w:after="0"/>
        <w:tabs>
          <w:tab w:leader="none" w:pos="10840" w:val="left"/>
        </w:tabs>
        <w:rPr>
          <w:sz w:val="20"/>
          <w:szCs w:val="20"/>
          <w:color w:val="auto"/>
        </w:rPr>
      </w:pPr>
      <w:r>
        <w:rPr>
          <w:rFonts w:ascii="Times New Roman" w:cs="Times New Roman" w:eastAsia="Times New Roman" w:hAnsi="Times New Roman"/>
          <w:sz w:val="18"/>
          <w:szCs w:val="18"/>
          <w:color w:val="auto"/>
        </w:rPr>
        <w:t>37</w:t>
        <w:tab/>
        <w:t>Page</w:t>
      </w:r>
    </w:p>
    <w:p>
      <w:pPr>
        <w:sectPr>
          <w:pgSz w:w="11900" w:h="16838" w:orient="portrait"/>
          <w:cols w:equalWidth="0" w:num="1">
            <w:col w:w="11240"/>
          </w:cols>
          <w:pgMar w:left="320" w:top="92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NON-IFRS AND OTHER FINANCIAL MEASURES AND RATIOS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ind w:left="640" w:hanging="632"/>
        <w:spacing w:after="0"/>
        <w:tabs>
          <w:tab w:leader="none" w:pos="64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Calculation of Total Cash Cost and Total Cash Cost per BTC from Continuing Operations</w:t>
      </w:r>
      <w:r>
        <w:rPr>
          <w:rFonts w:ascii="Times New Roman" w:cs="Times New Roman" w:eastAsia="Times New Roman" w:hAnsi="Times New Roman"/>
          <w:sz w:val="29"/>
          <w:szCs w:val="29"/>
          <w:b w:val="1"/>
          <w:bCs w:val="1"/>
          <w:color w:val="auto"/>
          <w:vertAlign w:val="superscript"/>
        </w:rPr>
        <w:t>3</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60" w:type="dxa"/>
            <w:vAlign w:val="bottom"/>
            <w:tcBorders>
              <w:bottom w:val="single" w:sz="8" w:color="auto"/>
            </w:tcBorders>
          </w:tcPr>
          <w:p>
            <w:pPr>
              <w:spacing w:after="0"/>
              <w:rPr>
                <w:sz w:val="20"/>
                <w:szCs w:val="20"/>
                <w:color w:val="auto"/>
              </w:rPr>
            </w:pPr>
          </w:p>
        </w:tc>
        <w:tc>
          <w:tcPr>
            <w:tcW w:w="4540" w:type="dxa"/>
            <w:vAlign w:val="bottom"/>
            <w:tcBorders>
              <w:bottom w:val="single" w:sz="8" w:color="auto"/>
            </w:tcBorders>
            <w:gridSpan w:val="4"/>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(U.S.$ in thousands except</w:t>
            </w:r>
          </w:p>
        </w:tc>
        <w:tc>
          <w:tcPr>
            <w:tcW w:w="11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where indicated)</w:t>
            </w:r>
          </w:p>
        </w:tc>
        <w:tc>
          <w:tcPr>
            <w:tcW w:w="112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2024</w:t>
            </w: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13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 Change</w:t>
            </w:r>
          </w:p>
        </w:tc>
        <w:tc>
          <w:tcPr>
            <w:tcW w:w="110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2024</w:t>
            </w:r>
          </w:p>
        </w:tc>
        <w:tc>
          <w:tcPr>
            <w:tcW w:w="12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 Change</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9"/>
              </w:rPr>
              <w:t>% Change</w:t>
            </w:r>
          </w:p>
        </w:tc>
        <w:tc>
          <w:tcPr>
            <w:tcW w:w="0" w:type="dxa"/>
            <w:vAlign w:val="bottom"/>
          </w:tcPr>
          <w:p>
            <w:pPr>
              <w:spacing w:after="0"/>
              <w:rPr>
                <w:sz w:val="1"/>
                <w:szCs w:val="1"/>
                <w:color w:val="auto"/>
              </w:rPr>
            </w:pPr>
          </w:p>
        </w:tc>
      </w:tr>
      <w:tr>
        <w:trPr>
          <w:trHeight w:val="209"/>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72,127</w:t>
            </w:r>
          </w:p>
        </w:tc>
        <w:tc>
          <w:tcPr>
            <w:tcW w:w="1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29,072</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43,055</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148%</w:t>
            </w:r>
          </w:p>
        </w:tc>
        <w:tc>
          <w:tcPr>
            <w:tcW w:w="11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181,684</w:t>
            </w: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117,475</w:t>
            </w:r>
          </w:p>
        </w:tc>
        <w:tc>
          <w:tcPr>
            <w:tcW w:w="12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64,209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4"/>
        </w:trPr>
        <w:tc>
          <w:tcPr>
            <w:tcW w:w="23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General and administrative</w:t>
            </w: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3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17,036</w:t>
            </w:r>
          </w:p>
        </w:tc>
        <w:tc>
          <w:tcPr>
            <w:tcW w:w="10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25,310</w:t>
            </w: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(8,274)</w:t>
            </w: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(33)%</w:t>
            </w:r>
          </w:p>
        </w:tc>
        <w:tc>
          <w:tcPr>
            <w:tcW w:w="11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54,203</w:t>
            </w: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47,809</w:t>
            </w:r>
          </w:p>
        </w:tc>
        <w:tc>
          <w:tcPr>
            <w:tcW w:w="12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6,394</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9"/>
        </w:trPr>
        <w:tc>
          <w:tcPr>
            <w:tcW w:w="2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89,163</w:t>
            </w:r>
          </w:p>
        </w:tc>
        <w:tc>
          <w:tcPr>
            <w:tcW w:w="1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54,382</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34,781</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64%</w:t>
            </w:r>
          </w:p>
        </w:tc>
        <w:tc>
          <w:tcPr>
            <w:tcW w:w="11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235,887</w:t>
            </w: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165,284</w:t>
            </w:r>
          </w:p>
        </w:tc>
        <w:tc>
          <w:tcPr>
            <w:tcW w:w="12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70,603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8"/>
        </w:trPr>
        <w:tc>
          <w:tcPr>
            <w:tcW w:w="2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Depreciation and</w:t>
            </w:r>
          </w:p>
        </w:tc>
        <w:tc>
          <w:tcPr>
            <w:tcW w:w="11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(27,386)</w:t>
            </w: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(73,773)</w:t>
            </w:r>
          </w:p>
        </w:tc>
        <w:tc>
          <w:tcPr>
            <w:tcW w:w="1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120" w:type="dxa"/>
            <w:vAlign w:val="bottom"/>
            <w:vMerge w:val="continue"/>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(13,583)</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(13,803)</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102%</w:t>
            </w:r>
          </w:p>
        </w:tc>
        <w:tc>
          <w:tcPr>
            <w:tcW w:w="1100" w:type="dxa"/>
            <w:vAlign w:val="bottom"/>
            <w:vMerge w:val="continue"/>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(91,884)</w:t>
            </w:r>
          </w:p>
        </w:tc>
        <w:tc>
          <w:tcPr>
            <w:tcW w:w="12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18,111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8"/>
        </w:trPr>
        <w:tc>
          <w:tcPr>
            <w:tcW w:w="2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w:t>
            </w:r>
          </w:p>
        </w:tc>
        <w:tc>
          <w:tcPr>
            <w:tcW w:w="1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w:t>
            </w:r>
          </w:p>
        </w:tc>
        <w:tc>
          <w:tcPr>
            <w:tcW w:w="112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120" w:type="dxa"/>
            <w:vAlign w:val="bottom"/>
            <w:vMerge w:val="continue"/>
            <w:shd w:val="clear" w:color="auto" w:fill="CCEEFF"/>
          </w:tcPr>
          <w:p>
            <w:pPr>
              <w:spacing w:after="0"/>
              <w:rPr>
                <w:sz w:val="20"/>
                <w:szCs w:val="20"/>
                <w:color w:val="auto"/>
              </w:rPr>
            </w:pPr>
          </w:p>
        </w:tc>
        <w:tc>
          <w:tcPr>
            <w:tcW w:w="1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continue"/>
            <w:shd w:val="clear" w:color="auto" w:fill="CCEEFF"/>
          </w:tcPr>
          <w:p>
            <w:pPr>
              <w:spacing w:after="0"/>
              <w:rPr>
                <w:sz w:val="20"/>
                <w:szCs w:val="20"/>
                <w:color w:val="auto"/>
              </w:rPr>
            </w:pP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8,760</w:t>
            </w:r>
          </w:p>
        </w:tc>
        <w:tc>
          <w:tcPr>
            <w:tcW w:w="12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(8,760)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Expenses related to hosting</w:t>
            </w:r>
          </w:p>
        </w:tc>
        <w:tc>
          <w:tcPr>
            <w:tcW w:w="11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(4,714)</w:t>
            </w: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(13,216)</w:t>
            </w:r>
          </w:p>
        </w:tc>
        <w:tc>
          <w:tcPr>
            <w:tcW w:w="1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energy revenues</w:t>
            </w:r>
          </w:p>
        </w:tc>
        <w:tc>
          <w:tcPr>
            <w:tcW w:w="1120" w:type="dxa"/>
            <w:vAlign w:val="bottom"/>
            <w:vMerge w:val="continue"/>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(4,714)</w:t>
            </w: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(100)%</w:t>
            </w:r>
          </w:p>
        </w:tc>
        <w:tc>
          <w:tcPr>
            <w:tcW w:w="1100" w:type="dxa"/>
            <w:vAlign w:val="bottom"/>
            <w:vMerge w:val="continue"/>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(13,216)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57"/>
        </w:trPr>
        <w:tc>
          <w:tcPr>
            <w:tcW w:w="23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Non-cash service expense </w:t>
            </w:r>
            <w:r>
              <w:rPr>
                <w:rFonts w:ascii="Times New Roman" w:cs="Times New Roman" w:eastAsia="Times New Roman" w:hAnsi="Times New Roman"/>
                <w:sz w:val="29"/>
                <w:szCs w:val="29"/>
                <w:color w:val="auto"/>
                <w:vertAlign w:val="superscript"/>
              </w:rPr>
              <w:t>(2)</w:t>
            </w: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(1,027)</w:t>
            </w: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(564)</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(463)</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82%</w:t>
            </w:r>
          </w:p>
        </w:tc>
        <w:tc>
          <w:tcPr>
            <w:tcW w:w="1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(2,777)</w:t>
            </w: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(564)</w:t>
            </w:r>
          </w:p>
        </w:tc>
        <w:tc>
          <w:tcPr>
            <w:tcW w:w="12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(2,213)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198"/>
        </w:trPr>
        <w:tc>
          <w:tcPr>
            <w:tcW w:w="2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Electrical components and</w:t>
            </w:r>
          </w:p>
        </w:tc>
        <w:tc>
          <w:tcPr>
            <w:tcW w:w="11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(1,081)</w:t>
            </w: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(2,788)</w:t>
            </w:r>
          </w:p>
        </w:tc>
        <w:tc>
          <w:tcPr>
            <w:tcW w:w="1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salaries</w:t>
            </w:r>
          </w:p>
        </w:tc>
        <w:tc>
          <w:tcPr>
            <w:tcW w:w="1120" w:type="dxa"/>
            <w:vAlign w:val="bottom"/>
            <w:vMerge w:val="continue"/>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(1,097)</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vMerge w:val="continue"/>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(2,678)</w:t>
            </w: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(2,851)</w:t>
            </w: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(4,968)</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2,117</w:t>
            </w:r>
          </w:p>
        </w:tc>
        <w:tc>
          <w:tcPr>
            <w:tcW w:w="1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(43)%</w:t>
            </w:r>
          </w:p>
        </w:tc>
        <w:tc>
          <w:tcPr>
            <w:tcW w:w="1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(10,687)</w:t>
            </w: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(9,504)</w:t>
            </w:r>
          </w:p>
        </w:tc>
        <w:tc>
          <w:tcPr>
            <w:tcW w:w="12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(1,183)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8"/>
        </w:trPr>
        <w:tc>
          <w:tcPr>
            <w:tcW w:w="2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Costs not associated with</w:t>
            </w:r>
          </w:p>
        </w:tc>
        <w:tc>
          <w:tcPr>
            <w:tcW w:w="11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(9,244)</w:t>
            </w: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(10,915)</w:t>
            </w:r>
          </w:p>
        </w:tc>
        <w:tc>
          <w:tcPr>
            <w:tcW w:w="1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ongoing operations</w:t>
            </w:r>
          </w:p>
        </w:tc>
        <w:tc>
          <w:tcPr>
            <w:tcW w:w="1120" w:type="dxa"/>
            <w:vAlign w:val="bottom"/>
            <w:vMerge w:val="continue"/>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(9,383)</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139</w:t>
            </w: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vMerge w:val="continue"/>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(12,479)</w:t>
            </w:r>
          </w:p>
        </w:tc>
        <w:tc>
          <w:tcPr>
            <w:tcW w:w="12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1,564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8"/>
        </w:trPr>
        <w:tc>
          <w:tcPr>
            <w:tcW w:w="2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prior</w:t>
            </w:r>
          </w:p>
        </w:tc>
        <w:tc>
          <w:tcPr>
            <w:tcW w:w="1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years - energy and</w:t>
            </w:r>
          </w:p>
        </w:tc>
        <w:tc>
          <w:tcPr>
            <w:tcW w:w="1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infrastructure and G&amp;A</w:t>
            </w:r>
          </w:p>
        </w:tc>
        <w:tc>
          <w:tcPr>
            <w:tcW w:w="1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360" w:type="dxa"/>
            <w:vAlign w:val="bottom"/>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 xml:space="preserve">expenses </w:t>
            </w:r>
            <w:r>
              <w:rPr>
                <w:rFonts w:ascii="Times New Roman" w:cs="Times New Roman" w:eastAsia="Times New Roman" w:hAnsi="Times New Roman"/>
                <w:sz w:val="29"/>
                <w:szCs w:val="29"/>
                <w:color w:val="auto"/>
                <w:vertAlign w:val="superscript"/>
              </w:rPr>
              <w:t>(1)</w:t>
            </w: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16,081</w:t>
            </w:r>
          </w:p>
        </w:tc>
        <w:tc>
          <w:tcPr>
            <w:tcW w:w="12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(16,081)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(2,500)</w:t>
            </w: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2,500</w:t>
            </w:r>
          </w:p>
        </w:tc>
        <w:tc>
          <w:tcPr>
            <w:tcW w:w="13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100%</w:t>
            </w:r>
          </w:p>
        </w:tc>
        <w:tc>
          <w:tcPr>
            <w:tcW w:w="11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(5,659)</w:t>
            </w:r>
          </w:p>
        </w:tc>
        <w:tc>
          <w:tcPr>
            <w:tcW w:w="12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5,659</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0"/>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 Cost</w:t>
            </w: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42,860</w:t>
            </w:r>
          </w:p>
        </w:tc>
        <w:tc>
          <w:tcPr>
            <w:tcW w:w="1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22,287</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20,573</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92%</w:t>
            </w:r>
          </w:p>
        </w:tc>
        <w:tc>
          <w:tcPr>
            <w:tcW w:w="11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121,731</w:t>
            </w: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67,357</w:t>
            </w:r>
          </w:p>
        </w:tc>
        <w:tc>
          <w:tcPr>
            <w:tcW w:w="12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54,374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Quantity of BTC earned</w:t>
            </w:r>
          </w:p>
        </w:tc>
        <w:tc>
          <w:tcPr>
            <w:tcW w:w="11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520</w:t>
            </w:r>
          </w:p>
        </w:tc>
        <w:tc>
          <w:tcPr>
            <w:tcW w:w="10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414</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106</w:t>
            </w:r>
          </w:p>
        </w:tc>
        <w:tc>
          <w:tcPr>
            <w:tcW w:w="13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26%</w:t>
            </w:r>
          </w:p>
        </w:tc>
        <w:tc>
          <w:tcPr>
            <w:tcW w:w="11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1,570</w:t>
            </w:r>
          </w:p>
        </w:tc>
        <w:tc>
          <w:tcPr>
            <w:tcW w:w="10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1,562</w:t>
            </w:r>
          </w:p>
        </w:tc>
        <w:tc>
          <w:tcPr>
            <w:tcW w:w="12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7"/>
        </w:trPr>
        <w:tc>
          <w:tcPr>
            <w:tcW w:w="236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Cash Cost per BTC</w:t>
            </w: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3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(in U.S. dollars)</w:t>
            </w: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82,400</w:t>
            </w:r>
          </w:p>
        </w:tc>
        <w:tc>
          <w:tcPr>
            <w:tcW w:w="10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53,800</w:t>
            </w: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28,600</w:t>
            </w:r>
          </w:p>
        </w:tc>
        <w:tc>
          <w:tcPr>
            <w:tcW w:w="13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53%</w:t>
            </w:r>
          </w:p>
        </w:tc>
        <w:tc>
          <w:tcPr>
            <w:tcW w:w="11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77,500</w:t>
            </w: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43,100</w:t>
            </w:r>
          </w:p>
        </w:tc>
        <w:tc>
          <w:tcPr>
            <w:tcW w:w="12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34,400</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left="340" w:hanging="332"/>
        <w:spacing w:after="0" w:line="195" w:lineRule="auto"/>
        <w:tabs>
          <w:tab w:leader="none" w:pos="340" w:val="left"/>
        </w:tabs>
        <w:numPr>
          <w:ilvl w:val="0"/>
          <w:numId w:val="1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Sales tax recovery relating to energy and infrastructure and general and administrative expenses have been allocated to their respective periods; refer to Note 29b - </w:t>
      </w:r>
      <w:r>
        <w:rPr>
          <w:rFonts w:ascii="Times New Roman" w:cs="Times New Roman" w:eastAsia="Times New Roman" w:hAnsi="Times New Roman"/>
          <w:sz w:val="18"/>
          <w:szCs w:val="18"/>
          <w:i w:val="1"/>
          <w:iCs w:val="1"/>
          <w:color w:val="auto"/>
        </w:rPr>
        <w:t>Additional Details to the Statement of Profit or Loss and Comprehensive Profit or Loss (Canadian sales tax refund)</w:t>
      </w:r>
      <w:r>
        <w:rPr>
          <w:rFonts w:ascii="Times New Roman" w:cs="Times New Roman" w:eastAsia="Times New Roman" w:hAnsi="Times New Roman"/>
          <w:sz w:val="18"/>
          <w:szCs w:val="18"/>
          <w:color w:val="auto"/>
        </w:rPr>
        <w:t xml:space="preserve"> to the 2024 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9" w:lineRule="exact"/>
        <w:rPr>
          <w:sz w:val="20"/>
          <w:szCs w:val="20"/>
          <w:color w:val="auto"/>
        </w:rPr>
      </w:pPr>
    </w:p>
    <w:p>
      <w:pPr>
        <w:ind w:left="340" w:hanging="332"/>
        <w:spacing w:after="0"/>
        <w:tabs>
          <w:tab w:leader="none" w:pos="340" w:val="left"/>
        </w:tabs>
        <w:numPr>
          <w:ilvl w:val="0"/>
          <w:numId w:val="1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Non-cash service expense, included in infrastructure, which was exchanged for computational power sold.</w:t>
      </w:r>
    </w:p>
    <w:p>
      <w:pPr>
        <w:spacing w:after="0" w:line="1" w:lineRule="exact"/>
        <w:rPr>
          <w:sz w:val="20"/>
          <w:szCs w:val="20"/>
          <w:color w:val="auto"/>
        </w:rPr>
      </w:pPr>
    </w:p>
    <w:p>
      <w:pPr>
        <w:jc w:val="both"/>
        <w:ind w:left="340" w:hanging="332"/>
        <w:spacing w:after="0"/>
        <w:tabs>
          <w:tab w:leader="none" w:pos="340" w:val="left"/>
        </w:tabs>
        <w:numPr>
          <w:ilvl w:val="0"/>
          <w:numId w:val="1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This data excludes the discontinued operations in Rio Cuarto, Argentina and in Paraguay. On May 12, 2025, the Company’s energy provider GMSA, halted the supply of electricity to the Company’s Rio Cuarto Bitcoin data center with energized capacity of 58 MW. On August 11, 2025, three months after being informed that electricity supply was being halted and with no path forward to resume operations in the future, the decision was made to shut down the plant, which was abandoned by September 30, 2025. Additionally, as of September 30, 2025, the Paso Pe facility met the criteria to be classified as held for sale, and all operations in Paraguay were designated as discontinued operations as the Company makes a strategic shift towards HPC/AI infrastructure in North America. Refer to Section 8 - </w:t>
      </w:r>
      <w:r>
        <w:rPr>
          <w:rFonts w:ascii="Times New Roman" w:cs="Times New Roman" w:eastAsia="Times New Roman" w:hAnsi="Times New Roman"/>
          <w:sz w:val="18"/>
          <w:szCs w:val="18"/>
          <w:i w:val="1"/>
          <w:iCs w:val="1"/>
          <w:color w:val="auto"/>
        </w:rPr>
        <w:t>Financial performance (Discontinued operations)</w:t>
      </w:r>
      <w:r>
        <w:rPr>
          <w:rFonts w:ascii="Times New Roman" w:cs="Times New Roman" w:eastAsia="Times New Roman" w:hAnsi="Times New Roman"/>
          <w:sz w:val="18"/>
          <w:szCs w:val="18"/>
          <w:color w:val="auto"/>
        </w:rPr>
        <w:t xml:space="preserve"> and Section 18 -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(The Company’s operations in Rio Cuarto have been suspended due to a halt in its supply of electrical power on May 12, 2025) </w:t>
      </w:r>
      <w:r>
        <w:rPr>
          <w:rFonts w:ascii="Times New Roman" w:cs="Times New Roman" w:eastAsia="Times New Roman" w:hAnsi="Times New Roman"/>
          <w:sz w:val="18"/>
          <w:szCs w:val="18"/>
          <w:color w:val="auto"/>
        </w:rPr>
        <w:t>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363220</wp:posOffset>
            </wp:positionV>
            <wp:extent cx="7132320" cy="1797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10440"/>
        <w:spacing w:after="0"/>
        <w:tabs>
          <w:tab w:leader="none" w:pos="10840" w:val="left"/>
        </w:tabs>
        <w:rPr>
          <w:sz w:val="20"/>
          <w:szCs w:val="20"/>
          <w:color w:val="auto"/>
        </w:rPr>
      </w:pPr>
      <w:r>
        <w:rPr>
          <w:rFonts w:ascii="Times New Roman" w:cs="Times New Roman" w:eastAsia="Times New Roman" w:hAnsi="Times New Roman"/>
          <w:sz w:val="18"/>
          <w:szCs w:val="18"/>
          <w:color w:val="auto"/>
        </w:rPr>
        <w:t>38</w:t>
        <w:tab/>
        <w:t>Page</w:t>
      </w:r>
    </w:p>
    <w:p>
      <w:pPr>
        <w:sectPr>
          <w:pgSz w:w="11900" w:h="16838" w:orient="portrait"/>
          <w:cols w:equalWidth="0" w:num="1">
            <w:col w:w="11240"/>
          </w:cols>
          <w:pgMar w:left="320" w:top="92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LIQUIDITY AND CAPITAL RESOURCES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discussed below, the Company’s current financing strategy involves (a) strategically selling the BTC it earns and the BTC it holds in treasury and (b) utilizing short-term debt, long-term debt and equity instruments (including the 2024 ATM Program) to fund its expansion activities, operating expenses and debt service requirements. The Company may require additional funds to complete its 2025 and 2026 growth plans discussed in Section 7 - </w:t>
      </w:r>
      <w:r>
        <w:rPr>
          <w:rFonts w:ascii="Times New Roman" w:cs="Times New Roman" w:eastAsia="Times New Roman" w:hAnsi="Times New Roman"/>
          <w:sz w:val="18"/>
          <w:szCs w:val="18"/>
          <w:i w:val="1"/>
          <w:iCs w:val="1"/>
          <w:color w:val="auto"/>
        </w:rPr>
        <w:t>HPC/AI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Infrastructure and BTC Mining Expansion Projects </w:t>
      </w:r>
      <w:r>
        <w:rPr>
          <w:rFonts w:ascii="Times New Roman" w:cs="Times New Roman" w:eastAsia="Times New Roman" w:hAnsi="Times New Roman"/>
          <w:sz w:val="18"/>
          <w:szCs w:val="18"/>
          <w:color w:val="auto"/>
        </w:rPr>
        <w:t>of this MD&amp;A.</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the Company operates through its subsidiaries, there are no material legal restrictions and generally no practical restrictions on the ability of the subsidiaries to transfer funds to the Company, except that the Company may be subject to practical limitations on transferring funds from its Argentinian subsidiary. Beginning in the second half of 2019, the Argentine government instituted certain foreign currency exchange controls that could restrict the Company’s Argentinian subsidiary’s access to foreign currency, including the U.S. dollar, for making payments abroad or transferring funds to its parent without prior authorization from the Argentine Central Bank. These regulations have continued to evolve and may become more stringent depending on the Argentine government´s perception of the availability of sufficient national foreign currency reserves. Further, recent changes, as well as any future changes, in national and provincial leadership may result in changing governmental perceptions and actions surrounding importation policies and the availability of foreign currency reserves for commerce. In late 2023, Argentina held a presidential election resulting in the election of a new president, Javier Milei. Many of the foreign exchange restrictions implemented in 2019 are still in place, particularly for imports and dividend payments related to transactions before December 13, 2023.</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11, 2025, the International Monetary Fund approved a new $20 billion, 48-month support program for Argentina. At the same time, the Central Bank of Argentina introduced a floating exchange rate system ranging from 1,000 to 1,400 ARS per USD, gradually widening about 1% per month. The central bank will intervene if rates move outside this band, directly affecting the money supply. Capital and currency controls were also eased, improving access to the official exchange market for individuals, businesses, importers, and foreign dividend payments (from 2025 onward). The central bank has issued BOPREAL bonds to address pre-2025 undistributed dividends.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United States government announced in October 2025 efforts to support Argentina with approximately $40.0 billion in total funding, including $20.0 billion through currency exchange stabilization measures and $20.0 billion in loans facilitated by major U.S. banks. These initiatives aim to strengthen Argentina’s foreign reserves, stabilize the peso, and enhance liquidity in the financial system.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impact of these changes on Bitfarms remains uncertain as of the date this MD&amp;A.</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sent funds periodically to its Argentinian subsidiary to fund its expansion and operations based on supplier invoices that are paid by the Argentinian subsidiary. The Argentinian subsidiary provided Hashrate services for a market-based fee to its Canadian parent which, in turn, purchased that Hashrate to consolidate and sell to a third-party Mining Pool for which the Canadian parent is compensated in BTC. Accordingly, the Argentinian subsidiary is not structured or contemplated to generate substantial cash flows above its internal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803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0440"/>
        <w:spacing w:after="0"/>
        <w:tabs>
          <w:tab w:leader="none" w:pos="10840" w:val="left"/>
        </w:tabs>
        <w:rPr>
          <w:sz w:val="20"/>
          <w:szCs w:val="20"/>
          <w:color w:val="auto"/>
        </w:rPr>
      </w:pPr>
      <w:r>
        <w:rPr>
          <w:rFonts w:ascii="Times New Roman" w:cs="Times New Roman" w:eastAsia="Times New Roman" w:hAnsi="Times New Roman"/>
          <w:sz w:val="18"/>
          <w:szCs w:val="18"/>
          <w:color w:val="auto"/>
        </w:rPr>
        <w:t>39</w:t>
        <w:tab/>
        <w:t>Page</w:t>
      </w:r>
    </w:p>
    <w:p>
      <w:pPr>
        <w:sectPr>
          <w:pgSz w:w="11900" w:h="16838" w:orient="portrait"/>
          <w:cols w:equalWidth="0" w:num="1">
            <w:col w:w="11240"/>
          </w:cols>
          <w:pgMar w:left="320" w:top="92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11. LIQUIDITY AND CAPITAL RESOURCES </w:t>
            </w:r>
            <w:r>
              <w:rPr>
                <w:rFonts w:ascii="Times New Roman" w:cs="Times New Roman" w:eastAsia="Times New Roman" w:hAnsi="Times New Roman"/>
                <w:sz w:val="18"/>
                <w:szCs w:val="18"/>
                <w:color w:val="auto"/>
              </w:rPr>
              <w:t>(Continued)</w:t>
            </w:r>
          </w:p>
        </w:tc>
        <w:tc>
          <w:tcPr>
            <w:tcW w:w="16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595"/>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50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Cash Flows</w:t>
            </w:r>
            <w:r>
              <w:rPr>
                <w:rFonts w:ascii="Times New Roman" w:cs="Times New Roman" w:eastAsia="Times New Roman" w:hAnsi="Times New Roman"/>
                <w:sz w:val="29"/>
                <w:szCs w:val="29"/>
                <w:b w:val="1"/>
                <w:bCs w:val="1"/>
                <w:color w:val="auto"/>
                <w:vertAlign w:val="superscript"/>
              </w:rPr>
              <w:t>1</w:t>
            </w:r>
          </w:p>
        </w:tc>
        <w:tc>
          <w:tcPr>
            <w:tcW w:w="1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96"/>
        </w:trPr>
        <w:tc>
          <w:tcPr>
            <w:tcW w:w="42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200" w:type="dxa"/>
            <w:vAlign w:val="bottom"/>
            <w:tcBorders>
              <w:bottom w:val="single" w:sz="8" w:color="auto"/>
            </w:tcBorders>
          </w:tcPr>
          <w:p>
            <w:pPr>
              <w:spacing w:after="0"/>
              <w:rPr>
                <w:sz w:val="24"/>
                <w:szCs w:val="24"/>
                <w:color w:val="auto"/>
              </w:rPr>
            </w:pPr>
          </w:p>
        </w:tc>
      </w:tr>
      <w:tr>
        <w:trPr>
          <w:trHeight w:val="209"/>
        </w:trPr>
        <w:tc>
          <w:tcPr>
            <w:tcW w:w="5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5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3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 Change</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09"/>
        </w:trPr>
        <w:tc>
          <w:tcPr>
            <w:tcW w:w="55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beginning of the period</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59,542</w:t>
            </w:r>
          </w:p>
        </w:tc>
        <w:tc>
          <w:tcPr>
            <w:tcW w:w="15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84,038</w:t>
            </w: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(24,496)</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0"/>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(used in):</w:t>
            </w:r>
          </w:p>
        </w:tc>
        <w:tc>
          <w:tcPr>
            <w:tcW w:w="16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(152,944)</w:t>
            </w:r>
          </w:p>
        </w:tc>
        <w:tc>
          <w:tcPr>
            <w:tcW w:w="15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(97,160)</w:t>
            </w:r>
          </w:p>
        </w:tc>
        <w:tc>
          <w:tcPr>
            <w:tcW w:w="13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(55,784)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5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120,180</w:t>
            </w:r>
          </w:p>
        </w:tc>
        <w:tc>
          <w:tcPr>
            <w:tcW w:w="15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(157,598)</w:t>
            </w:r>
          </w:p>
        </w:tc>
        <w:tc>
          <w:tcPr>
            <w:tcW w:w="13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277,778</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5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85,082</w:t>
            </w:r>
          </w:p>
        </w:tc>
        <w:tc>
          <w:tcPr>
            <w:tcW w:w="15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243,664</w:t>
            </w:r>
          </w:p>
        </w:tc>
        <w:tc>
          <w:tcPr>
            <w:tcW w:w="13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(158,582)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55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Exchange rate differences on currency translation</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15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(31)</w:t>
            </w:r>
          </w:p>
        </w:tc>
        <w:tc>
          <w:tcPr>
            <w:tcW w:w="13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123</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17"/>
        </w:trPr>
        <w:tc>
          <w:tcPr>
            <w:tcW w:w="55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restricted cash, end of the period</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111,952</w:t>
            </w:r>
          </w:p>
        </w:tc>
        <w:tc>
          <w:tcPr>
            <w:tcW w:w="15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72,913</w:t>
            </w:r>
          </w:p>
        </w:tc>
        <w:tc>
          <w:tcPr>
            <w:tcW w:w="13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39,039</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Operating Activities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Cash flows used in operating activities increased by $55.8 million during YTD Q3 2025 compared to YTD Q3 2024. The Company’s operating cash flows are negative as the proceeds from the BTC sold from its Mining operations are classified within investing activities.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cash flow used in operating activities is driven primarily by:</w:t>
      </w:r>
    </w:p>
    <w:p>
      <w:pPr>
        <w:spacing w:after="0" w:line="27" w:lineRule="exact"/>
        <w:rPr>
          <w:sz w:val="20"/>
          <w:szCs w:val="20"/>
          <w:color w:val="auto"/>
        </w:rPr>
      </w:pPr>
    </w:p>
    <w:p>
      <w:pPr>
        <w:ind w:left="660" w:hanging="328"/>
        <w:spacing w:after="0" w:line="250" w:lineRule="auto"/>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Higher cash G&amp;A expenses from continuing operations, net of sales tax refund, of $5.2 million as explained in Section 8C -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Performance - General &amp; Administrative expenses </w:t>
      </w:r>
      <w:r>
        <w:rPr>
          <w:rFonts w:ascii="Times New Roman" w:cs="Times New Roman" w:eastAsia="Times New Roman" w:hAnsi="Times New Roman"/>
          <w:sz w:val="18"/>
          <w:szCs w:val="18"/>
          <w:color w:val="auto"/>
        </w:rPr>
        <w:t>of this MD&amp;A; and</w:t>
      </w:r>
    </w:p>
    <w:p>
      <w:pPr>
        <w:jc w:val="both"/>
        <w:ind w:left="660" w:hanging="328"/>
        <w:spacing w:after="0" w:line="255" w:lineRule="auto"/>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Higher cash energy costs of $29.5 million from continuing operations, including the sales tax recovery of $17.0 million recognized during YTD Q3 2024 for energy costs, and infrastructure expenses of $36.2 million, as explained in Section 8B - </w:t>
      </w:r>
      <w:r>
        <w:rPr>
          <w:rFonts w:ascii="Times New Roman" w:cs="Times New Roman" w:eastAsia="Times New Roman" w:hAnsi="Times New Roman"/>
          <w:sz w:val="18"/>
          <w:szCs w:val="18"/>
          <w:i w:val="1"/>
          <w:iCs w:val="1"/>
          <w:color w:val="auto"/>
        </w:rPr>
        <w:t>Financial Performance - Cost of Revenues</w:t>
      </w:r>
      <w:r>
        <w:rPr>
          <w:rFonts w:ascii="Times New Roman" w:cs="Times New Roman" w:eastAsia="Times New Roman" w:hAnsi="Times New Roman"/>
          <w:sz w:val="18"/>
          <w:szCs w:val="18"/>
          <w:color w:val="auto"/>
        </w:rPr>
        <w:t xml:space="preserve"> of this MD&amp;A.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partially offset by:</w:t>
      </w:r>
    </w:p>
    <w:p>
      <w:pPr>
        <w:spacing w:after="0" w:line="27" w:lineRule="exact"/>
        <w:rPr>
          <w:sz w:val="20"/>
          <w:szCs w:val="20"/>
          <w:color w:val="auto"/>
        </w:rPr>
      </w:pPr>
    </w:p>
    <w:p>
      <w:pPr>
        <w:ind w:left="660" w:hanging="328"/>
        <w:spacing w:after="0"/>
        <w:tabs>
          <w:tab w:leader="none" w:pos="66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increase in working capital of $23.5 million as explained in Section 12 </w:t>
      </w:r>
      <w:r>
        <w:rPr>
          <w:rFonts w:ascii="Times New Roman" w:cs="Times New Roman" w:eastAsia="Times New Roman" w:hAnsi="Times New Roman"/>
          <w:sz w:val="18"/>
          <w:szCs w:val="18"/>
          <w:i w:val="1"/>
          <w:iCs w:val="1"/>
          <w:color w:val="auto"/>
        </w:rPr>
        <w:t>- Financial Position</w:t>
      </w:r>
      <w:r>
        <w:rPr>
          <w:rFonts w:ascii="Times New Roman" w:cs="Times New Roman" w:eastAsia="Times New Roman" w:hAnsi="Times New Roman"/>
          <w:sz w:val="18"/>
          <w:szCs w:val="18"/>
          <w:color w:val="auto"/>
        </w:rPr>
        <w:t xml:space="preserve"> of this MD&amp;A.</w:t>
      </w:r>
    </w:p>
    <w:p>
      <w:pPr>
        <w:spacing w:after="0" w:line="220" w:lineRule="exact"/>
        <w:rPr>
          <w:rFonts w:ascii="Times New Roman" w:cs="Times New Roman" w:eastAsia="Times New Roman" w:hAnsi="Times New Roman"/>
          <w:sz w:val="18"/>
          <w:szCs w:val="18"/>
          <w:color w:val="auto"/>
        </w:rPr>
      </w:pPr>
    </w:p>
    <w:p>
      <w:pPr>
        <w:ind w:left="440" w:right="40" w:hanging="378"/>
        <w:spacing w:after="0" w:line="235" w:lineRule="auto"/>
        <w:rPr>
          <w:rFonts w:ascii="Times New Roman" w:cs="Times New Roman" w:eastAsia="Times New Roman" w:hAnsi="Times New Roman"/>
          <w:sz w:val="18"/>
          <w:szCs w:val="18"/>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Cash flows include the discontinued operations in Rio Cuarto, Argentina and in Paraguay. On May 12, 2025, the Company’s energy provider GMSA, halted the supply of electricity to the Company’s Rio Cuarto Bitcoin data center with energized capacity of 58 MW. On August 11, 2025, three months after being informed that electricity supply was being halted and with no path forward to resume operations in the future, the decision was made to shut down the plant, which was abandoned by September 30, 2025. Additionally, as of September 30, 2025, the Paso Pe facility met the criteria to be classified as held for sale, and all operations in Paraguay were designated as discontinued operations as the Company makes a strategic shift towards HPC/AI infrastructure in North America. Refer to Section 8 - </w:t>
      </w:r>
      <w:r>
        <w:rPr>
          <w:rFonts w:ascii="Times New Roman" w:cs="Times New Roman" w:eastAsia="Times New Roman" w:hAnsi="Times New Roman"/>
          <w:sz w:val="18"/>
          <w:szCs w:val="18"/>
          <w:i w:val="1"/>
          <w:iCs w:val="1"/>
          <w:color w:val="auto"/>
        </w:rPr>
        <w:t>Financial performance (Discontinued operations)</w:t>
      </w:r>
      <w:r>
        <w:rPr>
          <w:rFonts w:ascii="Times New Roman" w:cs="Times New Roman" w:eastAsia="Times New Roman" w:hAnsi="Times New Roman"/>
          <w:sz w:val="18"/>
          <w:szCs w:val="18"/>
          <w:color w:val="auto"/>
        </w:rPr>
        <w:t xml:space="preserve"> and Section 18 -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(The Company’s operations in Rio Cuarto have been suspended due to a halt in its supply of electrical power on May 12, 2025) </w:t>
      </w:r>
      <w:r>
        <w:rPr>
          <w:rFonts w:ascii="Times New Roman" w:cs="Times New Roman" w:eastAsia="Times New Roman" w:hAnsi="Times New Roman"/>
          <w:sz w:val="18"/>
          <w:szCs w:val="18"/>
          <w:color w:val="auto"/>
        </w:rPr>
        <w:t>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-1104265</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1797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440"/>
        <w:spacing w:after="0"/>
        <w:tabs>
          <w:tab w:leader="none" w:pos="10840" w:val="left"/>
        </w:tabs>
        <w:rPr>
          <w:sz w:val="20"/>
          <w:szCs w:val="20"/>
          <w:color w:val="auto"/>
        </w:rPr>
      </w:pPr>
      <w:r>
        <w:rPr>
          <w:rFonts w:ascii="Times New Roman" w:cs="Times New Roman" w:eastAsia="Times New Roman" w:hAnsi="Times New Roman"/>
          <w:sz w:val="18"/>
          <w:szCs w:val="18"/>
          <w:color w:val="auto"/>
        </w:rPr>
        <w:t>40</w:t>
        <w:tab/>
        <w:t>Page</w:t>
      </w:r>
    </w:p>
    <w:p>
      <w:pPr>
        <w:sectPr>
          <w:pgSz w:w="11900" w:h="16838" w:orient="portrait"/>
          <w:cols w:equalWidth="0" w:num="1">
            <w:col w:w="11240"/>
          </w:cols>
          <w:pgMar w:left="320" w:top="92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LIQUIDITY AND CAPITAL RESOURCES </w:t>
      </w:r>
      <w:r>
        <w:rPr>
          <w:rFonts w:ascii="Times New Roman" w:cs="Times New Roman" w:eastAsia="Times New Roman" w:hAnsi="Times New Roman"/>
          <w:sz w:val="18"/>
          <w:szCs w:val="18"/>
          <w:color w:val="auto"/>
        </w:rPr>
        <w:t>(Continued)</w:t>
      </w:r>
    </w:p>
    <w:p>
      <w:pPr>
        <w:spacing w:after="0" w:line="172" w:lineRule="exact"/>
        <w:rPr>
          <w:sz w:val="20"/>
          <w:szCs w:val="20"/>
          <w:color w:val="auto"/>
        </w:rPr>
      </w:pPr>
    </w:p>
    <w:p>
      <w:pPr>
        <w:ind w:left="660" w:hanging="652"/>
        <w:spacing w:after="0"/>
        <w:tabs>
          <w:tab w:leader="none" w:pos="66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Flows</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(Continued)</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7" w:lineRule="exact"/>
        <w:rPr>
          <w:rFonts w:ascii="Times New Roman" w:cs="Times New Roman" w:eastAsia="Times New Roman" w:hAnsi="Times New Roman"/>
          <w:sz w:val="18"/>
          <w:szCs w:val="18"/>
          <w:b w:val="1"/>
          <w:bCs w:val="1"/>
          <w:color w:val="auto"/>
        </w:rPr>
      </w:pPr>
    </w:p>
    <w:p>
      <w:pPr>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flows from investing activities increased by $277.8 million during YTD Q3 2025 compared to YTD Q3 2024. The increase in cash flow from investing activities is driven primarily by:</w:t>
      </w:r>
    </w:p>
    <w:p>
      <w:pPr>
        <w:ind w:left="660" w:right="20" w:hanging="328"/>
        <w:spacing w:after="0" w:line="250" w:lineRule="auto"/>
        <w:tabs>
          <w:tab w:leader="none" w:pos="66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proceeds from sale of digital assets earned of $48.0 million as a result of higher BTC prices when selling 1,665 BTC in YTD Q3 2025 compared to lower BTC prices when selling 1,917 BTC in YTD Q3 2024;</w:t>
      </w:r>
    </w:p>
    <w:p>
      <w:pPr>
        <w:ind w:left="660" w:hanging="328"/>
        <w:spacing w:after="0" w:line="250" w:lineRule="auto"/>
        <w:tabs>
          <w:tab w:leader="none" w:pos="66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$58.1 million of net additions of PPE during YTD Q3 2025, compared to $166.1 million for the same period in 2024, primarily due to the acquisition of Miners and infrastructure build-out;</w:t>
      </w:r>
    </w:p>
    <w:p>
      <w:pPr>
        <w:ind w:left="660" w:hanging="328"/>
        <w:spacing w:after="0"/>
        <w:tabs>
          <w:tab w:leader="none" w:pos="66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 million of refundable deposits paid in YTD Q3 2024, compared to nil in YTD Q3 2025;</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$13.3 million of net proceeds from disposition of derivative assets and liabilities in YTD Q3 2025, as described in Note 10 - </w:t>
      </w:r>
      <w:r>
        <w:rPr>
          <w:rFonts w:ascii="Times New Roman" w:cs="Times New Roman" w:eastAsia="Times New Roman" w:hAnsi="Times New Roman"/>
          <w:sz w:val="18"/>
          <w:szCs w:val="18"/>
          <w:i w:val="1"/>
          <w:iCs w:val="1"/>
          <w:color w:val="auto"/>
        </w:rPr>
        <w:t>Derivative Assets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to the Financial Statements, compared to nil in YTD Q3 2024; and</w:t>
      </w:r>
    </w:p>
    <w:p>
      <w:pPr>
        <w:ind w:left="660" w:right="20" w:hanging="328"/>
        <w:spacing w:after="0" w:line="250" w:lineRule="auto"/>
        <w:tabs>
          <w:tab w:leader="none" w:pos="66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 million in advance payments YTD Q3 2025, compared to $96.5 million in advanced payments during YTD Q3 2024, mainly for the fleet upgrade; and</w:t>
      </w:r>
    </w:p>
    <w:p>
      <w:pPr>
        <w:ind w:left="660" w:hanging="328"/>
        <w:spacing w:after="0" w:line="260" w:lineRule="auto"/>
        <w:tabs>
          <w:tab w:leader="none" w:pos="66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$63.0 million of proceeds received from the sale of the Yguazu Mining Site, as described in Note 6 - </w:t>
      </w:r>
      <w:r>
        <w:rPr>
          <w:rFonts w:ascii="Times New Roman" w:cs="Times New Roman" w:eastAsia="Times New Roman" w:hAnsi="Times New Roman"/>
          <w:sz w:val="18"/>
          <w:szCs w:val="18"/>
          <w:i w:val="1"/>
          <w:iCs w:val="1"/>
          <w:color w:val="auto"/>
        </w:rPr>
        <w:t>Sale of the Yguazu Mining Site</w:t>
      </w:r>
      <w:r>
        <w:rPr>
          <w:rFonts w:ascii="Times New Roman" w:cs="Times New Roman" w:eastAsia="Times New Roman" w:hAnsi="Times New Roman"/>
          <w:sz w:val="18"/>
          <w:szCs w:val="18"/>
          <w:color w:val="auto"/>
        </w:rPr>
        <w:t xml:space="preserve"> to the Financial Statements.</w:t>
      </w:r>
    </w:p>
    <w:p>
      <w:pPr>
        <w:spacing w:after="0" w:line="179" w:lineRule="exact"/>
        <w:rPr>
          <w:sz w:val="20"/>
          <w:szCs w:val="20"/>
          <w:color w:val="auto"/>
        </w:rPr>
      </w:pPr>
    </w:p>
    <w:p>
      <w:pPr>
        <w:ind w:left="660" w:hanging="328"/>
        <w:spacing w:after="0" w:line="284" w:lineRule="auto"/>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acquisition of Stronghold which included $48.1 million of cash payment in YTD Q3 2025, as described in Note 5 -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xml:space="preserve"> to the Financial Statements, compared to nil in YTD Q3 2024.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31" w:lineRule="exact"/>
        <w:rPr>
          <w:sz w:val="20"/>
          <w:szCs w:val="20"/>
          <w:color w:val="auto"/>
        </w:rPr>
      </w:pPr>
    </w:p>
    <w:p>
      <w:pPr>
        <w:ind w:right="1100"/>
        <w:spacing w:after="0" w:line="250" w:lineRule="auto"/>
        <w:rPr>
          <w:sz w:val="20"/>
          <w:szCs w:val="20"/>
          <w:color w:val="auto"/>
        </w:rPr>
      </w:pPr>
      <w:r>
        <w:rPr>
          <w:rFonts w:ascii="Times New Roman" w:cs="Times New Roman" w:eastAsia="Times New Roman" w:hAnsi="Times New Roman"/>
          <w:sz w:val="18"/>
          <w:szCs w:val="18"/>
          <w:color w:val="auto"/>
        </w:rPr>
        <w:t xml:space="preserve">Cash flows from financing activities decreased by $158.6 million from $243.7 million for YTD Q3 2024 to $85.1 million for YTD Q3 2025. YTD </w:t>
      </w:r>
      <w:r>
        <w:rPr>
          <w:rFonts w:ascii="Times New Roman" w:cs="Times New Roman" w:eastAsia="Times New Roman" w:hAnsi="Times New Roman"/>
          <w:sz w:val="18"/>
          <w:szCs w:val="18"/>
          <w:i w:val="1"/>
          <w:iCs w:val="1"/>
          <w:color w:val="auto"/>
        </w:rPr>
        <w:t>Q3 2025</w:t>
      </w:r>
    </w:p>
    <w:p>
      <w:pPr>
        <w:spacing w:after="0" w:line="1" w:lineRule="exact"/>
        <w:rPr>
          <w:sz w:val="20"/>
          <w:szCs w:val="20"/>
          <w:color w:val="auto"/>
        </w:rPr>
      </w:pPr>
    </w:p>
    <w:p>
      <w:pPr>
        <w:ind w:left="660" w:hanging="328"/>
        <w:spacing w:after="0"/>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raised: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through the Macquarie credit facility and incurred $3.2 million of professional fees;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$38.0 million of net proceeds from its 2024 ATM Program as discussed below;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$11.4 million of net proceeds from the exercise of stock options and warrants.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raised were partially offset by payment of $10.0 million related to share purchased and cancelled.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YTD </w:t>
      </w:r>
      <w:r>
        <w:rPr>
          <w:rFonts w:ascii="Times New Roman" w:cs="Times New Roman" w:eastAsia="Times New Roman" w:hAnsi="Times New Roman"/>
          <w:sz w:val="18"/>
          <w:szCs w:val="18"/>
          <w:i w:val="1"/>
          <w:iCs w:val="1"/>
          <w:color w:val="auto"/>
        </w:rPr>
        <w:t>Q3 2024</w:t>
      </w:r>
    </w:p>
    <w:p>
      <w:pPr>
        <w:spacing w:after="0" w:line="29" w:lineRule="exact"/>
        <w:rPr>
          <w:sz w:val="20"/>
          <w:szCs w:val="20"/>
          <w:color w:val="auto"/>
        </w:rPr>
      </w:pPr>
    </w:p>
    <w:p>
      <w:pPr>
        <w:ind w:left="660" w:hanging="328"/>
        <w:spacing w:after="0"/>
        <w:tabs>
          <w:tab w:leader="none" w:pos="6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raised: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$240.3 million of net proceeds from its 2024 ATM Program as discussed below;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 million of net proceeds from the exercise of stock options and warrants.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raised were partially offset by scheduled and one-time payments relating to the principal repayments of $4.0 million to fully repay the NYDIG loan, which matured and expired in February 2024.</w:t>
      </w:r>
    </w:p>
    <w:p>
      <w:pPr>
        <w:ind w:left="440" w:right="40" w:hanging="136"/>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Cash flows include the discontinued operations in Rio Cuarto, Argentina and in Paraguay. On May 12, 2025, the Company’s energy provider GMSA, halted the supply of electricity to the Company’s Rio Cuarto Bitcoin data center with energized capacity of 58 MW. On August 11, 2025, three months after being informed that electricity supply was being halted and with no path forward to resume operations in the future, the decision was made to shut down the plant, which was abandoned by September 30, 2025. Additionally, as of September 30, 2025, the Paso Pe facility met the criteria to be classified as held for sale, and all operations in Paraguay were designated as discontinued operations as the Company makes a strategic shift towards HPC/AI infrastructure in North America. Refer to Section 8 - </w:t>
      </w:r>
      <w:r>
        <w:rPr>
          <w:rFonts w:ascii="Times New Roman" w:cs="Times New Roman" w:eastAsia="Times New Roman" w:hAnsi="Times New Roman"/>
          <w:sz w:val="18"/>
          <w:szCs w:val="18"/>
          <w:i w:val="1"/>
          <w:iCs w:val="1"/>
          <w:color w:val="auto"/>
        </w:rPr>
        <w:t>Financial performance (Discontinued operations)</w:t>
      </w:r>
      <w:r>
        <w:rPr>
          <w:rFonts w:ascii="Times New Roman" w:cs="Times New Roman" w:eastAsia="Times New Roman" w:hAnsi="Times New Roman"/>
          <w:sz w:val="18"/>
          <w:szCs w:val="18"/>
          <w:color w:val="auto"/>
        </w:rPr>
        <w:t xml:space="preserve"> and Section 18 -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(The Company’s operations in Rio Cuarto have been suspended due to a halt in its supply of electrical power on May 12, 2025) </w:t>
      </w:r>
      <w:r>
        <w:rPr>
          <w:rFonts w:ascii="Times New Roman" w:cs="Times New Roman" w:eastAsia="Times New Roman" w:hAnsi="Times New Roman"/>
          <w:sz w:val="18"/>
          <w:szCs w:val="18"/>
          <w:color w:val="auto"/>
        </w:rPr>
        <w:t>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-1102995</wp:posOffset>
            </wp:positionV>
            <wp:extent cx="713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803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10440"/>
        <w:spacing w:after="0"/>
        <w:tabs>
          <w:tab w:leader="none" w:pos="10840" w:val="left"/>
        </w:tabs>
        <w:rPr>
          <w:sz w:val="20"/>
          <w:szCs w:val="20"/>
          <w:color w:val="auto"/>
        </w:rPr>
      </w:pPr>
      <w:r>
        <w:rPr>
          <w:rFonts w:ascii="Times New Roman" w:cs="Times New Roman" w:eastAsia="Times New Roman" w:hAnsi="Times New Roman"/>
          <w:sz w:val="18"/>
          <w:szCs w:val="18"/>
          <w:color w:val="auto"/>
        </w:rPr>
        <w:t>41</w:t>
        <w:tab/>
        <w:t>Page</w:t>
      </w:r>
    </w:p>
    <w:p>
      <w:pPr>
        <w:sectPr>
          <w:pgSz w:w="11900" w:h="16838" w:orient="portrait"/>
          <w:cols w:equalWidth="0" w:num="1">
            <w:col w:w="11240"/>
          </w:cols>
          <w:pgMar w:left="320" w:top="92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LIQUIDITY AND CAPITAL RESOURCES </w:t>
      </w:r>
      <w:r>
        <w:rPr>
          <w:rFonts w:ascii="Times New Roman" w:cs="Times New Roman" w:eastAsia="Times New Roman" w:hAnsi="Times New Roman"/>
          <w:sz w:val="18"/>
          <w:szCs w:val="18"/>
          <w:color w:val="auto"/>
        </w:rPr>
        <w:t>(Continued)</w:t>
      </w:r>
    </w:p>
    <w:p>
      <w:pPr>
        <w:spacing w:after="0" w:line="92" w:lineRule="exact"/>
        <w:rPr>
          <w:sz w:val="20"/>
          <w:szCs w:val="20"/>
          <w:color w:val="auto"/>
        </w:rPr>
      </w:pPr>
    </w:p>
    <w:p>
      <w:pPr>
        <w:ind w:left="660" w:hanging="652"/>
        <w:spacing w:after="0"/>
        <w:tabs>
          <w:tab w:leader="none" w:pos="660" w:val="left"/>
        </w:tabs>
        <w:numPr>
          <w:ilvl w:val="0"/>
          <w:numId w:val="121"/>
        </w:numPr>
        <w:rPr>
          <w:rFonts w:ascii="Times New Roman" w:cs="Times New Roman" w:eastAsia="Times New Roman" w:hAnsi="Times New Roman"/>
          <w:sz w:val="36"/>
          <w:szCs w:val="36"/>
          <w:b w:val="1"/>
          <w:bCs w:val="1"/>
          <w:color w:val="auto"/>
          <w:vertAlign w:val="superscript"/>
        </w:rPr>
      </w:pPr>
      <w:r>
        <w:rPr>
          <w:rFonts w:ascii="Times New Roman" w:cs="Times New Roman" w:eastAsia="Times New Roman" w:hAnsi="Times New Roman"/>
          <w:sz w:val="18"/>
          <w:szCs w:val="18"/>
          <w:b w:val="1"/>
          <w:bCs w:val="1"/>
          <w:color w:val="auto"/>
        </w:rPr>
        <w:t>Cash Flows</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(Continued)</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Cash Flows from Financing Activities </w:t>
      </w:r>
      <w:r>
        <w:rPr>
          <w:rFonts w:ascii="Times New Roman" w:cs="Times New Roman" w:eastAsia="Times New Roman" w:hAnsi="Times New Roman"/>
          <w:sz w:val="18"/>
          <w:szCs w:val="18"/>
          <w:color w:val="auto"/>
        </w:rPr>
        <w:t>(Continued)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Equity Offering Program</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Bitfarms commenced the 2024 ATM Program on March 11, 2024, by means of a prospectus supplement dated March 8, 2024 (“March Supplement”), to the Company’s short form base shelf prospectus dated November 10, 2023 (“Base Shelf”), and U.S. registration statement on Form F-10, which included a prospectus supplement related to the 2024 ATM Program. The Company may, at its discretion and from time-to-time, sell common shares of the Company in the 2024 ATM Program for aggregate gross proceeds of up to $375.0 million. The Company capitalized $0.9 million of professional fees and registration expenses to initiate the 2024 ATM Program.</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filed amended and restated prospectus supplements dated October 4, 2024, and December 17, 2024, providing disclosure regarding the Stronghold Transaction and the restatement of the Company’s 2023 annual consolidated financial statements and MD&amp;A for the year ended December 31, 2023 and interim consolidated financial statements and MD&amp;A for the nine months ended September 30, 2024, respectively, and amending and restating the March Supplement, to the Company’s existing $375.0 million Base Shelf, with both the Base Shelf and amended and restated prospectus supplement forming a part of the Company’s registration statement on Form F-10.</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7, 2025, the 2024 ATM Program was completed, as the Company issued a total of 165,091,099 common shares in exchange for gross proceeds of $375.0 million, receiving net proceeds of $363.2 million since the inception of the 2024 ATM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Q3 2025 v. Q3 2024</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months ended September 30, 2025, the Company issued 4,726,499 common shares through the 2024 ATM Program in exchange for gross proceeds of $14.9 million at an average share price of approximately $3.15. The Company received net proceeds of $14.4 million after paying commissions of $0.4 million to the sales agent.</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the Company issued 25,127,177 common shares through the 2024 ATM Program in exchange for gross proceeds of $67.9 million at an average share price of approximately $2.70. The Company received net proceeds of $65.8 million after paying commissions of $2.0 million to the sales agent, in addition to $0.1 million of other transaction fees.</w:t>
      </w:r>
    </w:p>
    <w:p>
      <w:pPr>
        <w:spacing w:after="0" w:line="189" w:lineRule="exact"/>
        <w:rPr>
          <w:sz w:val="20"/>
          <w:szCs w:val="20"/>
          <w:color w:val="auto"/>
        </w:rPr>
      </w:pPr>
    </w:p>
    <w:p>
      <w:pPr>
        <w:jc w:val="both"/>
        <w:ind w:left="440" w:right="40" w:hanging="384"/>
        <w:spacing w:after="0" w:line="233" w:lineRule="auto"/>
        <w:tabs>
          <w:tab w:leader="none" w:pos="440" w:val="left"/>
        </w:tabs>
        <w:numPr>
          <w:ilvl w:val="0"/>
          <w:numId w:val="1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Cash flows include the discontinued operations in Rio Cuarto, Argentina and in Paraguay. On May 12, 2025, the Company’s energy provider GMSA, halted the supply of electricity to the Company’s Rio Cuarto Bitcoin data center with energized capacity of 58 MW. On August 11, 2025, three months after being informed that electricity supply was being halted and with no path forward to resume operations in the future, the decision was made to shut down the plant, which was abandoned by September 30, 2025. Additionally, as of September 30, 2025, the Paso Pe facility met the criteria to be classified as held for sale, and all operations in Paraguay were designated as discontinued operations as the Company makes a strategic shift towards HPC/AI infrastructure in North America. Refer to Section 8 - </w:t>
      </w:r>
      <w:r>
        <w:rPr>
          <w:rFonts w:ascii="Times New Roman" w:cs="Times New Roman" w:eastAsia="Times New Roman" w:hAnsi="Times New Roman"/>
          <w:sz w:val="18"/>
          <w:szCs w:val="18"/>
          <w:i w:val="1"/>
          <w:iCs w:val="1"/>
          <w:color w:val="auto"/>
        </w:rPr>
        <w:t>Financial performance (Discontinued operations)</w:t>
      </w:r>
      <w:r>
        <w:rPr>
          <w:rFonts w:ascii="Times New Roman" w:cs="Times New Roman" w:eastAsia="Times New Roman" w:hAnsi="Times New Roman"/>
          <w:sz w:val="18"/>
          <w:szCs w:val="18"/>
          <w:color w:val="auto"/>
        </w:rPr>
        <w:t xml:space="preserve"> and Section 18 -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(The Company’s operations in Rio Cuarto have been suspended due to a halt in its supply of electrical power on May 12, 2025) </w:t>
      </w:r>
      <w:r>
        <w:rPr>
          <w:rFonts w:ascii="Times New Roman" w:cs="Times New Roman" w:eastAsia="Times New Roman" w:hAnsi="Times New Roman"/>
          <w:sz w:val="18"/>
          <w:szCs w:val="18"/>
          <w:color w:val="auto"/>
        </w:rPr>
        <w:t>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-1102360</wp:posOffset>
            </wp:positionV>
            <wp:extent cx="7132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1797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440"/>
        <w:spacing w:after="0"/>
        <w:tabs>
          <w:tab w:leader="none" w:pos="10840" w:val="left"/>
        </w:tabs>
        <w:rPr>
          <w:sz w:val="20"/>
          <w:szCs w:val="20"/>
          <w:color w:val="auto"/>
        </w:rPr>
      </w:pPr>
      <w:r>
        <w:rPr>
          <w:rFonts w:ascii="Times New Roman" w:cs="Times New Roman" w:eastAsia="Times New Roman" w:hAnsi="Times New Roman"/>
          <w:sz w:val="18"/>
          <w:szCs w:val="18"/>
          <w:color w:val="auto"/>
        </w:rPr>
        <w:t>42</w:t>
        <w:tab/>
        <w:t>Page</w:t>
      </w:r>
    </w:p>
    <w:p>
      <w:pPr>
        <w:sectPr>
          <w:pgSz w:w="11900" w:h="16838" w:orient="portrait"/>
          <w:cols w:equalWidth="0" w:num="1">
            <w:col w:w="11240"/>
          </w:cols>
          <w:pgMar w:left="320" w:top="927"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LIQUIDITY AND CAPITAL RESOURCES </w:t>
      </w:r>
      <w:r>
        <w:rPr>
          <w:rFonts w:ascii="Times New Roman" w:cs="Times New Roman" w:eastAsia="Times New Roman" w:hAnsi="Times New Roman"/>
          <w:sz w:val="18"/>
          <w:szCs w:val="18"/>
          <w:color w:val="auto"/>
        </w:rPr>
        <w:t>(Continued)</w:t>
      </w:r>
    </w:p>
    <w:p>
      <w:pPr>
        <w:spacing w:after="0" w:line="92" w:lineRule="exact"/>
        <w:rPr>
          <w:sz w:val="20"/>
          <w:szCs w:val="20"/>
          <w:color w:val="auto"/>
        </w:rPr>
      </w:pPr>
    </w:p>
    <w:p>
      <w:pPr>
        <w:ind w:left="660" w:hanging="652"/>
        <w:spacing w:after="0"/>
        <w:tabs>
          <w:tab w:leader="none" w:pos="660" w:val="left"/>
        </w:tabs>
        <w:numPr>
          <w:ilvl w:val="0"/>
          <w:numId w:val="123"/>
        </w:numPr>
        <w:rPr>
          <w:rFonts w:ascii="Times New Roman" w:cs="Times New Roman" w:eastAsia="Times New Roman" w:hAnsi="Times New Roman"/>
          <w:sz w:val="36"/>
          <w:szCs w:val="36"/>
          <w:b w:val="1"/>
          <w:bCs w:val="1"/>
          <w:color w:val="auto"/>
          <w:vertAlign w:val="superscript"/>
        </w:rPr>
      </w:pPr>
      <w:r>
        <w:rPr>
          <w:rFonts w:ascii="Times New Roman" w:cs="Times New Roman" w:eastAsia="Times New Roman" w:hAnsi="Times New Roman"/>
          <w:sz w:val="18"/>
          <w:szCs w:val="18"/>
          <w:b w:val="1"/>
          <w:bCs w:val="1"/>
          <w:color w:val="auto"/>
        </w:rPr>
        <w:t>Cash Flows</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(Continued)</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Cash Flows from Financing Activities </w:t>
      </w:r>
      <w:r>
        <w:rPr>
          <w:rFonts w:ascii="Times New Roman" w:cs="Times New Roman" w:eastAsia="Times New Roman" w:hAnsi="Times New Roman"/>
          <w:sz w:val="18"/>
          <w:szCs w:val="18"/>
          <w:color w:val="auto"/>
        </w:rPr>
        <w:t>(Continued)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At-The-Market Equity Offering Program </w:t>
      </w:r>
      <w:r>
        <w:rPr>
          <w:rFonts w:ascii="Times New Roman" w:cs="Times New Roman" w:eastAsia="Times New Roman" w:hAnsi="Times New Roman"/>
          <w:sz w:val="18"/>
          <w:szCs w:val="18"/>
          <w:color w:val="auto"/>
        </w:rPr>
        <w:t>(Continued)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YTD Q3 2025 v. YTD Q3 2024</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YTD Q3 2025, the Company issued 19,171,142 common shares in the 2024 ATM Program in exchange for gross proceeds of $39.3 million at an average share price of approximately $2.05. The Company received net proceeds of $38.0 million after paying commissions of $1.2 million to the sales agent.</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YTD Q3 2024, the Company issued 109,323,321 common shares in the 2024 ATM program in exchange for gross proceeds of $248.1 million at an average share price of approximately $2.27. The Company received net proceeds of $240.3 million after paying commissions of $7.4 million to the sales agent, in addition to $0.4 million of other transaction fees. The Company capitalized $0.9 million of professional fees and registration expenses to initiate the 2024 ATM Program.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Proceeds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has used the proceeds from the 2024 ATM Program prudently to support the growth and development of the Company’s major Mining capital expenditure program, as described in Section 7 - </w:t>
      </w:r>
      <w:r>
        <w:rPr>
          <w:rFonts w:ascii="Times New Roman" w:cs="Times New Roman" w:eastAsia="Times New Roman" w:hAnsi="Times New Roman"/>
          <w:sz w:val="18"/>
          <w:szCs w:val="18"/>
          <w:i w:val="1"/>
          <w:iCs w:val="1"/>
          <w:color w:val="auto"/>
        </w:rPr>
        <w:t>HPC/AI Infrastructure and BTC Mining Expansion Projects</w:t>
      </w:r>
      <w:r>
        <w:rPr>
          <w:rFonts w:ascii="Times New Roman" w:cs="Times New Roman" w:eastAsia="Times New Roman" w:hAnsi="Times New Roman"/>
          <w:sz w:val="18"/>
          <w:szCs w:val="18"/>
          <w:color w:val="auto"/>
        </w:rPr>
        <w:t xml:space="preserve"> of this MD&amp;A, as well as for working capital and general corporate purposes. The Company does not intend to make significant further capital investments in mining in the near future as it emphasizes its HPC data center development. Described below are the actual use of proceeds from the commencement of the 2024 ATM Program through September 30, 2025:</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44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Use of proceeds from</w:t>
            </w:r>
          </w:p>
        </w:tc>
      </w:tr>
      <w:tr>
        <w:trPr>
          <w:trHeight w:val="216"/>
        </w:trPr>
        <w:tc>
          <w:tcPr>
            <w:tcW w:w="6780" w:type="dxa"/>
            <w:vAlign w:val="bottom"/>
          </w:tcPr>
          <w:p>
            <w:pPr>
              <w:spacing w:after="0"/>
              <w:rPr>
                <w:sz w:val="18"/>
                <w:szCs w:val="18"/>
                <w:color w:val="auto"/>
              </w:rPr>
            </w:pPr>
          </w:p>
        </w:tc>
        <w:tc>
          <w:tcPr>
            <w:tcW w:w="44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11, 2024 to</w:t>
            </w:r>
          </w:p>
        </w:tc>
      </w:tr>
      <w:tr>
        <w:trPr>
          <w:trHeight w:val="238"/>
        </w:trPr>
        <w:tc>
          <w:tcPr>
            <w:tcW w:w="6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Categories</w:t>
            </w:r>
          </w:p>
        </w:tc>
        <w:tc>
          <w:tcPr>
            <w:tcW w:w="4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 2025</w:t>
            </w:r>
          </w:p>
        </w:tc>
      </w:tr>
      <w:tr>
        <w:trPr>
          <w:trHeight w:val="21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Miner fleet upgrade</w:t>
            </w:r>
          </w:p>
        </w:tc>
        <w:tc>
          <w:tcPr>
            <w:tcW w:w="4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222,261</w:t>
            </w:r>
          </w:p>
        </w:tc>
      </w:tr>
      <w:tr>
        <w:trPr>
          <w:trHeight w:val="257"/>
        </w:trPr>
        <w:tc>
          <w:tcPr>
            <w:tcW w:w="67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Paso Pe (Paraguay) expansion</w:t>
            </w:r>
            <w:r>
              <w:rPr>
                <w:rFonts w:ascii="Times New Roman" w:cs="Times New Roman" w:eastAsia="Times New Roman" w:hAnsi="Times New Roman"/>
                <w:sz w:val="29"/>
                <w:szCs w:val="29"/>
                <w:color w:val="auto"/>
                <w:vertAlign w:val="superscript"/>
              </w:rPr>
              <w:t>1</w:t>
            </w:r>
          </w:p>
        </w:tc>
        <w:tc>
          <w:tcPr>
            <w:tcW w:w="44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27,506</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Baie-Comeau (Canada) expansion</w:t>
            </w:r>
          </w:p>
        </w:tc>
        <w:tc>
          <w:tcPr>
            <w:tcW w:w="4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9,200</w:t>
            </w:r>
          </w:p>
        </w:tc>
      </w:tr>
      <w:tr>
        <w:trPr>
          <w:trHeight w:val="256"/>
        </w:trPr>
        <w:tc>
          <w:tcPr>
            <w:tcW w:w="67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Yguazu (Paraguay) expansion</w:t>
            </w:r>
            <w:r>
              <w:rPr>
                <w:rFonts w:ascii="Times New Roman" w:cs="Times New Roman" w:eastAsia="Times New Roman" w:hAnsi="Times New Roman"/>
                <w:sz w:val="29"/>
                <w:szCs w:val="29"/>
                <w:color w:val="auto"/>
                <w:vertAlign w:val="superscript"/>
              </w:rPr>
              <w:t>2</w:t>
            </w:r>
          </w:p>
        </w:tc>
        <w:tc>
          <w:tcPr>
            <w:tcW w:w="44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31,506</w:t>
            </w:r>
          </w:p>
        </w:tc>
      </w:tr>
      <w:tr>
        <w:trPr>
          <w:trHeight w:val="216"/>
        </w:trPr>
        <w:tc>
          <w:tcPr>
            <w:tcW w:w="6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Stronghold (United States) expansion</w:t>
            </w:r>
          </w:p>
        </w:tc>
        <w:tc>
          <w:tcPr>
            <w:tcW w:w="4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38,043</w:t>
            </w:r>
          </w:p>
        </w:tc>
      </w:tr>
      <w:tr>
        <w:trPr>
          <w:trHeight w:val="21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Used proceeds</w:t>
            </w:r>
          </w:p>
        </w:tc>
        <w:tc>
          <w:tcPr>
            <w:tcW w:w="44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328,516</w:t>
            </w:r>
          </w:p>
        </w:tc>
      </w:tr>
      <w:tr>
        <w:trPr>
          <w:trHeight w:val="216"/>
        </w:trPr>
        <w:tc>
          <w:tcPr>
            <w:tcW w:w="6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Commissions to sales agents and other transaction costs</w:t>
            </w:r>
          </w:p>
        </w:tc>
        <w:tc>
          <w:tcPr>
            <w:tcW w:w="4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10,672</w:t>
            </w:r>
          </w:p>
        </w:tc>
      </w:tr>
      <w:tr>
        <w:trPr>
          <w:trHeight w:val="21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Total proceeds raised</w:t>
            </w:r>
          </w:p>
        </w:tc>
        <w:tc>
          <w:tcPr>
            <w:tcW w:w="44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339,188</w:t>
            </w:r>
          </w:p>
        </w:tc>
      </w:tr>
      <w:tr>
        <w:trPr>
          <w:trHeight w:val="216"/>
        </w:trPr>
        <w:tc>
          <w:tcPr>
            <w:tcW w:w="6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Maximum proceeds available</w:t>
            </w:r>
          </w:p>
        </w:tc>
        <w:tc>
          <w:tcPr>
            <w:tcW w:w="4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375,000</w:t>
            </w:r>
          </w:p>
        </w:tc>
      </w:tr>
      <w:tr>
        <w:trPr>
          <w:trHeight w:val="217"/>
        </w:trPr>
        <w:tc>
          <w:tcPr>
            <w:tcW w:w="6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Remaining proceeds available</w:t>
            </w:r>
          </w:p>
        </w:tc>
        <w:tc>
          <w:tcPr>
            <w:tcW w:w="4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35,812</w:t>
            </w:r>
          </w:p>
        </w:tc>
      </w:tr>
    </w:tbl>
    <w:p>
      <w:pPr>
        <w:spacing w:after="0" w:line="211" w:lineRule="exact"/>
        <w:rPr>
          <w:sz w:val="20"/>
          <w:szCs w:val="20"/>
          <w:color w:val="auto"/>
        </w:rPr>
      </w:pPr>
    </w:p>
    <w:p>
      <w:pPr>
        <w:jc w:val="both"/>
        <w:ind w:left="440" w:right="40" w:hanging="384"/>
        <w:spacing w:after="0" w:line="219" w:lineRule="auto"/>
        <w:tabs>
          <w:tab w:leader="none" w:pos="440" w:val="left"/>
        </w:tabs>
        <w:numPr>
          <w:ilvl w:val="0"/>
          <w:numId w:val="12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Cash flows include the discontinued operations in Rio Cuarto, Argentina and in Paraguay. On May 12, 2025, the Company’s energy provider GMSA, halted the supply of electricity to the Company’s Rio Cuarto Bitcoin data center with energized capacity of 58 MW. On August 11, 2025, three months after being informed that electricity supply was being halted and with no path forward to resume operations in the future, the decision was made to shut down the plant, which was abandoned by September 30, 2025. Additionally, as of September 30, 2025, the Paso Pe facility met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-556260</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both"/>
        <w:ind w:left="440" w:right="40"/>
        <w:spacing w:after="0" w:line="250" w:lineRule="auto"/>
        <w:rPr>
          <w:sz w:val="20"/>
          <w:szCs w:val="20"/>
          <w:color w:val="auto"/>
        </w:rPr>
      </w:pPr>
      <w:r>
        <w:rPr>
          <w:rFonts w:ascii="Times New Roman" w:cs="Times New Roman" w:eastAsia="Times New Roman" w:hAnsi="Times New Roman"/>
          <w:sz w:val="18"/>
          <w:szCs w:val="18"/>
          <w:color w:val="auto"/>
        </w:rPr>
        <w:t xml:space="preserve">criteria to be classified as held for sale, and all operations in Paraguay were designated as discontinued operations as the Company makes a strategic shift towards HPC/AI infrastructure in North America. Refer to Section 8 - </w:t>
      </w:r>
      <w:r>
        <w:rPr>
          <w:rFonts w:ascii="Times New Roman" w:cs="Times New Roman" w:eastAsia="Times New Roman" w:hAnsi="Times New Roman"/>
          <w:sz w:val="18"/>
          <w:szCs w:val="18"/>
          <w:i w:val="1"/>
          <w:iCs w:val="1"/>
          <w:color w:val="auto"/>
        </w:rPr>
        <w:t>Financial performance (Discontinued operations)</w:t>
      </w:r>
      <w:r>
        <w:rPr>
          <w:rFonts w:ascii="Times New Roman" w:cs="Times New Roman" w:eastAsia="Times New Roman" w:hAnsi="Times New Roman"/>
          <w:sz w:val="18"/>
          <w:szCs w:val="18"/>
          <w:color w:val="auto"/>
        </w:rPr>
        <w:t xml:space="preserve"> and Section 18 -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(The Company’s operations in Rio Cuarto have been suspended due to a halt in its supply of electrical power on May 12, 2025) </w:t>
      </w:r>
      <w:r>
        <w:rPr>
          <w:rFonts w:ascii="Times New Roman" w:cs="Times New Roman" w:eastAsia="Times New Roman" w:hAnsi="Times New Roman"/>
          <w:sz w:val="18"/>
          <w:szCs w:val="18"/>
          <w:color w:val="auto"/>
        </w:rPr>
        <w:t>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MD&amp;A.</w:t>
      </w:r>
    </w:p>
    <w:p>
      <w:pPr>
        <w:spacing w:after="0" w:line="2" w:lineRule="exact"/>
        <w:rPr>
          <w:sz w:val="20"/>
          <w:szCs w:val="20"/>
          <w:color w:val="auto"/>
        </w:rPr>
      </w:pPr>
    </w:p>
    <w:p>
      <w:pPr>
        <w:ind w:left="440" w:hanging="432"/>
        <w:spacing w:after="0"/>
        <w:tabs>
          <w:tab w:leader="none" w:pos="4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first quarter of 2025, the Company finalized the sale of its Yguazu mining site in Paraguay.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97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10440"/>
        <w:spacing w:after="0"/>
        <w:tabs>
          <w:tab w:leader="none" w:pos="10840" w:val="left"/>
        </w:tabs>
        <w:rPr>
          <w:sz w:val="20"/>
          <w:szCs w:val="20"/>
          <w:color w:val="auto"/>
        </w:rPr>
      </w:pPr>
      <w:r>
        <w:rPr>
          <w:rFonts w:ascii="Times New Roman" w:cs="Times New Roman" w:eastAsia="Times New Roman" w:hAnsi="Times New Roman"/>
          <w:sz w:val="18"/>
          <w:szCs w:val="18"/>
          <w:color w:val="auto"/>
        </w:rPr>
        <w:t>43</w:t>
        <w:tab/>
        <w:t>Page</w:t>
      </w:r>
    </w:p>
    <w:p>
      <w:pPr>
        <w:sectPr>
          <w:pgSz w:w="11900" w:h="16838" w:orient="portrait"/>
          <w:cols w:equalWidth="0" w:num="1">
            <w:col w:w="11240"/>
          </w:cols>
          <w:pgMar w:left="320" w:top="927"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LIQUIDITY AND CAPITAL RESOURCES </w:t>
      </w:r>
      <w:r>
        <w:rPr>
          <w:rFonts w:ascii="Times New Roman" w:cs="Times New Roman" w:eastAsia="Times New Roman" w:hAnsi="Times New Roman"/>
          <w:sz w:val="18"/>
          <w:szCs w:val="18"/>
          <w:color w:val="auto"/>
        </w:rPr>
        <w:t>(Continued)</w:t>
      </w:r>
    </w:p>
    <w:p>
      <w:pPr>
        <w:spacing w:after="0" w:line="92" w:lineRule="exact"/>
        <w:rPr>
          <w:sz w:val="20"/>
          <w:szCs w:val="20"/>
          <w:color w:val="auto"/>
        </w:rPr>
      </w:pPr>
    </w:p>
    <w:p>
      <w:pPr>
        <w:ind w:left="660" w:hanging="652"/>
        <w:spacing w:after="0"/>
        <w:tabs>
          <w:tab w:leader="none" w:pos="660" w:val="left"/>
        </w:tabs>
        <w:numPr>
          <w:ilvl w:val="0"/>
          <w:numId w:val="126"/>
        </w:numPr>
        <w:rPr>
          <w:rFonts w:ascii="Times New Roman" w:cs="Times New Roman" w:eastAsia="Times New Roman" w:hAnsi="Times New Roman"/>
          <w:sz w:val="36"/>
          <w:szCs w:val="36"/>
          <w:b w:val="1"/>
          <w:bCs w:val="1"/>
          <w:color w:val="auto"/>
          <w:vertAlign w:val="superscript"/>
        </w:rPr>
      </w:pPr>
      <w:r>
        <w:rPr>
          <w:rFonts w:ascii="Times New Roman" w:cs="Times New Roman" w:eastAsia="Times New Roman" w:hAnsi="Times New Roman"/>
          <w:sz w:val="18"/>
          <w:szCs w:val="18"/>
          <w:b w:val="1"/>
          <w:bCs w:val="1"/>
          <w:color w:val="auto"/>
        </w:rPr>
        <w:t>Cash Flows</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(Continued)</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Cash Flows from Financing Activities </w:t>
      </w:r>
      <w:r>
        <w:rPr>
          <w:rFonts w:ascii="Times New Roman" w:cs="Times New Roman" w:eastAsia="Times New Roman" w:hAnsi="Times New Roman"/>
          <w:sz w:val="18"/>
          <w:szCs w:val="18"/>
          <w:color w:val="auto"/>
        </w:rPr>
        <w:t>(Continued)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YTD Q3 2025 v. YTD Q3 2024</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YTD Q3 2025, 1,000,000 warrants and 111,111 broker warrants related to the 2023 private placement were exercised resulting in the issuance of 1,111,111 common shares for proceeds of approximately $1.3 million. In addition, 111,111 broker warrants were exercised on a cashless basis in exchange for 65,672 common shares. During YTD Q3 2024, 5,000,000 warrants and 111,111 broker warrants related to the 2023 private placement were exercised, resulting in the issuance of 5,111,111 common shares for proceeds of approximately $6.0 million.</w:t>
      </w:r>
    </w:p>
    <w:p>
      <w:pPr>
        <w:spacing w:after="0" w:line="185" w:lineRule="exact"/>
        <w:rPr>
          <w:sz w:val="20"/>
          <w:szCs w:val="20"/>
          <w:color w:val="auto"/>
        </w:rPr>
      </w:pPr>
    </w:p>
    <w:p>
      <w:pPr>
        <w:ind w:left="660" w:hanging="652"/>
        <w:spacing w:after="0"/>
        <w:tabs>
          <w:tab w:leader="none" w:pos="66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Resources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Bitfarms’ capital management objective is to provide financial resources that will enable the Company to maximize the return to its shareholders while optimizing its cost of capital and ensuring the Company has sufficient liquidity to fund its operating and growth activities. In order to achieve this objective, the Company monitors its capital structure and makes adjustments as required in light of the Company’s funding requirements, changes in economic conditions, the cost of providing and the availability of financing, and the risks to which the Company is exposed. The Company’s financing strategy is to maintain a flexible capital structure that optimizes the cost of capital at an acceptable level of risk, to preserve its ability to meet financial obligations as they come due, and to ensure the Company has sufficient financial resources to fund its organic and acquisitive growth.</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on the current capital budget and BTC prices, the Company currently anticipates that additional financing will be required to fund its 2025 and 2026 expansion plans and to complete construction of additional HPC data centers, if the Company elects to do so. In order to achieve its business objectives, the Company may sell or borrow against the BTC that are held in treasury as of the date hereof as well as BTC received from its ongoing operations, which may or may not be possible on commercially attractive terms. Bitfarms intends to continue to manage its capital structure by striving to reduce operating expenses and unnecessary capital spending, disposing of inefficient or underutilized assets, obtaining short-term and long-term debt financing and issuing equity.</w:t>
      </w:r>
    </w:p>
    <w:p>
      <w:pPr>
        <w:spacing w:after="0" w:line="187" w:lineRule="exact"/>
        <w:rPr>
          <w:sz w:val="20"/>
          <w:szCs w:val="20"/>
          <w:color w:val="auto"/>
        </w:rPr>
      </w:pPr>
    </w:p>
    <w:p>
      <w:pPr>
        <w:jc w:val="both"/>
        <w:ind w:left="20" w:hanging="4"/>
        <w:spacing w:after="0" w:line="261" w:lineRule="auto"/>
        <w:rPr>
          <w:sz w:val="20"/>
          <w:szCs w:val="20"/>
          <w:color w:val="auto"/>
        </w:rPr>
      </w:pPr>
      <w:r>
        <w:rPr>
          <w:rFonts w:ascii="Times New Roman" w:cs="Times New Roman" w:eastAsia="Times New Roman" w:hAnsi="Times New Roman"/>
          <w:sz w:val="18"/>
          <w:szCs w:val="18"/>
          <w:color w:val="auto"/>
        </w:rPr>
        <w:t>In October 2025, the Company drew an additional $50.0 million from the Macquarie credit facility and completed an offering of $588.0 million aggregate principal amount of convertible senior notes which included an option by the initial purchasers to purchase $88.0 million aggregate amount of convertible senior notes. Net proceeds were approximately $500.0 million after transaction fees and approximately $68.0 million was used to fund a 125% capped call transaction. Refer to Note 29 to the Financial Statements for more details.</w:t>
      </w:r>
    </w:p>
    <w:p>
      <w:pPr>
        <w:spacing w:after="0" w:line="193" w:lineRule="exact"/>
        <w:rPr>
          <w:sz w:val="20"/>
          <w:szCs w:val="20"/>
          <w:color w:val="auto"/>
        </w:rPr>
      </w:pPr>
    </w:p>
    <w:p>
      <w:pPr>
        <w:jc w:val="both"/>
        <w:ind w:left="400" w:right="40" w:hanging="392"/>
        <w:spacing w:after="0" w:line="233" w:lineRule="auto"/>
        <w:tabs>
          <w:tab w:leader="none" w:pos="400" w:val="left"/>
        </w:tabs>
        <w:numPr>
          <w:ilvl w:val="0"/>
          <w:numId w:val="12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Cash flows include the discontinued operations in Rio Cuarto, Argentina and in Paraguay. On May 12, 2025, the Company’s energy provider GMSA, halted the supply of electricity to the Company’s Rio Cuarto Bitcoin data center with energized capacity of 58 MW. On August 11, 2025, three months after being informed that electricity supply was being halted and with no path forward to resume operations in the future, the decision was made to shut down the plant, which was abandoned by September 30, 2025. Additionally, as of September 30, 2025, the Paso Pe facility met the criteria to be classified as held for sale, and all operations in Paraguay were designated as discontinued operations as the Company makes a strategic shift towards HPC/AI infrastructure in North America. Refer to Section 8 - </w:t>
      </w:r>
      <w:r>
        <w:rPr>
          <w:rFonts w:ascii="Times New Roman" w:cs="Times New Roman" w:eastAsia="Times New Roman" w:hAnsi="Times New Roman"/>
          <w:sz w:val="18"/>
          <w:szCs w:val="18"/>
          <w:i w:val="1"/>
          <w:iCs w:val="1"/>
          <w:color w:val="auto"/>
        </w:rPr>
        <w:t>Financial performance (Discontinued operations)</w:t>
      </w:r>
      <w:r>
        <w:rPr>
          <w:rFonts w:ascii="Times New Roman" w:cs="Times New Roman" w:eastAsia="Times New Roman" w:hAnsi="Times New Roman"/>
          <w:sz w:val="18"/>
          <w:szCs w:val="18"/>
          <w:color w:val="auto"/>
        </w:rPr>
        <w:t xml:space="preserve"> and Section 18 -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(The Company’s operations in Rio Cuarto have been suspended due to a halt in its supply of electrical power on May 12, 2025) </w:t>
      </w:r>
      <w:r>
        <w:rPr>
          <w:rFonts w:ascii="Times New Roman" w:cs="Times New Roman" w:eastAsia="Times New Roman" w:hAnsi="Times New Roman"/>
          <w:sz w:val="18"/>
          <w:szCs w:val="18"/>
          <w:color w:val="auto"/>
        </w:rPr>
        <w:t>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-1102360</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1797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440"/>
        <w:spacing w:after="0"/>
        <w:tabs>
          <w:tab w:leader="none" w:pos="10840" w:val="left"/>
        </w:tabs>
        <w:rPr>
          <w:sz w:val="20"/>
          <w:szCs w:val="20"/>
          <w:color w:val="auto"/>
        </w:rPr>
      </w:pPr>
      <w:r>
        <w:rPr>
          <w:rFonts w:ascii="Times New Roman" w:cs="Times New Roman" w:eastAsia="Times New Roman" w:hAnsi="Times New Roman"/>
          <w:sz w:val="18"/>
          <w:szCs w:val="18"/>
          <w:color w:val="auto"/>
        </w:rPr>
        <w:t>44</w:t>
        <w:tab/>
        <w:t>Page</w:t>
      </w:r>
    </w:p>
    <w:p>
      <w:pPr>
        <w:sectPr>
          <w:pgSz w:w="11900" w:h="16838" w:orient="portrait"/>
          <w:cols w:equalWidth="0" w:num="1">
            <w:col w:w="11240"/>
          </w:cols>
          <w:pgMar w:left="320" w:top="927"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 Resources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2025, the Company entered into a purchase commitment of $128.7 million, payable over the next 12 months, for the development and expansion of HPC/AI infrastructure projects with a large publicly traded American multinational provider of critical infrastructure and services for data centers. Under the terms of the agreement, the provider will deliver a range of services that include engineering, project management assistance, procurement and manufacturing, site management support and factory acceptance testing, all contributing, in addition to other expenses, to the construction of a fully integrated 18 MW hybrid-built data center in Washington State, United States.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Digital Asset Management Program</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early January 2021, the Company implemented a digital asset management program under which it holds BTC for its intrinsic value and as a source of liquidity. The Company has internal controls over the management of its digital assets which it evaluates and, as appropriate, enhances on a quarterly basis. On August 1, 2022, Management received approval from the Board to sell daily production, in addition to any sale of up to 1,000 BTC from treasury, should market conditions and the Company’s projected financing requirements justify such sales in Management’s discretion.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below are the total BTC sold and proceeds in YTD Q3 2025, which was used to fund operations and expansion plans: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tcPr>
          <w:p>
            <w:pPr>
              <w:spacing w:after="0"/>
              <w:rPr>
                <w:sz w:val="18"/>
                <w:szCs w:val="18"/>
                <w:color w:val="auto"/>
              </w:rPr>
            </w:pPr>
          </w:p>
        </w:tc>
        <w:tc>
          <w:tcPr>
            <w:tcW w:w="17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1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10"/>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Quantity of BTC sold</w:t>
            </w:r>
          </w:p>
        </w:tc>
        <w:tc>
          <w:tcPr>
            <w:tcW w:w="1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185</w:t>
            </w:r>
          </w:p>
        </w:tc>
        <w:tc>
          <w:tcPr>
            <w:tcW w:w="1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1,052</w:t>
            </w:r>
          </w:p>
        </w:tc>
        <w:tc>
          <w:tcPr>
            <w:tcW w:w="1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428</w:t>
            </w:r>
          </w:p>
        </w:tc>
      </w:tr>
      <w:tr>
        <w:trPr>
          <w:trHeight w:val="223"/>
        </w:trPr>
        <w:tc>
          <w:tcPr>
            <w:tcW w:w="58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 proceeds</w:t>
            </w:r>
          </w:p>
        </w:tc>
        <w:tc>
          <w:tcPr>
            <w:tcW w:w="1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21,561</w:t>
            </w:r>
          </w:p>
        </w:tc>
        <w:tc>
          <w:tcPr>
            <w:tcW w:w="1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100,471</w:t>
            </w:r>
          </w:p>
        </w:tc>
        <w:tc>
          <w:tcPr>
            <w:tcW w:w="1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37,263</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sale of BTC as described above, while the Company continued to earn BTC, resulted in total holdings of 1,658 BTC as of September 30, 2025, of which 157 BTC are restricted and relate to the deposits for Miners with the option to redeem the restricted BTC, valued at approximately $189.2 million based on a BTC price of approximately $114,100, as of September 30,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Custody of digital assets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Company’s BTC received from the Mining pool operators for its computational power used for hashing calculations is delivered to multi-signature wallets that the Company controls or directs to external third-party custodians. On a regular basis, the Company transfers BTC from its multi-signature wallets to external third-party custodians, Coinbase Custody Trust Company, LLC (“Coinbase Custody”), a subsidiary of Coinbase Global, Inc. (“Coinbase”) and Anchorage Digital Bank National Association (“Anchorage Digital”). Coinbase Custody provides custody and related services for clients’ digital assets as a fiduciary pursuant to the New York State Department of Financial Services under Section 100 of the New York Banking Law. Anchorage Digital is the only federally chartered crypto bank in the U.S., serves as a custodian for digital assets, and is licensed and regulated by the Office of the Comptroller of the Currency. Currently, Coinbase Custody and Anchorage Digital provide only custodial services to the Company and do not use a sub-custodian. Coinbase Custody and Anchorage Digital are not related parties to the Company.</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internal controls in place to evaluate its custodians on a quarterly basis. If the Company was to face challenges with one of its custodians, the Company could transfer digital assets between custodians and has its own multi-signature wallets as a contingency plan that would have a minimal impact on the Company’s operations.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November 12, 2025, the Company has 1,827 BTC, valued at $186.4 million on its balance sheet, based on a price of $102,000 per BTC. As of the date of this MD&amp;A, 1,745 BTC or 96% of the Company’s BTC are held in custody with Coinbase Custody and Anchorage Digital with the remaining 82 BTC or 4% held by third parties and classified as restricted digital assets in the statement of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803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6">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0440"/>
        <w:spacing w:after="0"/>
        <w:tabs>
          <w:tab w:leader="none" w:pos="10840" w:val="left"/>
        </w:tabs>
        <w:rPr>
          <w:sz w:val="20"/>
          <w:szCs w:val="20"/>
          <w:color w:val="auto"/>
        </w:rPr>
      </w:pPr>
      <w:r>
        <w:rPr>
          <w:rFonts w:ascii="Times New Roman" w:cs="Times New Roman" w:eastAsia="Times New Roman" w:hAnsi="Times New Roman"/>
          <w:sz w:val="18"/>
          <w:szCs w:val="18"/>
          <w:color w:val="auto"/>
        </w:rPr>
        <w:t>45</w:t>
        <w:tab/>
        <w:t>Page</w:t>
      </w:r>
    </w:p>
    <w:p>
      <w:pPr>
        <w:sectPr>
          <w:pgSz w:w="11900" w:h="16838" w:orient="portrait"/>
          <w:cols w:equalWidth="0" w:num="1">
            <w:col w:w="11240"/>
          </w:cols>
          <w:pgMar w:left="320" w:top="927"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 Resources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Custody of digital assets </w:t>
      </w:r>
      <w:r>
        <w:rPr>
          <w:rFonts w:ascii="Times New Roman" w:cs="Times New Roman" w:eastAsia="Times New Roman" w:hAnsi="Times New Roman"/>
          <w:sz w:val="18"/>
          <w:szCs w:val="18"/>
          <w:color w:val="auto"/>
        </w:rPr>
        <w:t>(Continued)</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Coinbase Custody maintains an insurance policy of $100.0 million for its cold storage and Anchorage Digital maintains an insurance policy of $100.0 million for its cold and hot storage; however, the Company cannot ensure that the full limits of those policies would be available to the Company or, if available, would be sufficient to make the Company whole for any BTC that are lost or stolen. The Company is unaware of: (i) any security breaches involving Coinbase Custody or Anchorage Digital which have resulted in the Company’s crypto assets being lost or stolen, or (ii) anything with regards to Coinbase Custody’s or Anchorage Digital’s operations that would adversely affect the Company’s ability to obtain an unqualified audit opinion on its audited financial statements. The Company’s crypto assets held in custody with Coinbase or Anchorage Digital may not be recoverable in the event of bankruptcy by Coinbase, Anchorage Digital or their affiliates. In Coinbase’s quarterly report, on Form 10-Q, filed with the U.S. Securities Exchange Commission on October 30, 2025, Coinbase disclosed that, in the event of a bankruptcy, custodially held crypto assets could be considered to be the property of the bankruptcy estate and that the crypto assets held in custody could be subject to bankruptcy proceedings with Coinbase Custody’s customers being treated as general unsecured creditors. Further, regardless of efforts made by the Company to securely store and safeguard assets, there can be no assurance that the Company’s cryptocurrency assets will not be defalcated through hacking or other forms of theft.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Bitcoin One program for digital assets management</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February 2025, the Board approved the launch of the Bitcoin One initiative as the successor to the Company’s retired hedging program and Synthetic HODL program for digital assets management, which was deployed in February 2025. Bitcoin One was a quantitative investment multi-strategy program that employs leverage to accelerate BTC accumulation. The Board authorized the risk management committee to deploy up to (i) 100% of the Company’s BTC in treasury, plus (ii) three months of expected forward production calculated on a rolling basis, plus (iii) $10.0 million under Bitcoin One to be actively managed and participate in volatility-targeting strategies.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Bitcoin One focused on active BTC treasury management through discretionary and rules-based trading algorithms and an active managed volatility targeting program that trades crypto volatility as an asset class and harvests the risk premium that arises from that volatility.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created a “Synthetic BTC” by utilizing long call options on BTC and a funding mechanism. The call option may generate exponentially higher returns than BTC as price increases. However, in the event of a decrease in the price of BTC, such call options may lose a significant amount or the entirety of their value. There can be no guarantee that the price of BTC increases or otherwise remains at price such that the call options maintain or increase in value. The funding mechanism provided the means to pay for the premium of the call option, typically involved selling insurance to market participants such as hedgers and/or extracted a risk premium from structural features in BTC volatility.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Using Synthetic BTC alongside conventional HODL allowed the Company to be more adaptive and aggressive towards BTC. The Synthetic BTC used call options that may outperform BTC and may optimize capital efficiency through call option funding mechanisms. The performance and innovation of Synthetic BTCs alongside the Company’s conventional treasury positioned the Company for an aggressive play on BTC and enables its investors to benefit from a truly unique BTC treasury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97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0440"/>
        <w:spacing w:after="0"/>
        <w:tabs>
          <w:tab w:leader="none" w:pos="10840" w:val="left"/>
        </w:tabs>
        <w:rPr>
          <w:sz w:val="20"/>
          <w:szCs w:val="20"/>
          <w:color w:val="auto"/>
        </w:rPr>
      </w:pPr>
      <w:r>
        <w:rPr>
          <w:rFonts w:ascii="Times New Roman" w:cs="Times New Roman" w:eastAsia="Times New Roman" w:hAnsi="Times New Roman"/>
          <w:sz w:val="18"/>
          <w:szCs w:val="18"/>
          <w:color w:val="auto"/>
        </w:rPr>
        <w:t>46</w:t>
        <w:tab/>
        <w:t>Page</w:t>
      </w:r>
    </w:p>
    <w:p>
      <w:pPr>
        <w:sectPr>
          <w:pgSz w:w="11900" w:h="16838" w:orient="portrait"/>
          <w:cols w:equalWidth="0" w:num="1">
            <w:col w:w="11240"/>
          </w:cols>
          <w:pgMar w:left="320" w:top="927"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 Resources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Bitcoin One program for digital assets management (Continued)</w:t>
      </w:r>
    </w:p>
    <w:p>
      <w:pPr>
        <w:spacing w:after="0" w:line="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a result of the strategic review of the Bitcoin One program initiated on August 1, 2025, the Company closed all remaining positions under the Bitcoin One program during Q3 2025 and implemented a new program, Bitcoin 2.1. Bitcoin 2.1 is a multi-strategy program that primarily sells both short and long dated out of the money calls on the Bitcoin in treasury and future Bitcoin production in order to offset Bitcoin production costs and potentially achieve higher revenues per BTC sold. Bitcoin 2.1 is designed as a low-cost and low-risk funding mechanism for energy infrastructure investments and has no objective around BTC accumulation. The integration of Bitcoin 2.1 outcomes may or may not reduce the Company’s total cash cost per BTC, supporting ongoing efforts to optimize costs. The Board authorized the risk management committee to deploy up to (i) 100% of the Company’s BTC in treasury, plus</w:t>
      </w:r>
    </w:p>
    <w:p>
      <w:pPr>
        <w:spacing w:after="0" w:line="2" w:lineRule="exact"/>
        <w:rPr>
          <w:sz w:val="20"/>
          <w:szCs w:val="20"/>
          <w:color w:val="auto"/>
        </w:rPr>
      </w:pPr>
    </w:p>
    <w:p>
      <w:pPr>
        <w:ind w:firstLine="8"/>
        <w:spacing w:after="0" w:line="260" w:lineRule="auto"/>
        <w:tabs>
          <w:tab w:leader="none" w:pos="292"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months of expected forward production calculated on a rolling basis, plus (iii) $10.0 million under Bitcoin 2.1 to be actively managed and participate in volatility-targeting strategies.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incurred a net gain of $13.3 million and $13.8 million, respectively, which consisted of unrealized losses on open positions of $0.5 million and $0.2 million, respectively, and realized gains on closed positions of $13.8 million and $14.0 million,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2025, total cash cost per BTC would be reduced to $55,200 and $64,900, respectively, after considering the realized and unrealized gain on BTC option contracts.</w:t>
      </w:r>
    </w:p>
    <w:p>
      <w:pPr>
        <w:spacing w:after="0" w:line="158" w:lineRule="exact"/>
        <w:rPr>
          <w:sz w:val="20"/>
          <w:szCs w:val="20"/>
          <w:color w:val="auto"/>
        </w:rPr>
      </w:pPr>
    </w:p>
    <w:p>
      <w:pPr>
        <w:ind w:left="660" w:hanging="652"/>
        <w:spacing w:after="0"/>
        <w:tabs>
          <w:tab w:leader="none" w:pos="660" w:val="left"/>
        </w:tabs>
        <w:numPr>
          <w:ilvl w:val="0"/>
          <w:numId w:val="13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are the contractual maturities of financial liabilities and gross lease liabilities (non-financial liabilities) with estimated future interest payments, as applicable, as of September 30, 2025:</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w:t>
            </w:r>
          </w:p>
        </w:tc>
        <w:tc>
          <w:tcPr>
            <w:tcW w:w="15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1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1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2029 +</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 and accrued liabilities</w:t>
            </w:r>
          </w:p>
        </w:tc>
        <w:tc>
          <w:tcPr>
            <w:tcW w:w="15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36,369</w:t>
            </w:r>
          </w:p>
        </w:tc>
        <w:tc>
          <w:tcPr>
            <w:tcW w:w="12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36,369</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5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1,273</w:t>
            </w: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4,679</w:t>
            </w:r>
          </w:p>
        </w:tc>
        <w:tc>
          <w:tcPr>
            <w:tcW w:w="12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56,757</w:t>
            </w:r>
          </w:p>
        </w:tc>
        <w:tc>
          <w:tcPr>
            <w:tcW w:w="11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489</w:t>
            </w:r>
          </w:p>
        </w:tc>
        <w:tc>
          <w:tcPr>
            <w:tcW w:w="11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3,300</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66,498</w:t>
            </w:r>
          </w:p>
        </w:tc>
      </w:tr>
      <w:tr>
        <w:trPr>
          <w:trHeight w:val="216"/>
        </w:trPr>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5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998</w:t>
            </w:r>
          </w:p>
        </w:tc>
        <w:tc>
          <w:tcPr>
            <w:tcW w:w="12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4,473</w:t>
            </w:r>
          </w:p>
        </w:tc>
        <w:tc>
          <w:tcPr>
            <w:tcW w:w="12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4,389</w:t>
            </w:r>
          </w:p>
        </w:tc>
        <w:tc>
          <w:tcPr>
            <w:tcW w:w="11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3,926</w:t>
            </w:r>
          </w:p>
        </w:tc>
        <w:tc>
          <w:tcPr>
            <w:tcW w:w="11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15,807</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29,593</w:t>
            </w:r>
          </w:p>
        </w:tc>
      </w:tr>
      <w:tr>
        <w:trPr>
          <w:trHeight w:val="216"/>
        </w:trPr>
        <w:tc>
          <w:tcPr>
            <w:tcW w:w="39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38,640</w:t>
            </w:r>
          </w:p>
        </w:tc>
        <w:tc>
          <w:tcPr>
            <w:tcW w:w="12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9,152</w:t>
            </w:r>
          </w:p>
        </w:tc>
        <w:tc>
          <w:tcPr>
            <w:tcW w:w="12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61,146</w:t>
            </w:r>
          </w:p>
        </w:tc>
        <w:tc>
          <w:tcPr>
            <w:tcW w:w="11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4,415</w:t>
            </w:r>
          </w:p>
        </w:tc>
        <w:tc>
          <w:tcPr>
            <w:tcW w:w="11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19,107</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132,460</w:t>
            </w:r>
          </w:p>
        </w:tc>
      </w:tr>
    </w:tbl>
    <w:p>
      <w:pPr>
        <w:spacing w:after="0" w:line="194" w:lineRule="exact"/>
        <w:rPr>
          <w:sz w:val="20"/>
          <w:szCs w:val="20"/>
          <w:color w:val="auto"/>
        </w:rPr>
      </w:pPr>
    </w:p>
    <w:p>
      <w:pPr>
        <w:ind w:left="660" w:hanging="652"/>
        <w:spacing w:after="0"/>
        <w:tabs>
          <w:tab w:leader="none" w:pos="66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Lawsuits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resolved legal cases from Stronghold which have accrued balances as of September 30,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w:t>
            </w:r>
          </w:p>
        </w:tc>
        <w:tc>
          <w:tcPr>
            <w:tcW w:w="24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10"/>
        </w:trPr>
        <w:tc>
          <w:tcPr>
            <w:tcW w:w="53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FERC Matters</w:t>
            </w:r>
          </w:p>
        </w:tc>
        <w:tc>
          <w:tcPr>
            <w:tcW w:w="2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i.</w:t>
            </w:r>
          </w:p>
        </w:tc>
        <w:tc>
          <w:tcPr>
            <w:tcW w:w="1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1,065</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Stronghold Shareholder Securities Lawsuit</w:t>
            </w:r>
          </w:p>
        </w:tc>
        <w:tc>
          <w:tcPr>
            <w:tcW w:w="2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ii.</w:t>
            </w:r>
          </w:p>
        </w:tc>
        <w:tc>
          <w:tcPr>
            <w:tcW w:w="1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1,825</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settlement accruals</w:t>
            </w:r>
          </w:p>
        </w:tc>
        <w:tc>
          <w:tcPr>
            <w:tcW w:w="248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2,890</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w:t>
            </w:r>
          </w:p>
        </w:tc>
        <w:tc>
          <w:tcPr>
            <w:tcW w:w="24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(1,635)</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discounting</w:t>
            </w:r>
          </w:p>
        </w:tc>
        <w:tc>
          <w:tcPr>
            <w:tcW w:w="248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Non-current portion</w:t>
            </w:r>
          </w:p>
        </w:tc>
        <w:tc>
          <w:tcPr>
            <w:tcW w:w="24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1,188</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97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10440"/>
        <w:spacing w:after="0"/>
        <w:tabs>
          <w:tab w:leader="none" w:pos="10840" w:val="left"/>
        </w:tabs>
        <w:rPr>
          <w:sz w:val="20"/>
          <w:szCs w:val="20"/>
          <w:color w:val="auto"/>
        </w:rPr>
      </w:pPr>
      <w:r>
        <w:rPr>
          <w:rFonts w:ascii="Times New Roman" w:cs="Times New Roman" w:eastAsia="Times New Roman" w:hAnsi="Times New Roman"/>
          <w:sz w:val="18"/>
          <w:szCs w:val="18"/>
          <w:color w:val="auto"/>
        </w:rPr>
        <w:t>47</w:t>
        <w:tab/>
        <w:t>Page</w:t>
      </w:r>
    </w:p>
    <w:p>
      <w:pPr>
        <w:sectPr>
          <w:pgSz w:w="11900" w:h="16838" w:orient="portrait"/>
          <w:cols w:equalWidth="0" w:num="1">
            <w:col w:w="11240"/>
          </w:cols>
          <w:pgMar w:left="320" w:top="927"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Lawsuits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undiscounted legal settlement accruals amounted to $2.9 million as of September 30, 2025 and were recorded in accounts payable and accrued liabilities and other non-current liabilities in the consolidated statements of financial position of the Financial Statements (December 31, 2024: nil).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Federal Energy Regulatory Commission (“FERC”) Matters</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November 19, 2021, Scrubgrass received a notice of breach from PJM Interconnection, LLC alleging that Scrubgrass breached Interconnection Service Agreement – No. 1795 (the “ISA”) by failing to provide advance notice to PJM Interconnection, LLC and Mid-Atlantic Interstate Transmission, LLC pursuant to ISA, Appendix 2, section 3, of modifications made to the Scrubgrass plant. On May 11, 2022, the Division of Investigations of the FERC Office of Enforcement (“OE”) informed the Company that the OE was conducting a non-public preliminary investigation concerning Scrubgrass’ compliance with various aspects of the PJM tariff. On January 30, 2025, the Federal Energy Regulatory Commission (the “Commission”) approved a Stipulation and Settlement Agreement between the OE and Scrubgrass (the “Settlement Agreement”). Pursuant to the Settlement Agreement, Scrubgrass agreed to: (a) disgorge to PJM $0.7 million in capacity revenues received during the relevant period; (b) pay a civil penalty of $0.7 million ,for a total of $1.4 million to the United States Treasury; and (c) provide compliance training to relevant personnel and compliance monitoring reports. Scrubgrass is to pay the settlement amount over a period of three years. In the first year, Scrubgrass is to pay a lump sum of $0.4 million, which Scrubgrass paid in February of 2025. In the second and third years, Scrubgrass shall make 8 payments of $0.1 million on a calendar quarter basis. For a period of five years following the effective date of the Settlement Agreement, Scrubgrass is to provide annual compliance training focused primarily on the applicable tariff and related rules, regulations, and requirements applicable to operating generators, to all personnel whose job responsibilities relate to the generators’ participation in Commission jurisdictional markets. As of September 30, 2025, the settlement accrual was $1.1 million and represents the 8 remaining installment payments.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ii. Shareholder Securities Lawsuit</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April 14, 2022, Stronghold, and certain of its former directors, officers and underwriters were named in a putative class action complaint filed in the United States District Court for the Southern District of New York (Winter v. Stronghold Digital Mining, Case No. 1:22-cv-3088). On October 18, 2022, the plaintiffs filed an amended complaint, alleging that the Company made misleading statements and/or failed to disclose material facts in violation of Section 11 of the Securities Act, 15 U.S.C. §77k and Section 15 of the Securities Act of 1933, as amended (the “Securities Act”), about the Company’s business, operations, and prospects in the Company’s registration statement on Form S-1 related to its initial public offering, and when subsequent disclosures were made regarding these operational issues when the Company announced its fourth quarter and full year 2021 financial results, the Company’s stock price fell, causing significant losses and damages.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16, 2024, the District Court issued an Order granting Preliminary Approval of the Class Action Settlement, Approving Form and Manner of Notice, and Setting Date for Hearing on Final Approval of Settlement. The Company agreed to pay $4.8 million in cash and 25 BTC. On January 15, 2025, $2.5 million was covered by the Company’s insurance providers and Stronghold paid the remaining $2.3 million into escrow. One BTC will be paid monthly for two years. The cash value of each Bitcoin is expected to be calculated monthly according to a price set by the Nasdaq Bitcoin reference price index. As of September 30, 2025, the settlement accrual was $1.8 million and represents the value of the remaining 16 BTC to be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97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0440"/>
        <w:spacing w:after="0"/>
        <w:tabs>
          <w:tab w:leader="none" w:pos="10840" w:val="left"/>
        </w:tabs>
        <w:rPr>
          <w:sz w:val="20"/>
          <w:szCs w:val="20"/>
          <w:color w:val="auto"/>
        </w:rPr>
      </w:pPr>
      <w:r>
        <w:rPr>
          <w:rFonts w:ascii="Times New Roman" w:cs="Times New Roman" w:eastAsia="Times New Roman" w:hAnsi="Times New Roman"/>
          <w:sz w:val="18"/>
          <w:szCs w:val="18"/>
          <w:color w:val="auto"/>
        </w:rPr>
        <w:t>48</w:t>
        <w:tab/>
        <w:t>Page</w:t>
      </w:r>
    </w:p>
    <w:p>
      <w:pPr>
        <w:sectPr>
          <w:pgSz w:w="11900" w:h="16838" w:orient="portrait"/>
          <w:cols w:equalWidth="0" w:num="1">
            <w:col w:w="11240"/>
          </w:cols>
          <w:pgMar w:left="320" w:top="927"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Lawsuits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iii. Class Action Lawsuit</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May 9, 2025, and as amended on October 21, 2025, a purported shareholder filed a putative class action complaint in the United States District Court for the Eastern District of New York, in a case now titled In re: Bitfarms Securities Litigation, case no 1:25-cv-02630. Co-Lead Plaintiffs Zhao Jun, Gong Lanfang, Michael Pearl, Kazim Khan, and Michael Lawarre sued Bitfarms Ltd., Benjamin Gagnon, Jeffrey Lucas and Geoffrey Morphy alleging violations of Sections 10(b) and 20(a) of the Securities Exchange Act of 1934 and Rule 10b-5, promulgated thereunder. The lawsuit alleges that the Company, its current CEO, its former CFO and its former CEO made materially false and/or misleading statements regarding the Company’s business, operations and internal controls over financial reporting. The Plaintiff seeks class certification, unspecified damages plus interest and attorney and expert witness fees and other costs on behalf of a purported class consisting of all persons and entities (subject to specified exceptions) that purchased or otherwise acquired Company common stock from March 21, 2023 and December 9, 2024. The lawsuit was filed by Pomerantz Law Firm. The Company cannot predict the duration or outcome of this lawsuit at this time. As a result, the Company is unable to estimate the reasonably possible loss or range of reasonably possible loss arising from this lawsuit and no provision was recorded as of September 30, 2025. The Company intends to vigorously defend itself in this matter.</w:t>
      </w:r>
    </w:p>
    <w:p>
      <w:pPr>
        <w:spacing w:after="0" w:line="189" w:lineRule="exact"/>
        <w:rPr>
          <w:sz w:val="20"/>
          <w:szCs w:val="20"/>
          <w:color w:val="auto"/>
        </w:rPr>
      </w:pPr>
    </w:p>
    <w:p>
      <w:pPr>
        <w:ind w:left="660" w:hanging="652"/>
        <w:spacing w:after="0"/>
        <w:tabs>
          <w:tab w:leader="none" w:pos="66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committed to purchase the following property, plant and equipment as of September 30, 2025: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23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2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21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3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i.</w:t>
            </w:r>
          </w:p>
        </w:tc>
        <w:tc>
          <w:tcPr>
            <w:tcW w:w="12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5,348</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HPC/AI infrastructure projects</w:t>
            </w:r>
          </w:p>
        </w:tc>
        <w:tc>
          <w:tcPr>
            <w:tcW w:w="2340" w:type="dxa"/>
            <w:vAlign w:val="bottom"/>
          </w:tcPr>
          <w:p>
            <w:pPr>
              <w:spacing w:after="0"/>
              <w:rPr>
                <w:sz w:val="18"/>
                <w:szCs w:val="18"/>
                <w:color w:val="auto"/>
              </w:rPr>
            </w:pPr>
          </w:p>
        </w:tc>
        <w:tc>
          <w:tcPr>
            <w:tcW w:w="12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1,289</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6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HPC/AI infrastructure projects in Sharon, Pennsylvania, United States</w:t>
            </w:r>
          </w:p>
        </w:tc>
        <w:tc>
          <w:tcPr>
            <w:tcW w:w="2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14,775</w:t>
            </w:r>
          </w:p>
        </w:tc>
      </w:tr>
      <w:tr>
        <w:trPr>
          <w:trHeight w:val="223"/>
        </w:trPr>
        <w:tc>
          <w:tcPr>
            <w:tcW w:w="664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6,637</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14,775</w:t>
            </w:r>
          </w:p>
        </w:tc>
      </w:tr>
    </w:tbl>
    <w:p>
      <w:pPr>
        <w:spacing w:after="0" w:line="196" w:lineRule="exact"/>
        <w:rPr>
          <w:sz w:val="20"/>
          <w:szCs w:val="20"/>
          <w:color w:val="auto"/>
        </w:rPr>
      </w:pPr>
    </w:p>
    <w:p>
      <w:pPr>
        <w:ind w:left="340" w:hanging="332"/>
        <w:spacing w:after="0"/>
        <w:tabs>
          <w:tab w:leader="none" w:pos="340" w:val="left"/>
        </w:tabs>
        <w:numPr>
          <w:ilvl w:val="0"/>
          <w:numId w:val="1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Agreements to purchase land</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August 2025, the Company entered into agreements to purchase 3 acres of land in Washington State, United States and 181 acres of land in Pennsylvania, United States for $1.9 million and $3.5 million, respectively.</w:t>
      </w:r>
    </w:p>
    <w:p>
      <w:pPr>
        <w:spacing w:after="0" w:line="17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i w:val="1"/>
          <w:iCs w:val="1"/>
          <w:color w:val="auto"/>
        </w:rPr>
        <w:t>ii.</w:t>
      </w:r>
      <w:r>
        <w:rPr>
          <w:sz w:val="20"/>
          <w:szCs w:val="20"/>
          <w:color w:val="auto"/>
        </w:rPr>
        <w:tab/>
      </w:r>
      <w:r>
        <w:rPr>
          <w:rFonts w:ascii="Times New Roman" w:cs="Times New Roman" w:eastAsia="Times New Roman" w:hAnsi="Times New Roman"/>
          <w:sz w:val="17"/>
          <w:szCs w:val="17"/>
          <w:i w:val="1"/>
          <w:iCs w:val="1"/>
          <w:color w:val="auto"/>
        </w:rPr>
        <w:t>Subsequent to September 30, 2025</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2025, the Company entered into a purchase commitment of $128.7 million, payable over the next 12 months, for the development and expansion of HPC/AI infrastructure projects with a large publicly traded American multinational provider of critical infrastructure and services for data centers. Under the terms of the agreement, the provider will deliver a range of services that include engineering, project management assistance, procurement and manufacturing, site management support and factory acceptance testing, all contributing, in addition to other expenses, to the construction of a fully integrated 18 MW hybrid-built data center in Washington State,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97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10440"/>
        <w:spacing w:after="0"/>
        <w:tabs>
          <w:tab w:leader="none" w:pos="10840" w:val="left"/>
        </w:tabs>
        <w:rPr>
          <w:sz w:val="20"/>
          <w:szCs w:val="20"/>
          <w:color w:val="auto"/>
        </w:rPr>
      </w:pPr>
      <w:r>
        <w:rPr>
          <w:rFonts w:ascii="Times New Roman" w:cs="Times New Roman" w:eastAsia="Times New Roman" w:hAnsi="Times New Roman"/>
          <w:sz w:val="18"/>
          <w:szCs w:val="18"/>
          <w:color w:val="auto"/>
        </w:rPr>
        <w:t>49</w:t>
        <w:tab/>
        <w:t>Page</w:t>
      </w:r>
    </w:p>
    <w:p>
      <w:pPr>
        <w:sectPr>
          <w:pgSz w:w="11900" w:h="16838" w:orient="portrait"/>
          <w:cols w:equalWidth="0" w:num="1">
            <w:col w:w="11240"/>
          </w:cols>
          <w:pgMar w:left="320" w:top="954"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Contingent Liability</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the Company continues to periodically import products into the United States, it is subject to review by the CBP regarding the classification and origin of such imports. Refer to Note 16 for more details regarding the Company's Miners imported in 2021. There were no Miners imported into the United States in 2022 or 2023; and for 2024 and 2025, the Company has not received any assessment or communication of a potential assessment.</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the Company took several steps to ensure compliance with CBP rules and regulations by sourcing non-Chinese origin equipment including, but not limited to, the specifications of which non-Chinese production facilities could be supplied under our purchase agreements with Bitmain Development PTE. Ltd., in person factory inspections by the Company's employees to verify production, and the collection of various importation documents that confer non-Chinese origin. While the Company has addressed certain concerns related to previous importations, additional assessments may be made by the CBP in connection with other importations.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imported 9,399 and 34,179 Miners in the United States during 2024 and 2025, respectively, and had delivered asset values of $25.8 million and $130.7 million, respectively. Importation tariffs from China were 22.4% in 2024 and fluctuated between 22.4% and 150.5% in 2025. Any assessments made on previous importations by the CBP could also include penalties and interest.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this time, while the Company believes it has taken the appropriate steps to reduce the risk of potential exposure, the Company is unable to predict the outcome of any future assessments or to reasonably estimate the amount, if any, that may be payable in connection with these matters. The facts surrounding each importation may vary and the Company reserves the right and may challenge any assessments.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FINANCIAL POSITION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38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Working Capital</w:t>
            </w:r>
          </w:p>
        </w:tc>
        <w:tc>
          <w:tcPr>
            <w:tcW w:w="27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59"/>
        </w:trPr>
        <w:tc>
          <w:tcPr>
            <w:tcW w:w="4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1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As of December 31,</w:t>
            </w:r>
          </w:p>
        </w:tc>
        <w:tc>
          <w:tcPr>
            <w:tcW w:w="1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10"/>
        </w:trPr>
        <w:tc>
          <w:tcPr>
            <w:tcW w:w="4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2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2024</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 Change</w:t>
            </w: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r>
      <w:tr>
        <w:trPr>
          <w:trHeight w:val="210"/>
        </w:trPr>
        <w:tc>
          <w:tcPr>
            <w:tcW w:w="4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2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374,710</w:t>
            </w:r>
          </w:p>
        </w:tc>
        <w:tc>
          <w:tcPr>
            <w:tcW w:w="18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213,709</w:t>
            </w: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161,001</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42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117,052</w:t>
            </w:r>
          </w:p>
        </w:tc>
        <w:tc>
          <w:tcPr>
            <w:tcW w:w="1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36,270</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80,782</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17"/>
        </w:trPr>
        <w:tc>
          <w:tcPr>
            <w:tcW w:w="4280" w:type="dxa"/>
            <w:vAlign w:val="bottom"/>
            <w:tcBorders>
              <w:bottom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Working Capital</w:t>
            </w:r>
          </w:p>
        </w:tc>
        <w:tc>
          <w:tcPr>
            <w:tcW w:w="27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257,658</w:t>
            </w:r>
          </w:p>
        </w:tc>
        <w:tc>
          <w:tcPr>
            <w:tcW w:w="18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177,439</w:t>
            </w:r>
          </w:p>
        </w:tc>
        <w:tc>
          <w:tcPr>
            <w:tcW w:w="12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80,219</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continues to place importance on maintaining sufficient liquidity to fund its HPC/AI development activities. The Company also anticipates requiring additional funds to complete its 2025 and 2026 growth plans discussed in Section 7 - </w:t>
      </w:r>
      <w:r>
        <w:rPr>
          <w:rFonts w:ascii="Times New Roman" w:cs="Times New Roman" w:eastAsia="Times New Roman" w:hAnsi="Times New Roman"/>
          <w:sz w:val="18"/>
          <w:szCs w:val="18"/>
          <w:i w:val="1"/>
          <w:iCs w:val="1"/>
          <w:color w:val="auto"/>
        </w:rPr>
        <w:t>HPC/AI Infrastructure and BTC Mining Expansion Projects</w:t>
      </w:r>
      <w:r>
        <w:rPr>
          <w:rFonts w:ascii="Times New Roman" w:cs="Times New Roman" w:eastAsia="Times New Roman" w:hAnsi="Times New Roman"/>
          <w:sz w:val="18"/>
          <w:szCs w:val="18"/>
          <w:color w:val="auto"/>
        </w:rPr>
        <w:t xml:space="preserve"> of this MD&amp;A. As of September 30, 2025, Bitfarms had working capital of $257.7 million, compared to $177.4 million as of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working capital was mostly due to:</w:t>
      </w:r>
    </w:p>
    <w:p>
      <w:pPr>
        <w:spacing w:after="0" w:line="27" w:lineRule="exact"/>
        <w:rPr>
          <w:sz w:val="20"/>
          <w:szCs w:val="20"/>
          <w:color w:val="auto"/>
        </w:rPr>
      </w:pPr>
    </w:p>
    <w:p>
      <w:pPr>
        <w:ind w:left="340" w:right="20" w:hanging="332"/>
        <w:spacing w:after="0" w:line="250" w:lineRule="auto"/>
        <w:tabs>
          <w:tab w:leader="none" w:pos="3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$69.1 million increase in digital assets resulting from the increase in the BTC price during YTD Q3 2025 and by the Company’s balance increasing by 373 BTC;</w:t>
      </w:r>
    </w:p>
    <w:p>
      <w:pPr>
        <w:ind w:left="340" w:hanging="332"/>
        <w:spacing w:after="0"/>
        <w:tabs>
          <w:tab w:leader="none" w:pos="3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$27.4 million increase in cash as explained by the cash flows. Refer to Section 11A - </w:t>
      </w:r>
      <w:r>
        <w:rPr>
          <w:rFonts w:ascii="Times New Roman" w:cs="Times New Roman" w:eastAsia="Times New Roman" w:hAnsi="Times New Roman"/>
          <w:sz w:val="18"/>
          <w:szCs w:val="18"/>
          <w:i w:val="1"/>
          <w:iCs w:val="1"/>
          <w:color w:val="auto"/>
        </w:rPr>
        <w:t>Liquidity and Capital Resources - Cash flows</w:t>
      </w:r>
      <w:r>
        <w:rPr>
          <w:rFonts w:ascii="Times New Roman" w:cs="Times New Roman" w:eastAsia="Times New Roman" w:hAnsi="Times New Roman"/>
          <w:sz w:val="18"/>
          <w:szCs w:val="18"/>
          <w:color w:val="auto"/>
        </w:rPr>
        <w:t xml:space="preserve"> of this MD&amp;A;</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$58.8 million increase in assets held for sale mainly due to i) the timing of the Miners swap order signed in July 2025, as not all Miners designated for return had been returned to the supplier and not all Miners received and intended for sale had been sold by period end during YTD Q3 2025, and ii) the reclassification of the assets of the Paso Pe facility as held for sale for $35.9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97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10440"/>
        <w:spacing w:after="0"/>
        <w:tabs>
          <w:tab w:leader="none" w:pos="10840" w:val="left"/>
        </w:tabs>
        <w:rPr>
          <w:sz w:val="20"/>
          <w:szCs w:val="20"/>
          <w:color w:val="auto"/>
        </w:rPr>
      </w:pPr>
      <w:r>
        <w:rPr>
          <w:rFonts w:ascii="Times New Roman" w:cs="Times New Roman" w:eastAsia="Times New Roman" w:hAnsi="Times New Roman"/>
          <w:sz w:val="18"/>
          <w:szCs w:val="18"/>
          <w:color w:val="auto"/>
        </w:rPr>
        <w:t>50</w:t>
        <w:tab/>
        <w:t>Page</w:t>
      </w:r>
    </w:p>
    <w:p>
      <w:pPr>
        <w:sectPr>
          <w:pgSz w:w="11900" w:h="16838" w:orient="portrait"/>
          <w:cols w:equalWidth="0" w:num="1">
            <w:col w:w="11240"/>
          </w:cols>
          <w:pgMar w:left="320" w:top="927"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12. FINANCIAL POSITION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Working Capital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ind w:left="340" w:hanging="332"/>
        <w:spacing w:after="0" w:line="250" w:lineRule="auto"/>
        <w:tabs>
          <w:tab w:leader="none" w:pos="3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$5.8 million increase in inventories mainly attributable to (i) the acquisition of Stronghold as explained in Note 5 to the Financial Statements, (ii) the acquisition of mining repairs equipment and (iii) the accelerated purchase of inventories to buildup stock in anticipation of United States tariffs; and</w:t>
      </w:r>
    </w:p>
    <w:p>
      <w:pPr>
        <w:ind w:left="340" w:hanging="332"/>
        <w:spacing w:after="0"/>
        <w:tabs>
          <w:tab w:leader="none" w:pos="3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$9.4 million increase in RECs and WTCs derived from Stronghold’s refuse operations.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partially offset by:</w:t>
      </w:r>
    </w:p>
    <w:p>
      <w:pPr>
        <w:spacing w:after="0" w:line="27" w:lineRule="exact"/>
        <w:rPr>
          <w:sz w:val="20"/>
          <w:szCs w:val="20"/>
          <w:color w:val="auto"/>
        </w:rPr>
      </w:pPr>
    </w:p>
    <w:p>
      <w:pPr>
        <w:jc w:val="both"/>
        <w:ind w:left="340" w:hanging="332"/>
        <w:spacing w:after="0" w:line="250" w:lineRule="auto"/>
        <w:tabs>
          <w:tab w:leader="none" w:pos="3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$42.6 million increase in trade payables and accrued liabilities mainly due to i) $23.5 million attributable to the acquisition of Stronghold as explained in Note 5 to the Financial Statements, ii)the accrued liability of $9.2 million related to custom duties as explained in Note 16 to the Financial Statements, and iii) $9.1 million in liabilities related to assets held for sale in connection with the Miners swap order signed in July 2025, for which the Company received all of the Miners from the supplier but had not yet completed the return of all Miners that it had previously agreed to return.</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$21.1 million increase in warrant liabilities due to the subsequent increase in the fair value revaluation of the warrants from the 2023 private placements and 2025 Warrants as a result of the increase in the Company’s share price;</w:t>
      </w:r>
    </w:p>
    <w:p>
      <w:pPr>
        <w:jc w:val="both"/>
        <w:ind w:left="340" w:hanging="332"/>
        <w:spacing w:after="0" w:line="250" w:lineRule="auto"/>
        <w:tabs>
          <w:tab w:leader="none" w:pos="3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$15.3 million increase in redemption obligations, which represented the remaining BTC Redemption Options for which Miners have been shipped, reflecting the Company’s obligation to either redeem the BTC Pledged for cash or use the BTC Pledged for the purchase of the Miners. No redemption obligations were recorded as of December 31, 2024, as the Miners ordered, for which a deposit payment in BTC was made, had not yet been shipped; and</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$8.4 million decrease in short-term prepaid deposits mainly related to the usage up to May 2025 of the prepayment of electricity to its energy supplier in Argentina during FY 2024, and the subsequent write down of the remaining portion of the prepayment.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w:t>
            </w:r>
          </w:p>
        </w:tc>
        <w:tc>
          <w:tcPr>
            <w:tcW w:w="426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24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2"/>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net book value of PPE by country is as follows:</w:t>
            </w:r>
          </w:p>
        </w:tc>
        <w:tc>
          <w:tcPr>
            <w:tcW w:w="24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45"/>
        </w:trPr>
        <w:tc>
          <w:tcPr>
            <w:tcW w:w="26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18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As of December 31,</w:t>
            </w:r>
          </w:p>
        </w:tc>
        <w:tc>
          <w:tcPr>
            <w:tcW w:w="1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23"/>
        </w:trPr>
        <w:tc>
          <w:tcPr>
            <w:tcW w:w="4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2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2024</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 Change</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10"/>
        </w:trPr>
        <w:tc>
          <w:tcPr>
            <w:tcW w:w="4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24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Canada</w:t>
            </w:r>
          </w:p>
        </w:tc>
        <w:tc>
          <w:tcPr>
            <w:tcW w:w="24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77,770</w:t>
            </w:r>
          </w:p>
        </w:tc>
        <w:tc>
          <w:tcPr>
            <w:tcW w:w="1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117,615</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(39,845)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260" w:type="dxa"/>
            <w:vAlign w:val="bottom"/>
            <w:tcBorders>
              <w:bottom w:val="single" w:sz="8" w:color="auto"/>
            </w:tcBorders>
            <w:shd w:val="clear" w:color="auto" w:fill="CCEEFF"/>
          </w:tcPr>
          <w:p>
            <w:pPr>
              <w:spacing w:after="0"/>
              <w:rPr>
                <w:sz w:val="19"/>
                <w:szCs w:val="19"/>
                <w:color w:val="auto"/>
              </w:rPr>
            </w:pPr>
          </w:p>
        </w:tc>
        <w:tc>
          <w:tcPr>
            <w:tcW w:w="42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United States</w:t>
            </w:r>
          </w:p>
        </w:tc>
        <w:tc>
          <w:tcPr>
            <w:tcW w:w="2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282,088</w:t>
            </w:r>
          </w:p>
        </w:tc>
        <w:tc>
          <w:tcPr>
            <w:tcW w:w="18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62,854</w:t>
            </w:r>
          </w:p>
        </w:tc>
        <w:tc>
          <w:tcPr>
            <w:tcW w:w="12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219,234</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10"/>
        </w:trPr>
        <w:tc>
          <w:tcPr>
            <w:tcW w:w="2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4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359,858</w:t>
            </w:r>
          </w:p>
        </w:tc>
        <w:tc>
          <w:tcPr>
            <w:tcW w:w="1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180,469</w:t>
            </w: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179,389</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4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24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Paraguay</w:t>
            </w:r>
          </w:p>
        </w:tc>
        <w:tc>
          <w:tcPr>
            <w:tcW w:w="24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112,452</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(112,452)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260" w:type="dxa"/>
            <w:vAlign w:val="bottom"/>
            <w:tcBorders>
              <w:bottom w:val="single" w:sz="8" w:color="auto"/>
            </w:tcBorders>
            <w:shd w:val="clear" w:color="auto" w:fill="CCEEFF"/>
          </w:tcPr>
          <w:p>
            <w:pPr>
              <w:spacing w:after="0"/>
              <w:rPr>
                <w:sz w:val="19"/>
                <w:szCs w:val="19"/>
                <w:color w:val="auto"/>
              </w:rPr>
            </w:pPr>
          </w:p>
        </w:tc>
        <w:tc>
          <w:tcPr>
            <w:tcW w:w="42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Argentina</w:t>
            </w:r>
          </w:p>
        </w:tc>
        <w:tc>
          <w:tcPr>
            <w:tcW w:w="2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w:t>
            </w:r>
          </w:p>
        </w:tc>
        <w:tc>
          <w:tcPr>
            <w:tcW w:w="18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55,604</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(55,592)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260" w:type="dxa"/>
            <w:vAlign w:val="bottom"/>
            <w:tcBorders>
              <w:bottom w:val="single" w:sz="8" w:color="auto"/>
            </w:tcBorders>
          </w:tcPr>
          <w:p>
            <w:pPr>
              <w:spacing w:after="0"/>
              <w:rPr>
                <w:sz w:val="19"/>
                <w:szCs w:val="19"/>
                <w:color w:val="auto"/>
              </w:rPr>
            </w:pPr>
          </w:p>
        </w:tc>
        <w:tc>
          <w:tcPr>
            <w:tcW w:w="426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w:t>
            </w:r>
          </w:p>
        </w:tc>
        <w:tc>
          <w:tcPr>
            <w:tcW w:w="18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168,056</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(168,044)</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260" w:type="dxa"/>
            <w:vAlign w:val="bottom"/>
            <w:tcBorders>
              <w:bottom w:val="single" w:sz="8" w:color="auto"/>
            </w:tcBorders>
            <w:shd w:val="clear" w:color="auto" w:fill="CCEEFF"/>
          </w:tcPr>
          <w:p>
            <w:pPr>
              <w:spacing w:after="0"/>
              <w:rPr>
                <w:sz w:val="20"/>
                <w:szCs w:val="20"/>
                <w:color w:val="auto"/>
              </w:rPr>
            </w:pPr>
          </w:p>
        </w:tc>
        <w:tc>
          <w:tcPr>
            <w:tcW w:w="4260" w:type="dxa"/>
            <w:vAlign w:val="bottom"/>
            <w:tcBorders>
              <w:bottom w:val="single" w:sz="8" w:color="auto"/>
            </w:tcBorders>
            <w:shd w:val="clear" w:color="auto" w:fill="CCEEFF"/>
          </w:tcPr>
          <w:p>
            <w:pPr>
              <w:spacing w:after="0"/>
              <w:rPr>
                <w:sz w:val="20"/>
                <w:szCs w:val="20"/>
                <w:color w:val="auto"/>
              </w:rPr>
            </w:pPr>
          </w:p>
        </w:tc>
        <w:tc>
          <w:tcPr>
            <w:tcW w:w="2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359,870</w:t>
            </w:r>
          </w:p>
        </w:tc>
        <w:tc>
          <w:tcPr>
            <w:tcW w:w="18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348,525</w:t>
            </w:r>
          </w:p>
        </w:tc>
        <w:tc>
          <w:tcPr>
            <w:tcW w:w="12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11,345</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97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10440"/>
        <w:spacing w:after="0"/>
        <w:tabs>
          <w:tab w:leader="none" w:pos="10840" w:val="left"/>
        </w:tabs>
        <w:rPr>
          <w:sz w:val="20"/>
          <w:szCs w:val="20"/>
          <w:color w:val="auto"/>
        </w:rPr>
      </w:pPr>
      <w:r>
        <w:rPr>
          <w:rFonts w:ascii="Times New Roman" w:cs="Times New Roman" w:eastAsia="Times New Roman" w:hAnsi="Times New Roman"/>
          <w:sz w:val="18"/>
          <w:szCs w:val="18"/>
          <w:color w:val="auto"/>
        </w:rPr>
        <w:t>51</w:t>
        <w:tab/>
        <w:t>Page</w:t>
      </w:r>
    </w:p>
    <w:p>
      <w:pPr>
        <w:sectPr>
          <w:pgSz w:w="11900" w:h="16838" w:orient="portrait"/>
          <w:cols w:equalWidth="0" w:num="1">
            <w:col w:w="11240"/>
          </w:cols>
          <w:pgMar w:left="320" w:top="927"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12. FINANCIAL POSITION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Property, plant and equipment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As of September 30, 2025, Bitfarms had PPE of $359.9 million, compared to $348.5 million as of December 31, 2024. The increase of $11.3 million, or 3%, was primarily due to:</w:t>
      </w:r>
    </w:p>
    <w:p>
      <w:pPr>
        <w:spacing w:after="0" w:line="1" w:lineRule="exact"/>
        <w:rPr>
          <w:sz w:val="20"/>
          <w:szCs w:val="20"/>
          <w:color w:val="auto"/>
        </w:rPr>
      </w:pPr>
    </w:p>
    <w:p>
      <w:pPr>
        <w:jc w:val="both"/>
        <w:ind w:left="660" w:hanging="328"/>
        <w:spacing w:after="0" w:line="255" w:lineRule="auto"/>
        <w:tabs>
          <w:tab w:leader="none" w:pos="660" w:val="left"/>
        </w:tabs>
        <w:numPr>
          <w:ilvl w:val="0"/>
          <w:numId w:val="1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The $219.2 million increase in United States PPE mainly due to the $152.3 million increase from the acquisition of Stronghold as explained in Note 5 to the Financial Statements as well as ongoing expansion investments in the United States. Refer to section 7b - </w:t>
      </w:r>
      <w:r>
        <w:rPr>
          <w:rFonts w:ascii="Times New Roman" w:cs="Times New Roman" w:eastAsia="Times New Roman" w:hAnsi="Times New Roman"/>
          <w:sz w:val="18"/>
          <w:szCs w:val="18"/>
          <w:i w:val="1"/>
          <w:iCs w:val="1"/>
          <w:color w:val="auto"/>
        </w:rPr>
        <w:t>Expansion Projects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(United States Expansion)</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partially offset by:</w:t>
      </w:r>
    </w:p>
    <w:p>
      <w:pPr>
        <w:spacing w:after="0" w:line="27" w:lineRule="exact"/>
        <w:rPr>
          <w:sz w:val="20"/>
          <w:szCs w:val="20"/>
          <w:color w:val="auto"/>
        </w:rPr>
      </w:pPr>
    </w:p>
    <w:p>
      <w:pPr>
        <w:jc w:val="both"/>
        <w:ind w:left="660" w:hanging="328"/>
        <w:spacing w:after="0" w:line="250" w:lineRule="auto"/>
        <w:tabs>
          <w:tab w:leader="none" w:pos="66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$112.5 million decrease in Paraguay PPE primarily due to the reclassification of the assets of the Paso Pe Mining Site to assets held for sale after a $30.9 million impairment loss was recorded to adjust the value of the assets to fair value less costs to sell and the sale of the Yguazu Mining Site;</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$55.6 million decrease in Argentina PPE due to impairment, the reclassification to assets held for sale and the activities being discontinued in the second quarter of 2025; and</w:t>
      </w:r>
    </w:p>
    <w:p>
      <w:pPr>
        <w:ind w:left="660" w:hanging="328"/>
        <w:spacing w:after="0"/>
        <w:tabs>
          <w:tab w:leader="none" w:pos="66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$39.8 million decrease in Canada PPE mainly due to regular depreciation, which exceeded Miners fleet upgrade.</w:t>
      </w:r>
    </w:p>
    <w:p>
      <w:pPr>
        <w:spacing w:after="0" w:line="202"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discloses information on the classification and fair value of its financial instruments, as well as on the nature and extent of risks arising from financial instruments, and related risk management in Note 21 to the Financial Statements and Note 23 to the 2024 Annual Financial Statements. Risks are related to foreign currency, credit, counterparty, liquidity, and concentration.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Company discloses information on its related party transactions, as defined in IAS 24, </w:t>
      </w:r>
      <w:r>
        <w:rPr>
          <w:rFonts w:ascii="Times New Roman" w:cs="Times New Roman" w:eastAsia="Times New Roman" w:hAnsi="Times New Roman"/>
          <w:sz w:val="18"/>
          <w:szCs w:val="18"/>
          <w:i w:val="1"/>
          <w:iCs w:val="1"/>
          <w:color w:val="auto"/>
        </w:rPr>
        <w:t>Related Party Disclosures</w:t>
      </w:r>
      <w:r>
        <w:rPr>
          <w:rFonts w:ascii="Times New Roman" w:cs="Times New Roman" w:eastAsia="Times New Roman" w:hAnsi="Times New Roman"/>
          <w:sz w:val="18"/>
          <w:szCs w:val="18"/>
          <w:color w:val="auto"/>
        </w:rPr>
        <w:t>, in Note 24 to the 2024 Annual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INTERNAL CONTROLS OVER FINANCIAL REPORTING</w:t>
      </w:r>
    </w:p>
    <w:p>
      <w:pPr>
        <w:spacing w:after="0" w:line="225" w:lineRule="exact"/>
        <w:rPr>
          <w:sz w:val="20"/>
          <w:szCs w:val="20"/>
          <w:color w:val="auto"/>
        </w:rPr>
      </w:pPr>
    </w:p>
    <w:p>
      <w:pPr>
        <w:ind w:left="660" w:hanging="652"/>
        <w:spacing w:after="0"/>
        <w:tabs>
          <w:tab w:leader="none" w:pos="660"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Management, under the supervision of the Chief Executive Officer (“CEO”) and Chief Financial Officer (“CFO”) of the Company, has designed or caused to be designed under their supervision disclosure controls and procedures (“DC&amp;P”) to provide reasonable assurance that:</w:t>
      </w:r>
    </w:p>
    <w:p>
      <w:pPr>
        <w:spacing w:after="0" w:line="162" w:lineRule="exact"/>
        <w:rPr>
          <w:sz w:val="20"/>
          <w:szCs w:val="20"/>
          <w:color w:val="auto"/>
        </w:rPr>
      </w:pPr>
    </w:p>
    <w:p>
      <w:pPr>
        <w:ind w:firstLine="8"/>
        <w:spacing w:after="0" w:line="282" w:lineRule="auto"/>
        <w:tabs>
          <w:tab w:leader="none" w:pos="17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information relating to the Company is made known to them by others, particularly during the period in which the annual filings are being prepared;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2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required to be disclosed by the Company in its annual filings, interim filings or other reports filed or submitted by the Company under securities legislation is recorded, processed, summarized and reported within the time periods specified in securities legislation.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803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398" w:lineRule="exact"/>
        <w:rPr>
          <w:sz w:val="20"/>
          <w:szCs w:val="20"/>
          <w:color w:val="auto"/>
        </w:rPr>
      </w:pPr>
    </w:p>
    <w:p>
      <w:pPr>
        <w:ind w:left="10440"/>
        <w:spacing w:after="0"/>
        <w:tabs>
          <w:tab w:leader="none" w:pos="10840" w:val="left"/>
        </w:tabs>
        <w:rPr>
          <w:sz w:val="20"/>
          <w:szCs w:val="20"/>
          <w:color w:val="auto"/>
        </w:rPr>
      </w:pPr>
      <w:r>
        <w:rPr>
          <w:rFonts w:ascii="Times New Roman" w:cs="Times New Roman" w:eastAsia="Times New Roman" w:hAnsi="Times New Roman"/>
          <w:sz w:val="18"/>
          <w:szCs w:val="18"/>
          <w:color w:val="auto"/>
        </w:rPr>
        <w:t>52</w:t>
        <w:tab/>
        <w:t>Page</w:t>
      </w:r>
    </w:p>
    <w:p>
      <w:pPr>
        <w:sectPr>
          <w:pgSz w:w="11900" w:h="16838" w:orient="portrait"/>
          <w:cols w:equalWidth="0" w:num="1">
            <w:col w:w="11240"/>
          </w:cols>
          <w:pgMar w:left="320" w:top="927"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15. INTERNAL CONTROLS OVER FINANCIAL REPORTING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Management’s quarterly report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under the supervision of the CEO and CFO, is also responsible for establishing and maintaining adequate internal control over financial reporting (“ICFR”). Management, under the supervision of the CEO and CFO, has designed ICFR, or caused them to be designed under their supervision, to provide reasonable assurance regarding the reliability of financial reporting and the preparation of financial statements for external purposes in accordance with IFRS Accounting Standards.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Identified material weakness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such that there is a reasonable possibility that a material misstatement of the Company’s annual or interim financial statements will not be prevented or detected on a timely basis.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2023, Management identified that the warrants issued in 2021 should have been classified as a financial liability and accounted for at fair value through profit and loss, and not as equity instruments. The restatement to correct the classification and subsequent accounting for those warrants impacted the consolidated financial statements of the Company for the year ended December 31, 2022, which was reflected in the comparative period for the consolidated financial statements of the Company for the year ended December 31, 2023 filed on December 9, 2024.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fourth quarter of 2024, Management also identified a material error in the statements of cash flows, resulting in a reclassification of sales of digital assets from cash flows from operations to cash flows from investing activities. These errors, which impacted the consolidated financial statements for the year ended December 31, 2023 and 2022, were corrected with the filing of Amendment No. 1 to the Annual Report on Form 40-F for fiscal year ended December 31, 2023.</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concluded that the control over accounting for complex transactions did not operate effectively in these instances, which constitutes a material weakness in ICFR as of December 31, 2024. Management concluded that the Company’s ICFR as of December 31, 2024 was not effective because of the material weakness.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plan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Remediation efforts to date comprise expanding the finance team to include more Chartered Professional Accountants and Certified Public Accountants (CPAs) with technical expertise and experience in evaluating more complex areas of IFRS Accounting Standards, involving the Company’s legal counsel on evaluating complex agreements involving financial instruments and engaging third-party consultants to assist with assessing the accounting for complex transactions and review of financial statements. Management’s efforts to hire more CPAs and involving the Company’s legal counsel and third-party consultants to assist with complex transactions were in place at the end of 2024, and its remediation plan is expected to be completed after review and testing of controls during 2025.</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If these remedial measures are insufficient to address the material weakness described above, or are not implemented timely, or additional deficiencies arise in the future, material misstatements in our interim or annual financial statements may occur in the future and could have the effects described in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w:t>
      </w:r>
      <w:r>
        <w:rPr>
          <w:rFonts w:ascii="Times New Roman" w:cs="Times New Roman" w:eastAsia="Times New Roman" w:hAnsi="Times New Roman"/>
          <w:sz w:val="18"/>
          <w:szCs w:val="18"/>
          <w:color w:val="auto"/>
        </w:rPr>
        <w:t>of the Company’s MD&amp;A for the year ended December 31, 2024, dated March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97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0440"/>
        <w:spacing w:after="0"/>
        <w:tabs>
          <w:tab w:leader="none" w:pos="10840" w:val="left"/>
        </w:tabs>
        <w:rPr>
          <w:sz w:val="20"/>
          <w:szCs w:val="20"/>
          <w:color w:val="auto"/>
        </w:rPr>
      </w:pPr>
      <w:r>
        <w:rPr>
          <w:rFonts w:ascii="Times New Roman" w:cs="Times New Roman" w:eastAsia="Times New Roman" w:hAnsi="Times New Roman"/>
          <w:sz w:val="18"/>
          <w:szCs w:val="18"/>
          <w:color w:val="auto"/>
        </w:rPr>
        <w:t>53</w:t>
        <w:tab/>
        <w:t>Page</w:t>
      </w:r>
    </w:p>
    <w:p>
      <w:pPr>
        <w:sectPr>
          <w:pgSz w:w="11900" w:h="16838" w:orient="portrait"/>
          <w:cols w:equalWidth="0" w:num="1">
            <w:col w:w="11240"/>
          </w:cols>
          <w:pgMar w:left="320" w:top="927"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15. INTERNAL CONTROLS OVER FINANCIAL REPORTING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Management’s quarterly report on internal control over financial reporting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Remediation plan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Company believes that the design implementation of the revised control is complete, the validation and testing of the operating effectiveness of the internal control over a sustained period of financial reporting cycles will be required before it is considered remediated.</w:t>
      </w:r>
    </w:p>
    <w:p>
      <w:pPr>
        <w:spacing w:after="0" w:line="177" w:lineRule="exact"/>
        <w:rPr>
          <w:sz w:val="20"/>
          <w:szCs w:val="20"/>
          <w:color w:val="auto"/>
        </w:rPr>
      </w:pPr>
    </w:p>
    <w:p>
      <w:pPr>
        <w:ind w:left="660" w:hanging="652"/>
        <w:spacing w:after="0"/>
        <w:tabs>
          <w:tab w:leader="none" w:pos="660"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3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There have been no changes in the Company’s ICFR that have materially affected, or are reasonably likely to materially affect, the Company’s ICFR during the period beginning on July 1, 2025 and ended September 30, 2025.</w:t>
      </w:r>
    </w:p>
    <w:p>
      <w:pPr>
        <w:spacing w:after="0" w:line="177" w:lineRule="exact"/>
        <w:rPr>
          <w:sz w:val="20"/>
          <w:szCs w:val="20"/>
          <w:color w:val="auto"/>
        </w:rPr>
      </w:pPr>
    </w:p>
    <w:p>
      <w:pPr>
        <w:ind w:left="660" w:hanging="652"/>
        <w:spacing w:after="0"/>
        <w:tabs>
          <w:tab w:leader="none" w:pos="660"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 of DC&amp;P and ICFR</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control systems contain inherent limitations, regardless of how well they are designed. As a result, Management acknowledges that its internal control over financial reporting will not prevent or detect all misstatements due to error or fraud. In addition, Management’s evaluation of controls can provide only reasonable, not absolute, assurance that all control issues that may result in material misstatements, if any, have been detected.</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2025, the Company acquired Stronghold in the Stronghold Transaction. The Company is currently in the process of evaluating and integrating Stronghold’s controls over financial reporting, which may result in changes or additions to the Company’s internal control over financial reporting. Under guidelines established by the SEC and in accordance with National Instrument 52-109 Certification of Disclosure in Issuers’ Annual and Interim Filings, companies are permitted to exclude acquisitions from their assessment of internal control over financial reporting during the first year of an acquisition while integrating the acquired company. In the Company’s assessment of the scope of disclosure controls and procedures and internal control over financial reporting, the Company has excluded the controls, policies and procedures of Stronghold from the assessment of internal control over financial reporting at September 30, 2025. The Company will continue to evaluate the effectiveness of internal controls over financial reporting as the Company completes the integration of Stronghold.</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March 15, 2025 (the first day following the acquisition) to September 30, 2025, Stronghold generated revenue of $55.2 million and net income of $6.4 million. As of September 30, 2025, Stronghold’s current assets and current liabilities represented approximately 12.4% and 18.4% of the Company’s consolidated current assets and current liabilities,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97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0440"/>
        <w:spacing w:after="0"/>
        <w:tabs>
          <w:tab w:leader="none" w:pos="10840" w:val="left"/>
        </w:tabs>
        <w:rPr>
          <w:sz w:val="20"/>
          <w:szCs w:val="20"/>
          <w:color w:val="auto"/>
        </w:rPr>
      </w:pPr>
      <w:r>
        <w:rPr>
          <w:rFonts w:ascii="Times New Roman" w:cs="Times New Roman" w:eastAsia="Times New Roman" w:hAnsi="Times New Roman"/>
          <w:sz w:val="18"/>
          <w:szCs w:val="18"/>
          <w:color w:val="auto"/>
        </w:rPr>
        <w:t>54</w:t>
        <w:tab/>
        <w:t>Page</w:t>
      </w:r>
    </w:p>
    <w:p>
      <w:pPr>
        <w:sectPr>
          <w:pgSz w:w="11900" w:h="16838" w:orient="portrait"/>
          <w:cols w:equalWidth="0" w:num="1">
            <w:col w:w="11240"/>
          </w:cols>
          <w:pgMar w:left="320" w:top="927"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SHARE CAPITAL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MD&amp;A, the Company has 597,923,486 common shares outstanding, 12,695,854 vested and 4,396,863 unvested stock options, 19,238,241 warrants outstanding, 4,710,394 restricted stock units and 4,349,985 performance stock units. There are no preferred shares or any other classes of shares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REGULATORY COMPLIANCE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engaged legal counsel in each jurisdiction in which it maintains operations to monitor changes to the laws and regulations of such jurisdiction and to advise how it can maintain compliance with such laws and regulations. Legal counsel reports directly to the CEO. The following is a discussion of regulatory compliance considerations specific to each such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operates a total of eight data centers with an aggregate energized power capacity of 170 MW located in the Province of Quebec, Canada.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Section 7 - </w:t>
      </w:r>
      <w:r>
        <w:rPr>
          <w:rFonts w:ascii="Times New Roman" w:cs="Times New Roman" w:eastAsia="Times New Roman" w:hAnsi="Times New Roman"/>
          <w:sz w:val="18"/>
          <w:szCs w:val="18"/>
          <w:i w:val="1"/>
          <w:iCs w:val="1"/>
          <w:color w:val="auto"/>
        </w:rPr>
        <w:t>Expansion Projects - D. Canada Expansion</w:t>
      </w:r>
      <w:r>
        <w:rPr>
          <w:rFonts w:ascii="Times New Roman" w:cs="Times New Roman" w:eastAsia="Times New Roman" w:hAnsi="Times New Roman"/>
          <w:sz w:val="18"/>
          <w:szCs w:val="18"/>
          <w:color w:val="auto"/>
        </w:rPr>
        <w:t xml:space="preserve"> of this MD&amp;A.</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Quebec or Canada on the business of operating a data center or conducting the business of the Company as described herein, and as of the date of this MD&amp;A, the Company has not received any material notices or statements from regulatory authorities in Quebec or Canada that would negatively impact its current operations in Quebec or Canada. The Company is not relying on any registrations, exemptions, or “no action” letters to conduct its business in Quebec or Canada.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operates four data centers with an aggregate energized power capacity of 171 MW located in the State of Washington and in Pennsylvania, United States. Energy for two of the four data centers is derived from the Company’s power facilities and/or the grid. Refer to Section 7 - </w:t>
      </w:r>
      <w:r>
        <w:rPr>
          <w:rFonts w:ascii="Times New Roman" w:cs="Times New Roman" w:eastAsia="Times New Roman" w:hAnsi="Times New Roman"/>
          <w:sz w:val="18"/>
          <w:szCs w:val="18"/>
          <w:i w:val="1"/>
          <w:iCs w:val="1"/>
          <w:color w:val="auto"/>
        </w:rPr>
        <w:t>Expansion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Projects (B. United States Expansion) </w:t>
      </w:r>
      <w:r>
        <w:rPr>
          <w:rFonts w:ascii="Times New Roman" w:cs="Times New Roman" w:eastAsia="Times New Roman" w:hAnsi="Times New Roman"/>
          <w:sz w:val="18"/>
          <w:szCs w:val="18"/>
          <w:color w:val="auto"/>
        </w:rPr>
        <w:t>of this MD&amp;A.</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the State of Washington and in Pennsylvania on the business of operating a data center or conducting the business of the Company as described herein, and as of the date of this MD&amp;A, the Company has not received any material notices or statements from regulatory authorities in the State of Washington or in Pennsylvania that would negatively impact its operations in these jurisdictions. The Company is not relying on any registrations, exemptions, or “no action” letters to conduct its business in Washington and Pennsylvania.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Paraguay</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operates one data center with an energized power capacity of 70 MW located in the city of Villarrica, Paraguay. Refer to Section 7 - </w:t>
      </w:r>
      <w:r>
        <w:rPr>
          <w:rFonts w:ascii="Times New Roman" w:cs="Times New Roman" w:eastAsia="Times New Roman" w:hAnsi="Times New Roman"/>
          <w:sz w:val="18"/>
          <w:szCs w:val="18"/>
          <w:i w:val="1"/>
          <w:iCs w:val="1"/>
          <w:color w:val="auto"/>
        </w:rPr>
        <w:t>HPC/AI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Infrastructure and BTC Mining Expansion Projects - C. Paraguay Expansion </w:t>
      </w:r>
      <w:r>
        <w:rPr>
          <w:rFonts w:ascii="Times New Roman" w:cs="Times New Roman" w:eastAsia="Times New Roman" w:hAnsi="Times New Roman"/>
          <w:sz w:val="18"/>
          <w:szCs w:val="18"/>
          <w:color w:val="auto"/>
        </w:rPr>
        <w:t>of this MD&amp;A. As of September 30, 2025, the Paso Pe operations met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criteria to be classified as held for sale, and all operations in Paraguay were classified as discontinued operations.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Paraguay on the business of operating a data center or conducting the business of the Company as described herein and, as of the date of this MD&amp;A, the Company has not received any material notices or statements from regulatory authorities in Paraguay that would negatively impact its operations in Paraguay. The Company is not relying on any registrations, exemptions, or “no action” letters to conduct its business in Paraguay.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97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0440"/>
        <w:spacing w:after="0"/>
        <w:tabs>
          <w:tab w:leader="none" w:pos="10840" w:val="left"/>
        </w:tabs>
        <w:rPr>
          <w:sz w:val="20"/>
          <w:szCs w:val="20"/>
          <w:color w:val="auto"/>
        </w:rPr>
      </w:pPr>
      <w:r>
        <w:rPr>
          <w:rFonts w:ascii="Times New Roman" w:cs="Times New Roman" w:eastAsia="Times New Roman" w:hAnsi="Times New Roman"/>
          <w:sz w:val="18"/>
          <w:szCs w:val="18"/>
          <w:color w:val="auto"/>
        </w:rPr>
        <w:t>55</w:t>
        <w:tab/>
        <w:t>Page</w:t>
      </w:r>
    </w:p>
    <w:p>
      <w:pPr>
        <w:sectPr>
          <w:pgSz w:w="11900" w:h="16838" w:orient="portrait"/>
          <w:cols w:equalWidth="0" w:num="1">
            <w:col w:w="11240"/>
          </w:cols>
          <w:pgMar w:left="320" w:top="927"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17. REGULATORY COMPLIANCE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Argentina</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30, 2025, the Company was informed that GMSA, a subsidiary of Grupo Albanesi, appointed local and international financial advisors to conduct a process with their creditors regarding the restructuring of all its financial debt. As a result, the Company’s operations in Rio Cuarto have been suspended due to a halt in the Rio Cuarto operations’ supply of electrical power since May 12,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abandoned its 58 MW data center by September 30, 2025.</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Argentina on the business of operating a server farm or conducting the business of the Company as described herein and, as of the date of this MD&amp;A, the Company has not received any material notices or statements from regulatory authorities in Argentina that would negatively impact its operations in Argentina. The Company is not relying on any registrations, exemptions, or “no action” letters to conduct its business in Argentina.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a number of risks and uncertainties and is affected by several factors that could have a material adverse effect on the Company’s business, financial condition, operating results, and/or future prospects. These risks should be considered when evaluating an investment in the Company and may, among other things, cause a decline in the price of the Corporation’s shares.</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risks and uncertainties that Management considers as the most material to the Company’s business are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the Company’s MD&amp;A for the year ended December 31, 2024, dated March 26, 2025 and Section 18 - </w:t>
      </w:r>
      <w:r>
        <w:rPr>
          <w:rFonts w:ascii="Times New Roman" w:cs="Times New Roman" w:eastAsia="Times New Roman" w:hAnsi="Times New Roman"/>
          <w:sz w:val="18"/>
          <w:szCs w:val="18"/>
          <w:i w:val="1"/>
          <w:iCs w:val="1"/>
          <w:color w:val="auto"/>
        </w:rPr>
        <w:t>Risk Factor</w:t>
      </w:r>
      <w:r>
        <w:rPr>
          <w:rFonts w:ascii="Times New Roman" w:cs="Times New Roman" w:eastAsia="Times New Roman" w:hAnsi="Times New Roman"/>
          <w:sz w:val="18"/>
          <w:szCs w:val="18"/>
          <w:color w:val="auto"/>
        </w:rPr>
        <w:t xml:space="preserve"> in the 2024 AIF. These risks and uncertainties have not materially changed during the nine months ended September 30, 2025, other than the risks as described below, and are hereby incorporated by reference.</w:t>
      </w:r>
    </w:p>
    <w:p>
      <w:pPr>
        <w:spacing w:after="0" w:line="17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Company is currently subject to securities class action litigation and may be subject to similar or other litigation in the future, which may divert management’s attention.</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9, 2025, a purported shareholder filed a putative class action complaint in the United States District Court for the Eastern District of New York, in a case titled Olympio v. Bitfarms Ltd., Benjamin Gagnon, Jeffrey Lucas, and Geoff Morphy, case no 1:25-cv-02630, alleging violations of Sections 10(b) and 20(a) of the Securities Exchange Act of 1934 and Rule 10b-5, promulgated thereunder. The lawsuit alleges that the Company, its current Chief Executive Officer, its Chief Financial Officer and its former Chief Executive Officer made materially false and/or misleading statements regarding the Company’s business, operations and internal controls over financial reporting (refer to Section 10D - Capital Resources (Lawsuits)). The Company cannot predict the duration or outcome of this lawsuit at this time. As a result, the Company is unable to estimate the reasonably possible loss arising from this lawsuit. The Company intends to vigorously defend itself in this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97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0440"/>
        <w:spacing w:after="0"/>
        <w:tabs>
          <w:tab w:leader="none" w:pos="10840" w:val="left"/>
        </w:tabs>
        <w:rPr>
          <w:sz w:val="20"/>
          <w:szCs w:val="20"/>
          <w:color w:val="auto"/>
        </w:rPr>
      </w:pPr>
      <w:r>
        <w:rPr>
          <w:rFonts w:ascii="Times New Roman" w:cs="Times New Roman" w:eastAsia="Times New Roman" w:hAnsi="Times New Roman"/>
          <w:sz w:val="18"/>
          <w:szCs w:val="18"/>
          <w:color w:val="auto"/>
        </w:rPr>
        <w:t>56</w:t>
        <w:tab/>
        <w:t>Page</w:t>
      </w:r>
    </w:p>
    <w:p>
      <w:pPr>
        <w:sectPr>
          <w:pgSz w:w="11900" w:h="16838" w:orient="portrait"/>
          <w:cols w:equalWidth="0" w:num="1">
            <w:col w:w="11240"/>
          </w:cols>
          <w:pgMar w:left="320" w:top="927"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18.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Company is currently subject to securities class action litigation and may be subject to similar or other litigation in the future, which may divert management’s attention. </w:t>
      </w:r>
      <w:r>
        <w:rPr>
          <w:rFonts w:ascii="Times New Roman" w:cs="Times New Roman" w:eastAsia="Times New Roman" w:hAnsi="Times New Roman"/>
          <w:sz w:val="18"/>
          <w:szCs w:val="18"/>
          <w:color w:val="auto"/>
        </w:rPr>
        <w:t>(Continued)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may be additional suits or proceedings brought against the Company in the future. Monitoring and defending against legal actions, whether or not meritorious, consumes time and resources from the Company’s Management and detracts from the Company’s ability to fully focus its internal resources on its business activities. The durations of legal actions cannot be predicted, and they are subject to several factors outside of the Company’s control. In addition, the Company may incur substantial legal fees and other costs in connection with litigation and there can be no guarantee that the Company achieves a successful outcome in any legal actions in which it is involved, in whole or in part. The Company has not at this time established any reserves for any potential liability relating to these lawsuits. It is possible that the Company could, in the future, incur judgment or enter into settlement of claims for monetary damages. A decision adverse to the Company’s interests in this lawsuit (or any future lawsuits, whether related or not) could result in the payment of substantial damages and could have a material adverse effect on the Company’s business, results of operations and financial condition. In addition, the uncertainty of the currently pending lawsuit could lead to volatility in the price of the Company’s common shares.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operations in Rio Cuarto were suspended due to a halt in its supply of electrical power on May 12, 2025.</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data center in Rio Cuarto receives electricity pursuant to a power contract with Generacion Mediterranea S.A (“GMSA”), a subsidiary of Grupo Albanesi. Grupo Albanesi is a private corporate group organized pursuant to the laws of Argentina, focused on the energy market. Grupo Albanesi provides natural gas and electrical energy to its clients from its multiple data centers.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30, 2025, the Company was notified that GMSA appointed local and international financial advisors to conduct a process with their creditors regarding the restructuring of all its financial debt but that the supply of electricity from GMSA would continue uninterrupted. On May 12, 2025, the Company was notified by GMSA that it would be halting the supply of electricity to the Company’s Rio Cuarto facility until further notice. As of August 12, 2025, GMSA was still negotiating with its commercial suppliers and the Company did not have visibility of the timing for when normal supply of electricity would resume, whether normal supply would resume at all, or the additional terms and/or fees that the Company would be subject to in the event supply resume. The Company evaluated options and decided to discontinue operations at Rio Cuarto. As a result the Company’s operational Hashrate and the free cashflow its mining operations generate has decreased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803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0440"/>
        <w:spacing w:after="0"/>
        <w:tabs>
          <w:tab w:leader="none" w:pos="10840" w:val="left"/>
        </w:tabs>
        <w:rPr>
          <w:sz w:val="20"/>
          <w:szCs w:val="20"/>
          <w:color w:val="auto"/>
        </w:rPr>
      </w:pPr>
      <w:r>
        <w:rPr>
          <w:rFonts w:ascii="Times New Roman" w:cs="Times New Roman" w:eastAsia="Times New Roman" w:hAnsi="Times New Roman"/>
          <w:sz w:val="18"/>
          <w:szCs w:val="18"/>
          <w:color w:val="auto"/>
        </w:rPr>
        <w:t>57</w:t>
        <w:tab/>
        <w:t>Page</w:t>
      </w:r>
    </w:p>
    <w:p>
      <w:pPr>
        <w:sectPr>
          <w:pgSz w:w="11900" w:h="16838" w:orient="portrait"/>
          <w:cols w:equalWidth="0" w:num="1">
            <w:col w:w="11240"/>
          </w:cols>
          <w:pgMar w:left="320" w:top="927"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18.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Community opposition to the operation of the Company’s data centers could result in risks to the Company’s operations and its financial condition and results of operations.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Mining operations involve the use of a large number of high-powered Miners and cooling systems that generate significant noise and use a significant amount of electricity. In the future, the Company’s HPC/AI infrastructure-focused data centers may also generate significant noise and will likely also use a significant amount of electricity. This noise and electricity use can pose several risks to the Company’s business now or in the future, including community complaints, permitting opposition, reputational damage, litigation risk, regulatory risk, operational constraints, increased costs and opposition to expansion. These risks could lead to fines or penalties imposed by local governments, requirements to implement costly noise mitigation measures or restrictions on the use of electricity, restrictions on the Company’s operating hours, reduction of scale of the Company’s operations, stricter noise controls regulations on the Company’s operations, potential shutdown of data centers that cannot meet local noise regulations or face extensive community opposition due to the data centers’ use of electricity, damages resulting from lawsuits and difficulty obtaining necessary permits and approvals for expanding existing data centers or establishing new site operations. While the Company strives to be a good corporate citizen and mitigate noise impacts and any alleged impacts of electricity usage where possible, the inherently noisy and energy-intensive nature of large-scale cryptocurrency Mining operations and HPC/AI infrastructure-focused data centers presents ongoing risks to the Company’s business that may negatively affect its financial condition and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SIGNIFICANT ACCOUNTING ESTIMATES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significant accounting judgments, estimates and assumptions are summarized in Note 3 to the 2024 Annual Financial Statements and Note 4 to the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MATERIAL ACCOUNTING POLICY INFORMATION AND NEW ACCOUNTING POLICIES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Note 3 to the 2024 Annual Financial Statements and Note 3 to the Financial Statements for more information regarding the Company’s material accounting policy information and new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97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98" w:lineRule="exact"/>
        <w:rPr>
          <w:sz w:val="20"/>
          <w:szCs w:val="20"/>
          <w:color w:val="auto"/>
        </w:rPr>
      </w:pPr>
    </w:p>
    <w:p>
      <w:pPr>
        <w:ind w:left="10440"/>
        <w:spacing w:after="0"/>
        <w:tabs>
          <w:tab w:leader="none" w:pos="10840" w:val="left"/>
        </w:tabs>
        <w:rPr>
          <w:sz w:val="20"/>
          <w:szCs w:val="20"/>
          <w:color w:val="auto"/>
        </w:rPr>
      </w:pPr>
      <w:r>
        <w:rPr>
          <w:rFonts w:ascii="Times New Roman" w:cs="Times New Roman" w:eastAsia="Times New Roman" w:hAnsi="Times New Roman"/>
          <w:sz w:val="18"/>
          <w:szCs w:val="18"/>
          <w:color w:val="auto"/>
        </w:rPr>
        <w:t>58</w:t>
        <w:tab/>
        <w:t>Page</w:t>
      </w:r>
    </w:p>
    <w:p>
      <w:pPr>
        <w:sectPr>
          <w:pgSz w:w="11900" w:h="16838" w:orient="portrait"/>
          <w:cols w:equalWidth="0" w:num="1">
            <w:col w:w="11240"/>
          </w:cols>
          <w:pgMar w:left="320" w:top="927"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CAUTIONARY NOTE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MD&amp;A contains forward-looking statements about the Company’s objectives, plans, goals, aspirations, strategies, financial condition, results of operations, cash flows, performance, prospects, opportunities and legal and regulatory matters. Specific forward-looking statements in this MD&amp;A include, but are not limited to, statements with respect to the Company’s anticipated future results, events and plans, strategic initiatives, future liquidity, and planned capital investments. Forward-looking statements are typically identified by words such as “expect”, “anticipate”, “believe”, “foresee”, “could”, “estimate”, “goal”, “intend”, “plan”, “seek”, “strive”, “will”, “may”, “maintain”, “achieve”, “grow”, “should” and similar expressions, as they relate to the Company and its Management.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Forward-looking statements reflect the Company’s current estimates, beliefs and assumptions, which are based on management’s perception of historical trends, current conditions and expected future developments, as well as other factors it believes are appropriate under the circumstances. The Company’s expectation of operating and financial performance is based on certain assumptions including assumptions about operational growth, anticipated cost savings, operating efficiencies, anticipated benefits from strategic initiatives, future liquidity, and planned capital investments. The Company’s estimates, beliefs and assumptions are inherently subject to significant business, economic, competitive and other uncertainties and contingencies regarding future events and as such, are subject to change. The Company can give no assurance that such estimates, beliefs and assumptions will prove to be correct.</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Numerous risks and uncertainties could cause the Company’s actual results to differ materially from those expressed, implied or projected in the forward-looking statements. Such risks and uncertainties include:</w:t>
      </w:r>
    </w:p>
    <w:p>
      <w:pPr>
        <w:spacing w:after="0" w:line="162" w:lineRule="exact"/>
        <w:rPr>
          <w:sz w:val="20"/>
          <w:szCs w:val="20"/>
          <w:color w:val="auto"/>
        </w:rPr>
      </w:pPr>
    </w:p>
    <w:p>
      <w:pPr>
        <w:ind w:left="660" w:right="20" w:hanging="328"/>
        <w:spacing w:after="0" w:line="261" w:lineRule="auto"/>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of the shift in the Company’s business model from Bitcoin Miner to HPC/AI data center infrastructure company, including the shift from predictable mining rewards to variable enterprise contract structures;</w:t>
      </w:r>
    </w:p>
    <w:p>
      <w:pPr>
        <w:ind w:left="660" w:right="20" w:hanging="328"/>
        <w:spacing w:after="0" w:line="250" w:lineRule="auto"/>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large-scale data center projects face risks from permitting delays, zoning oppositions, supply chain disruptions, weather events, and contractor performance issues that could significantly impact project timelines and budgets;</w:t>
      </w:r>
    </w:p>
    <w:p>
      <w:pPr>
        <w:ind w:left="660" w:hanging="328"/>
        <w:spacing w:after="0" w:line="250" w:lineRule="auto"/>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expenditures required for the Company’s shift in business model and its planned construction/expansion, and the ability to raise the necessary funds for the same;</w:t>
      </w:r>
    </w:p>
    <w:p>
      <w:pPr>
        <w:ind w:left="660" w:hanging="328"/>
        <w:spacing w:after="0"/>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construction and permitting requirements for the Company’s shift in business model;</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local community opposition to large-scale data centers, their use of electricity, water and noise output, which could negatively impact permitting and zoning approvals;</w:t>
      </w:r>
    </w:p>
    <w:p>
      <w:pPr>
        <w:ind w:left="660" w:hanging="328"/>
        <w:spacing w:after="0" w:line="250" w:lineRule="auto"/>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utility companies or regulators could block or delay projects due to concerns about grid stability and capacity, particularly given the high power demands of AI infrastructure</w:t>
      </w:r>
    </w:p>
    <w:p>
      <w:pPr>
        <w:ind w:left="660" w:hanging="328"/>
        <w:spacing w:after="0"/>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rapid evolution of AI models could render current infrastructure configurations suboptimal or obsolete;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concentration risk - dependence on fewer, larger enterprise customers compared to distributed mining pool relationships;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level agreements with future customers will likely have stricter uptime and performance requirements compared to mining operations;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electrical grid capacity limitations, transmission line upgrades, and utility interconnection delays that could postpone or prevent data center operations;</w:t>
      </w:r>
    </w:p>
    <w:p>
      <w:pPr>
        <w:ind w:left="660" w:hanging="328"/>
        <w:spacing w:after="0" w:line="250" w:lineRule="auto"/>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specialized contractors experienced in high-density data center construction, particularly for advanced cooling and power systems required for AI workloads;</w:t>
      </w:r>
    </w:p>
    <w:p>
      <w:pPr>
        <w:ind w:left="660" w:hanging="328"/>
        <w:spacing w:after="0"/>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Bitcoin Halving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97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0440"/>
        <w:spacing w:after="0"/>
        <w:tabs>
          <w:tab w:leader="none" w:pos="10840" w:val="left"/>
        </w:tabs>
        <w:rPr>
          <w:sz w:val="20"/>
          <w:szCs w:val="20"/>
          <w:color w:val="auto"/>
        </w:rPr>
      </w:pPr>
      <w:r>
        <w:rPr>
          <w:rFonts w:ascii="Times New Roman" w:cs="Times New Roman" w:eastAsia="Times New Roman" w:hAnsi="Times New Roman"/>
          <w:sz w:val="18"/>
          <w:szCs w:val="18"/>
          <w:color w:val="auto"/>
        </w:rPr>
        <w:t>59</w:t>
        <w:tab/>
        <w:t>Page</w:t>
      </w:r>
    </w:p>
    <w:p>
      <w:pPr>
        <w:sectPr>
          <w:pgSz w:w="11900" w:h="16838" w:orient="portrait"/>
          <w:cols w:equalWidth="0" w:num="1">
            <w:col w:w="11240"/>
          </w:cols>
          <w:pgMar w:left="320" w:top="927"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ind w:left="280" w:hanging="272"/>
        <w:spacing w:after="0"/>
        <w:tabs>
          <w:tab w:leader="none" w:pos="280"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CAUTIONARY NOTE REGARDING FORWARD-LOOKING STATEMENTS </w:t>
      </w:r>
      <w:r>
        <w:rPr>
          <w:rFonts w:ascii="Times New Roman" w:cs="Times New Roman" w:eastAsia="Times New Roman" w:hAnsi="Times New Roman"/>
          <w:sz w:val="18"/>
          <w:szCs w:val="18"/>
          <w:color w:val="auto"/>
        </w:rPr>
        <w:t>(Continued)</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bankruptcy, or cessation of operations of the Mining Pool operator;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a foreign Mining Pool operator;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risk;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markets operating risks;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manufacturing in foreign countries and the importation of equipment to the jurisdictions in which the Company operates;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dependency on continued growth in blockchain and cryptocurrency usage;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financing opportunities and risks associated with economic conditions, including BTC price, Bitcoin Network Difficulty and share price fluctuations;</w:t>
      </w:r>
    </w:p>
    <w:p>
      <w:pPr>
        <w:ind w:left="660" w:hanging="328"/>
        <w:spacing w:after="0"/>
        <w:tabs>
          <w:tab w:leader="none" w:pos="6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attract and retain customers for the Company’s hosting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financial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retention and growth;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threats and hacking;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operating history and limited history of de-centralized financial system;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experience of Company’s management in HPC/AI Infrastructure;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related to technological obsolescence and difficulty in obtaining hardware;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dependence on regulated terms of service and electricity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suspension of operations at the Rio Cuarto Site and the abandonment of the Rio Cuarto Site;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demands upon management and accounting and finance resources as a result of complying with the laws and regulations affecting public companies;</w:t>
      </w:r>
    </w:p>
    <w:p>
      <w:pPr>
        <w:ind w:left="660" w:hanging="328"/>
        <w:spacing w:after="0"/>
        <w:tabs>
          <w:tab w:leader="none" w:pos="6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 and impact of restatement of the Company’s historical financial statements;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comprehensive accounting guidance for cryptocurrencies under IFRS Accounting Standards;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control material weakness;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commodity prices or reductions in the availability of such commodities could adversely impact the Company’s results of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and licenses;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server or internet failures;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consequences;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import tariffs and duties and/or adverse findings by CBP related thereto;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regulations and liability;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environmental, social, and governance practices and the impacts of climate change;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erroneous transactions and human error;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center developments;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non-availability of insurance;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hazards associated with high-voltage electricity transmission and industrial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corruption, political and regulatory risk;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being classified as a passive foreign investment company;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and other legal proceedings and challenges;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of interests with directors and management;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unsolicited take-over bids;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community-based opposition to the Company’s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success and profitability of the Company’s carbon capture program and related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environmental tax credits;</w:t>
      </w:r>
    </w:p>
    <w:p>
      <w:pPr>
        <w:spacing w:after="0" w:line="9" w:lineRule="exact"/>
        <w:rPr>
          <w:sz w:val="20"/>
          <w:szCs w:val="20"/>
          <w:color w:val="auto"/>
        </w:rPr>
      </w:pPr>
    </w:p>
    <w:p>
      <w:pPr>
        <w:ind w:left="660" w:hanging="328"/>
        <w:spacing w:after="0" w:line="260" w:lineRule="auto"/>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revenues, profits and margins of the Company may not remain consistent with historical levels, thereby impacting its ability to make purchases under the Company’s share buyback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97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10440"/>
        <w:spacing w:after="0"/>
        <w:tabs>
          <w:tab w:leader="none" w:pos="10840" w:val="left"/>
        </w:tabs>
        <w:rPr>
          <w:sz w:val="20"/>
          <w:szCs w:val="20"/>
          <w:color w:val="auto"/>
        </w:rPr>
      </w:pPr>
      <w:r>
        <w:rPr>
          <w:rFonts w:ascii="Times New Roman" w:cs="Times New Roman" w:eastAsia="Times New Roman" w:hAnsi="Times New Roman"/>
          <w:sz w:val="18"/>
          <w:szCs w:val="18"/>
          <w:color w:val="auto"/>
        </w:rPr>
        <w:t>60</w:t>
        <w:tab/>
        <w:t>Page</w:t>
      </w:r>
    </w:p>
    <w:p>
      <w:pPr>
        <w:sectPr>
          <w:pgSz w:w="11900" w:h="16838" w:orient="portrait"/>
          <w:cols w:equalWidth="0" w:num="1">
            <w:col w:w="11240"/>
          </w:cols>
          <w:pgMar w:left="320" w:top="927"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ind w:left="280" w:hanging="272"/>
        <w:spacing w:after="0"/>
        <w:tabs>
          <w:tab w:leader="none" w:pos="28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CAUTIONARY NOTE REGARDING FORWARD-LOOKING STATEMENTS </w:t>
      </w:r>
      <w:r>
        <w:rPr>
          <w:rFonts w:ascii="Times New Roman" w:cs="Times New Roman" w:eastAsia="Times New Roman" w:hAnsi="Times New Roman"/>
          <w:sz w:val="18"/>
          <w:szCs w:val="18"/>
          <w:color w:val="auto"/>
        </w:rPr>
        <w:t>(Continued)</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related to the NCIB;</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suspension of the Company’s operations at its Rio Cuarto site; or</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 risks, costs and uncertainties associated with integrating the business successfully and risks of not achieving all or any of the anticipated benefits and synergies of the Stronghold Transaction, or the risk that the anticipated benefits and synergies of the Stronghold Transaction may not be fully realized or take longer to realize than expected.</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above is not an exhaustive list of the factors that may affect the Company’s forward-looking statements. For a more comprehensive discussion of factors that could affect the Company, refer to the risk factors discussed above. Other risks and uncertainties not presently known to the Company or that the Company presently believes are not material could also cause actual results or events to differ materially from those expressed, implied or projected in its forward-looking statements. Readers are cautioned not to place undue reliance on these forward-looking statements, which reflect the Company’s expectations only as of the date of this MD&amp;A. Except as required by law, the Company does not undertake to update or revise any forward-looking statements, whether as a result of new information, future events or otherwise.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CAUTIONARY NOTE REGARDING NON-IFRS AND OTHER FINANCIAL MEASURES AND RATIOS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This MD&amp;A makes reference to certain measures that are not recognized under IFRS Accounting Standards and do not have a standardized meaning prescribed by IFRS Accounting Standards. They are therefore unlikely to be comparable to similar measures presented by other companies. The Company uses non-IFRS and other financial measures and ratios including “EBITDA,” “EBITDA margin,” “Adjusted EBITDA,” “Adjusted EBITDA margin,” “Gross Mining profit,” “Gross Mining margin,” “Gross margin”, “Operating margin”, “Direct Cost”, “Direct Cost per BTC”, “Total Cash Cost” and “Total Cash Cost per BTC” as additional information to complement IFRS measures by providing further understanding of the Company’s results of operations from Management’s perspective. Refer to Section 10 -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 xml:space="preserve"> of the MD&amp;A for more details.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measures are provided as additional information to complement IFRS measures by providing further understanding of the Company’s results of operations from Management’s perspective. Accordingly, they should not be considered in isolation nor as a substitute for analysis of the Company’s financial information reported under IFRS. Reconciliations from IFRS measures to non-IFRS measures are included throughout this MD&amp;A.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ADDITIONAL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information and other publicly filed documents relating to the Company are available through the internet on SEDAR+ at www.sedarplus.ca and on EDGAR at www.sec.gov/edgar.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97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98" w:lineRule="exact"/>
        <w:rPr>
          <w:sz w:val="20"/>
          <w:szCs w:val="20"/>
          <w:color w:val="auto"/>
        </w:rPr>
      </w:pPr>
    </w:p>
    <w:p>
      <w:pPr>
        <w:ind w:left="10440"/>
        <w:spacing w:after="0"/>
        <w:tabs>
          <w:tab w:leader="none" w:pos="10840" w:val="left"/>
        </w:tabs>
        <w:rPr>
          <w:sz w:val="20"/>
          <w:szCs w:val="20"/>
          <w:color w:val="auto"/>
        </w:rPr>
      </w:pPr>
      <w:r>
        <w:rPr>
          <w:rFonts w:ascii="Times New Roman" w:cs="Times New Roman" w:eastAsia="Times New Roman" w:hAnsi="Times New Roman"/>
          <w:sz w:val="18"/>
          <w:szCs w:val="18"/>
          <w:color w:val="auto"/>
        </w:rPr>
        <w:t>61</w:t>
        <w:tab/>
        <w:t>Page</w:t>
      </w:r>
    </w:p>
    <w:p>
      <w:pPr>
        <w:sectPr>
          <w:pgSz w:w="11900" w:h="16838" w:orient="portrait"/>
          <w:cols w:equalWidth="0" w:num="1">
            <w:col w:w="11240"/>
          </w:cols>
          <w:pgMar w:left="320" w:top="927"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GLOSSARY OF TERMS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Terms</w:t>
            </w:r>
          </w:p>
        </w:tc>
        <w:tc>
          <w:tcPr>
            <w:tcW w:w="912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191"/>
        </w:trPr>
        <w:tc>
          <w:tcPr>
            <w:tcW w:w="212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b w:val="1"/>
                <w:bCs w:val="1"/>
                <w:color w:val="auto"/>
              </w:rPr>
              <w:t>Artificial Intelligence (AI)</w:t>
            </w:r>
          </w:p>
        </w:tc>
        <w:tc>
          <w:tcPr>
            <w:tcW w:w="9120" w:type="dxa"/>
            <w:vAlign w:val="bottom"/>
            <w:gridSpan w:val="2"/>
          </w:tcPr>
          <w:p>
            <w:pPr>
              <w:ind w:left="80"/>
              <w:spacing w:after="0" w:line="191" w:lineRule="exact"/>
              <w:rPr>
                <w:sz w:val="20"/>
                <w:szCs w:val="20"/>
                <w:color w:val="auto"/>
              </w:rPr>
            </w:pPr>
            <w:r>
              <w:rPr>
                <w:rFonts w:ascii="Times New Roman" w:cs="Times New Roman" w:eastAsia="Times New Roman" w:hAnsi="Times New Roman"/>
                <w:sz w:val="18"/>
                <w:szCs w:val="18"/>
                <w:color w:val="auto"/>
              </w:rPr>
              <w:t>A  branch  of  technology  enabling  computers  and  machines  to  replicate  human-like  abilities,  including  learning,</w:t>
            </w:r>
          </w:p>
        </w:tc>
      </w:tr>
      <w:tr>
        <w:trPr>
          <w:trHeight w:val="234"/>
        </w:trPr>
        <w:tc>
          <w:tcPr>
            <w:tcW w:w="212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understanding, problem-solving, decision-making, creativity, and autonomous action.</w:t>
            </w:r>
          </w:p>
        </w:tc>
      </w:tr>
      <w:tr>
        <w:trPr>
          <w:trHeight w:val="191"/>
        </w:trPr>
        <w:tc>
          <w:tcPr>
            <w:tcW w:w="212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b w:val="1"/>
                <w:bCs w:val="1"/>
                <w:color w:val="auto"/>
              </w:rPr>
              <w:t>ASIC</w:t>
            </w:r>
          </w:p>
        </w:tc>
        <w:tc>
          <w:tcPr>
            <w:tcW w:w="9120" w:type="dxa"/>
            <w:vAlign w:val="bottom"/>
            <w:gridSpan w:val="2"/>
          </w:tcPr>
          <w:p>
            <w:pPr>
              <w:ind w:left="80"/>
              <w:spacing w:after="0" w:line="191" w:lineRule="exact"/>
              <w:rPr>
                <w:sz w:val="20"/>
                <w:szCs w:val="20"/>
                <w:color w:val="auto"/>
              </w:rPr>
            </w:pPr>
            <w:r>
              <w:rPr>
                <w:rFonts w:ascii="Times New Roman" w:cs="Times New Roman" w:eastAsia="Times New Roman" w:hAnsi="Times New Roman"/>
                <w:sz w:val="18"/>
                <w:szCs w:val="18"/>
                <w:color w:val="auto"/>
              </w:rPr>
              <w:t>ASIC stands for Application Specific Integrated Circuit and refers primarily to specific computer devices designed to solve</w:t>
            </w:r>
          </w:p>
        </w:tc>
      </w:tr>
      <w:tr>
        <w:trPr>
          <w:trHeight w:val="234"/>
        </w:trPr>
        <w:tc>
          <w:tcPr>
            <w:tcW w:w="212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the SHA-256 algorithm.</w:t>
            </w:r>
          </w:p>
        </w:tc>
      </w:tr>
      <w:tr>
        <w:trPr>
          <w:trHeight w:val="191"/>
        </w:trPr>
        <w:tc>
          <w:tcPr>
            <w:tcW w:w="212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b w:val="1"/>
                <w:bCs w:val="1"/>
                <w:color w:val="auto"/>
              </w:rPr>
              <w:t>Bitcoin (BTC)</w:t>
            </w:r>
          </w:p>
        </w:tc>
        <w:tc>
          <w:tcPr>
            <w:tcW w:w="9120" w:type="dxa"/>
            <w:vAlign w:val="bottom"/>
            <w:gridSpan w:val="2"/>
          </w:tcPr>
          <w:p>
            <w:pPr>
              <w:ind w:left="80"/>
              <w:spacing w:after="0" w:line="191" w:lineRule="exact"/>
              <w:rPr>
                <w:sz w:val="20"/>
                <w:szCs w:val="20"/>
                <w:color w:val="auto"/>
              </w:rPr>
            </w:pPr>
            <w:r>
              <w:rPr>
                <w:rFonts w:ascii="Times New Roman" w:cs="Times New Roman" w:eastAsia="Times New Roman" w:hAnsi="Times New Roman"/>
                <w:sz w:val="18"/>
                <w:szCs w:val="18"/>
                <w:color w:val="auto"/>
              </w:rPr>
              <w:t>BTC is a decentralized digital currency that is not controlled by any centralized authority (e.g., a government, financial</w:t>
            </w:r>
          </w:p>
        </w:tc>
      </w:tr>
      <w:tr>
        <w:trPr>
          <w:trHeight w:val="216"/>
        </w:trPr>
        <w:tc>
          <w:tcPr>
            <w:tcW w:w="2120" w:type="dxa"/>
            <w:vAlign w:val="bottom"/>
          </w:tcPr>
          <w:p>
            <w:pPr>
              <w:spacing w:after="0"/>
              <w:rPr>
                <w:sz w:val="18"/>
                <w:szCs w:val="18"/>
                <w:color w:val="auto"/>
              </w:rPr>
            </w:pPr>
          </w:p>
        </w:tc>
        <w:tc>
          <w:tcPr>
            <w:tcW w:w="9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institution or regulatory organization) that can be sent from user to user on the Bitcoin network without the need for</w:t>
            </w:r>
          </w:p>
        </w:tc>
      </w:tr>
      <w:tr>
        <w:trPr>
          <w:trHeight w:val="216"/>
        </w:trPr>
        <w:tc>
          <w:tcPr>
            <w:tcW w:w="2120" w:type="dxa"/>
            <w:vAlign w:val="bottom"/>
          </w:tcPr>
          <w:p>
            <w:pPr>
              <w:spacing w:after="0"/>
              <w:rPr>
                <w:sz w:val="18"/>
                <w:szCs w:val="18"/>
                <w:color w:val="auto"/>
              </w:rPr>
            </w:pPr>
          </w:p>
        </w:tc>
        <w:tc>
          <w:tcPr>
            <w:tcW w:w="9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intermediaries to clear transactions. Transactions are verified through the process of Mining and recorded in a public ledger</w:t>
            </w:r>
          </w:p>
        </w:tc>
      </w:tr>
      <w:tr>
        <w:trPr>
          <w:trHeight w:val="234"/>
        </w:trPr>
        <w:tc>
          <w:tcPr>
            <w:tcW w:w="212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known as the Blockchain. BTC is created when the Bitcoin network issues Block Rewards through the Mining process.</w:t>
            </w:r>
          </w:p>
        </w:tc>
      </w:tr>
      <w:tr>
        <w:trPr>
          <w:trHeight w:val="191"/>
        </w:trPr>
        <w:tc>
          <w:tcPr>
            <w:tcW w:w="212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b w:val="1"/>
                <w:bCs w:val="1"/>
                <w:color w:val="auto"/>
              </w:rPr>
              <w:t>Bitcoin One</w:t>
            </w:r>
          </w:p>
        </w:tc>
        <w:tc>
          <w:tcPr>
            <w:tcW w:w="9120" w:type="dxa"/>
            <w:vAlign w:val="bottom"/>
            <w:gridSpan w:val="2"/>
          </w:tcPr>
          <w:p>
            <w:pPr>
              <w:ind w:left="80"/>
              <w:spacing w:after="0" w:line="191" w:lineRule="exact"/>
              <w:rPr>
                <w:sz w:val="20"/>
                <w:szCs w:val="20"/>
                <w:color w:val="auto"/>
              </w:rPr>
            </w:pPr>
            <w:r>
              <w:rPr>
                <w:rFonts w:ascii="Times New Roman" w:cs="Times New Roman" w:eastAsia="Times New Roman" w:hAnsi="Times New Roman"/>
                <w:sz w:val="18"/>
                <w:szCs w:val="18"/>
                <w:color w:val="auto"/>
              </w:rPr>
              <w:t>Bitcoin One is a quantitative investment multi-strategy program that employs a disciplined approach to accelerate BTC</w:t>
            </w:r>
          </w:p>
        </w:tc>
      </w:tr>
      <w:tr>
        <w:trPr>
          <w:trHeight w:val="234"/>
        </w:trPr>
        <w:tc>
          <w:tcPr>
            <w:tcW w:w="212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accumulation through diversification, strategic leverage, and market timing.</w:t>
            </w:r>
          </w:p>
        </w:tc>
      </w:tr>
      <w:tr>
        <w:trPr>
          <w:trHeight w:val="191"/>
        </w:trPr>
        <w:tc>
          <w:tcPr>
            <w:tcW w:w="212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b w:val="1"/>
                <w:bCs w:val="1"/>
                <w:color w:val="auto"/>
              </w:rPr>
              <w:t>Bitcoin 2.1</w:t>
            </w:r>
          </w:p>
        </w:tc>
        <w:tc>
          <w:tcPr>
            <w:tcW w:w="9120" w:type="dxa"/>
            <w:vAlign w:val="bottom"/>
            <w:gridSpan w:val="2"/>
          </w:tcPr>
          <w:p>
            <w:pPr>
              <w:ind w:left="80"/>
              <w:spacing w:after="0" w:line="191" w:lineRule="exact"/>
              <w:rPr>
                <w:sz w:val="20"/>
                <w:szCs w:val="20"/>
                <w:color w:val="auto"/>
              </w:rPr>
            </w:pPr>
            <w:r>
              <w:rPr>
                <w:rFonts w:ascii="Times New Roman" w:cs="Times New Roman" w:eastAsia="Times New Roman" w:hAnsi="Times New Roman"/>
                <w:sz w:val="18"/>
                <w:szCs w:val="18"/>
                <w:color w:val="auto"/>
              </w:rPr>
              <w:t>Bitcoin 2.1 is a multi-strategy program that primarily sells both short and long dated out of the money calls on the Bitcoin in</w:t>
            </w:r>
          </w:p>
        </w:tc>
      </w:tr>
      <w:tr>
        <w:trPr>
          <w:trHeight w:val="216"/>
        </w:trPr>
        <w:tc>
          <w:tcPr>
            <w:tcW w:w="2120" w:type="dxa"/>
            <w:vAlign w:val="bottom"/>
          </w:tcPr>
          <w:p>
            <w:pPr>
              <w:spacing w:after="0"/>
              <w:rPr>
                <w:sz w:val="18"/>
                <w:szCs w:val="18"/>
                <w:color w:val="auto"/>
              </w:rPr>
            </w:pPr>
          </w:p>
        </w:tc>
        <w:tc>
          <w:tcPr>
            <w:tcW w:w="9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treasury and future Bitcoin production in order to offset Bitcoin production costs and potentially achieve higher revenues per</w:t>
            </w:r>
          </w:p>
        </w:tc>
      </w:tr>
      <w:tr>
        <w:trPr>
          <w:trHeight w:val="234"/>
        </w:trPr>
        <w:tc>
          <w:tcPr>
            <w:tcW w:w="212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BTC sold.</w:t>
            </w:r>
          </w:p>
        </w:tc>
      </w:tr>
      <w:tr>
        <w:trPr>
          <w:trHeight w:val="191"/>
        </w:trPr>
        <w:tc>
          <w:tcPr>
            <w:tcW w:w="212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b w:val="1"/>
                <w:bCs w:val="1"/>
                <w:color w:val="auto"/>
              </w:rPr>
              <w:t>Block Reward</w:t>
            </w:r>
          </w:p>
        </w:tc>
        <w:tc>
          <w:tcPr>
            <w:tcW w:w="9120" w:type="dxa"/>
            <w:vAlign w:val="bottom"/>
            <w:gridSpan w:val="2"/>
          </w:tcPr>
          <w:p>
            <w:pPr>
              <w:ind w:left="80"/>
              <w:spacing w:after="0" w:line="191" w:lineRule="exact"/>
              <w:rPr>
                <w:sz w:val="20"/>
                <w:szCs w:val="20"/>
                <w:color w:val="auto"/>
              </w:rPr>
            </w:pPr>
            <w:r>
              <w:rPr>
                <w:rFonts w:ascii="Times New Roman" w:cs="Times New Roman" w:eastAsia="Times New Roman" w:hAnsi="Times New Roman"/>
                <w:sz w:val="18"/>
                <w:szCs w:val="18"/>
                <w:color w:val="auto"/>
              </w:rPr>
              <w:t>A Bitcoin Block Reward refers to the new BTC that are awarded by the Blockchain network to eligible cryptocurrency</w:t>
            </w:r>
          </w:p>
        </w:tc>
      </w:tr>
      <w:tr>
        <w:trPr>
          <w:trHeight w:val="234"/>
        </w:trPr>
        <w:tc>
          <w:tcPr>
            <w:tcW w:w="212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Miners for each block they successfully mine. The current block reward is 3.125 BTC per block.</w:t>
            </w:r>
          </w:p>
        </w:tc>
      </w:tr>
      <w:tr>
        <w:trPr>
          <w:trHeight w:val="191"/>
        </w:trPr>
        <w:tc>
          <w:tcPr>
            <w:tcW w:w="212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b w:val="1"/>
                <w:bCs w:val="1"/>
                <w:color w:val="auto"/>
              </w:rPr>
              <w:t>Blockchain</w:t>
            </w:r>
          </w:p>
        </w:tc>
        <w:tc>
          <w:tcPr>
            <w:tcW w:w="9120" w:type="dxa"/>
            <w:vAlign w:val="bottom"/>
            <w:gridSpan w:val="2"/>
          </w:tcPr>
          <w:p>
            <w:pPr>
              <w:ind w:left="80"/>
              <w:spacing w:after="0" w:line="191" w:lineRule="exact"/>
              <w:rPr>
                <w:sz w:val="20"/>
                <w:szCs w:val="20"/>
                <w:color w:val="auto"/>
              </w:rPr>
            </w:pPr>
            <w:r>
              <w:rPr>
                <w:rFonts w:ascii="Times New Roman" w:cs="Times New Roman" w:eastAsia="Times New Roman" w:hAnsi="Times New Roman"/>
                <w:sz w:val="18"/>
                <w:szCs w:val="18"/>
                <w:color w:val="auto"/>
              </w:rPr>
              <w:t>A Blockchain is a cloud-based public ledger that exists on computers that participate on the network globally. The</w:t>
            </w:r>
          </w:p>
        </w:tc>
      </w:tr>
      <w:tr>
        <w:trPr>
          <w:trHeight w:val="216"/>
        </w:trPr>
        <w:tc>
          <w:tcPr>
            <w:tcW w:w="2120" w:type="dxa"/>
            <w:vAlign w:val="bottom"/>
          </w:tcPr>
          <w:p>
            <w:pPr>
              <w:spacing w:after="0"/>
              <w:rPr>
                <w:sz w:val="18"/>
                <w:szCs w:val="18"/>
                <w:color w:val="auto"/>
              </w:rPr>
            </w:pPr>
          </w:p>
        </w:tc>
        <w:tc>
          <w:tcPr>
            <w:tcW w:w="9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Blockchain grows as new sets of data, or ‘blocks’, are added to it through Mining. Each block contains a timestamp and a</w:t>
            </w:r>
          </w:p>
        </w:tc>
      </w:tr>
      <w:tr>
        <w:trPr>
          <w:trHeight w:val="216"/>
        </w:trPr>
        <w:tc>
          <w:tcPr>
            <w:tcW w:w="2120" w:type="dxa"/>
            <w:vAlign w:val="bottom"/>
          </w:tcPr>
          <w:p>
            <w:pPr>
              <w:spacing w:after="0"/>
              <w:rPr>
                <w:sz w:val="18"/>
                <w:szCs w:val="18"/>
                <w:color w:val="auto"/>
              </w:rPr>
            </w:pPr>
          </w:p>
        </w:tc>
        <w:tc>
          <w:tcPr>
            <w:tcW w:w="9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link to the previous block, such that the series of blocks form a continuous chain. Given that each block has a separate hash</w:t>
            </w:r>
          </w:p>
        </w:tc>
      </w:tr>
      <w:tr>
        <w:trPr>
          <w:trHeight w:val="216"/>
        </w:trPr>
        <w:tc>
          <w:tcPr>
            <w:tcW w:w="2120" w:type="dxa"/>
            <w:vAlign w:val="bottom"/>
          </w:tcPr>
          <w:p>
            <w:pPr>
              <w:spacing w:after="0"/>
              <w:rPr>
                <w:sz w:val="18"/>
                <w:szCs w:val="18"/>
                <w:color w:val="auto"/>
              </w:rPr>
            </w:pPr>
          </w:p>
        </w:tc>
        <w:tc>
          <w:tcPr>
            <w:tcW w:w="9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and each hash requires information from the previous block, altering information an established block would require</w:t>
            </w:r>
          </w:p>
        </w:tc>
      </w:tr>
      <w:tr>
        <w:trPr>
          <w:trHeight w:val="216"/>
        </w:trPr>
        <w:tc>
          <w:tcPr>
            <w:tcW w:w="2120" w:type="dxa"/>
            <w:vAlign w:val="bottom"/>
          </w:tcPr>
          <w:p>
            <w:pPr>
              <w:spacing w:after="0"/>
              <w:rPr>
                <w:sz w:val="18"/>
                <w:szCs w:val="18"/>
                <w:color w:val="auto"/>
              </w:rPr>
            </w:pPr>
          </w:p>
        </w:tc>
        <w:tc>
          <w:tcPr>
            <w:tcW w:w="9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recalculating all the hashes on the Blockchain which would require an enormous and impracticable amount of computing</w:t>
            </w:r>
          </w:p>
        </w:tc>
      </w:tr>
      <w:tr>
        <w:trPr>
          <w:trHeight w:val="234"/>
        </w:trPr>
        <w:tc>
          <w:tcPr>
            <w:tcW w:w="212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power. As a result, once a block is added to the Blockchain it is very difficult to edit and impossible to delete.</w:t>
            </w:r>
          </w:p>
        </w:tc>
      </w:tr>
      <w:tr>
        <w:trPr>
          <w:trHeight w:val="210"/>
        </w:trPr>
        <w:tc>
          <w:tcPr>
            <w:tcW w:w="2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Exahash or EH/s</w:t>
            </w:r>
          </w:p>
        </w:tc>
        <w:tc>
          <w:tcPr>
            <w:tcW w:w="91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One quintillion (1,000,000,000,000,000,000) hashes or one million Terahash per second.</w:t>
            </w:r>
          </w:p>
        </w:tc>
      </w:tr>
      <w:tr>
        <w:trPr>
          <w:trHeight w:val="191"/>
        </w:trPr>
        <w:tc>
          <w:tcPr>
            <w:tcW w:w="212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b w:val="1"/>
                <w:bCs w:val="1"/>
                <w:color w:val="auto"/>
              </w:rPr>
              <w:t>Gigawatt or GW</w:t>
            </w:r>
          </w:p>
        </w:tc>
        <w:tc>
          <w:tcPr>
            <w:tcW w:w="9120" w:type="dxa"/>
            <w:vAlign w:val="bottom"/>
            <w:gridSpan w:val="2"/>
          </w:tcPr>
          <w:p>
            <w:pPr>
              <w:ind w:left="80"/>
              <w:spacing w:after="0" w:line="191" w:lineRule="exact"/>
              <w:rPr>
                <w:sz w:val="20"/>
                <w:szCs w:val="20"/>
                <w:color w:val="auto"/>
              </w:rPr>
            </w:pPr>
            <w:r>
              <w:rPr>
                <w:rFonts w:ascii="Times New Roman" w:cs="Times New Roman" w:eastAsia="Times New Roman" w:hAnsi="Times New Roman"/>
                <w:sz w:val="18"/>
                <w:szCs w:val="18"/>
                <w:color w:val="auto"/>
              </w:rPr>
              <w:t>A gigawatt is 1,000 megawatts of electricity and, in the industry of cryptocurrency Mining, can be a reference to the number</w:t>
            </w:r>
          </w:p>
        </w:tc>
      </w:tr>
      <w:tr>
        <w:trPr>
          <w:trHeight w:val="234"/>
        </w:trPr>
        <w:tc>
          <w:tcPr>
            <w:tcW w:w="212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of gigawatts of electricity per hour that is available for use.</w:t>
            </w:r>
          </w:p>
        </w:tc>
      </w:tr>
      <w:tr>
        <w:trPr>
          <w:trHeight w:val="191"/>
        </w:trPr>
        <w:tc>
          <w:tcPr>
            <w:tcW w:w="212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b w:val="1"/>
                <w:bCs w:val="1"/>
                <w:color w:val="auto"/>
              </w:rPr>
              <w:t>Hash</w:t>
            </w:r>
          </w:p>
        </w:tc>
        <w:tc>
          <w:tcPr>
            <w:tcW w:w="9120" w:type="dxa"/>
            <w:vAlign w:val="bottom"/>
            <w:gridSpan w:val="2"/>
          </w:tcPr>
          <w:p>
            <w:pPr>
              <w:ind w:left="80"/>
              <w:spacing w:after="0" w:line="191" w:lineRule="exact"/>
              <w:rPr>
                <w:sz w:val="20"/>
                <w:szCs w:val="20"/>
                <w:color w:val="auto"/>
              </w:rPr>
            </w:pPr>
            <w:r>
              <w:rPr>
                <w:rFonts w:ascii="Times New Roman" w:cs="Times New Roman" w:eastAsia="Times New Roman" w:hAnsi="Times New Roman"/>
                <w:sz w:val="18"/>
                <w:szCs w:val="18"/>
                <w:color w:val="auto"/>
              </w:rPr>
              <w:t>A hash is a function that converts or maps an input of letters and numbers into an encrypted output of a fixed length, which</w:t>
            </w:r>
          </w:p>
        </w:tc>
      </w:tr>
      <w:tr>
        <w:trPr>
          <w:trHeight w:val="216"/>
        </w:trPr>
        <w:tc>
          <w:tcPr>
            <w:tcW w:w="2120" w:type="dxa"/>
            <w:vAlign w:val="bottom"/>
          </w:tcPr>
          <w:p>
            <w:pPr>
              <w:spacing w:after="0"/>
              <w:rPr>
                <w:sz w:val="18"/>
                <w:szCs w:val="18"/>
                <w:color w:val="auto"/>
              </w:rPr>
            </w:pPr>
          </w:p>
        </w:tc>
        <w:tc>
          <w:tcPr>
            <w:tcW w:w="9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outputs are often referred to as hashes. A hash is created using an algorithm. The algorithm used in the validation of Bitcoin</w:t>
            </w:r>
          </w:p>
        </w:tc>
      </w:tr>
      <w:tr>
        <w:trPr>
          <w:trHeight w:val="234"/>
        </w:trPr>
        <w:tc>
          <w:tcPr>
            <w:tcW w:w="212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transactions is the SHA-256 algorithm.</w:t>
            </w:r>
          </w:p>
        </w:tc>
      </w:tr>
      <w:tr>
        <w:trPr>
          <w:trHeight w:val="191"/>
        </w:trPr>
        <w:tc>
          <w:tcPr>
            <w:tcW w:w="212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b w:val="1"/>
                <w:bCs w:val="1"/>
                <w:color w:val="auto"/>
              </w:rPr>
              <w:t>Hashrate</w:t>
            </w:r>
          </w:p>
        </w:tc>
        <w:tc>
          <w:tcPr>
            <w:tcW w:w="9120" w:type="dxa"/>
            <w:vAlign w:val="bottom"/>
            <w:gridSpan w:val="2"/>
          </w:tcPr>
          <w:p>
            <w:pPr>
              <w:ind w:left="80"/>
              <w:spacing w:after="0" w:line="191" w:lineRule="exact"/>
              <w:rPr>
                <w:sz w:val="20"/>
                <w:szCs w:val="20"/>
                <w:color w:val="auto"/>
              </w:rPr>
            </w:pPr>
            <w:r>
              <w:rPr>
                <w:rFonts w:ascii="Times New Roman" w:cs="Times New Roman" w:eastAsia="Times New Roman" w:hAnsi="Times New Roman"/>
                <w:sz w:val="18"/>
                <w:szCs w:val="18"/>
                <w:color w:val="auto"/>
              </w:rPr>
              <w:t>Hashrate refers to the number of hash operations performed per second and is a measure of computing power in Mining</w:t>
            </w:r>
          </w:p>
        </w:tc>
      </w:tr>
      <w:tr>
        <w:trPr>
          <w:trHeight w:val="234"/>
        </w:trPr>
        <w:tc>
          <w:tcPr>
            <w:tcW w:w="212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cryptocurrency.</w:t>
            </w:r>
          </w:p>
        </w:tc>
      </w:tr>
      <w:tr>
        <w:trPr>
          <w:trHeight w:val="187"/>
        </w:trPr>
        <w:tc>
          <w:tcPr>
            <w:tcW w:w="212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Hashrate Under</w:t>
            </w:r>
          </w:p>
        </w:tc>
        <w:tc>
          <w:tcPr>
            <w:tcW w:w="9120" w:type="dxa"/>
            <w:vAlign w:val="bottom"/>
            <w:gridSpan w:val="2"/>
          </w:tcPr>
          <w:p>
            <w:pPr>
              <w:ind w:left="80"/>
              <w:spacing w:after="0" w:line="188" w:lineRule="exact"/>
              <w:rPr>
                <w:sz w:val="20"/>
                <w:szCs w:val="20"/>
                <w:color w:val="auto"/>
              </w:rPr>
            </w:pPr>
            <w:r>
              <w:rPr>
                <w:rFonts w:ascii="Times New Roman" w:cs="Times New Roman" w:eastAsia="Times New Roman" w:hAnsi="Times New Roman"/>
                <w:sz w:val="18"/>
                <w:szCs w:val="18"/>
                <w:color w:val="auto"/>
              </w:rPr>
              <w:t>Hashrate from the Miners the Company owns and from Miners hosted and managed by the Company.</w:t>
            </w:r>
          </w:p>
        </w:tc>
      </w:tr>
      <w:tr>
        <w:trPr>
          <w:trHeight w:val="238"/>
        </w:trPr>
        <w:tc>
          <w:tcPr>
            <w:tcW w:w="2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Management</w:t>
            </w:r>
          </w:p>
        </w:tc>
        <w:tc>
          <w:tcPr>
            <w:tcW w:w="85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32"/>
        </w:trPr>
        <w:tc>
          <w:tcPr>
            <w:tcW w:w="212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r>
        <w:trPr>
          <w:trHeight w:val="237"/>
        </w:trPr>
        <w:tc>
          <w:tcPr>
            <w:tcW w:w="2120" w:type="dxa"/>
            <w:vAlign w:val="bottom"/>
          </w:tcPr>
          <w:p>
            <w:pPr>
              <w:spacing w:after="0"/>
              <w:rPr>
                <w:sz w:val="20"/>
                <w:szCs w:val="20"/>
                <w:color w:val="auto"/>
              </w:rPr>
            </w:pPr>
          </w:p>
        </w:tc>
        <w:tc>
          <w:tcPr>
            <w:tcW w:w="8580" w:type="dxa"/>
            <w:vAlign w:val="bottom"/>
            <w:tcBorders>
              <w:right w:val="single" w:sz="8" w:color="auto"/>
            </w:tcBorders>
          </w:tcPr>
          <w:p>
            <w:pPr>
              <w:ind w:left="8320"/>
              <w:spacing w:after="0"/>
              <w:rPr>
                <w:sz w:val="20"/>
                <w:szCs w:val="20"/>
                <w:color w:val="auto"/>
              </w:rPr>
            </w:pPr>
            <w:r>
              <w:rPr>
                <w:rFonts w:ascii="Times New Roman" w:cs="Times New Roman" w:eastAsia="Times New Roman" w:hAnsi="Times New Roman"/>
                <w:sz w:val="18"/>
                <w:szCs w:val="18"/>
                <w:color w:val="auto"/>
              </w:rPr>
              <w:t>62</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Page</w:t>
            </w:r>
          </w:p>
        </w:tc>
      </w:tr>
      <w:tr>
        <w:trPr>
          <w:trHeight w:val="27"/>
        </w:trPr>
        <w:tc>
          <w:tcPr>
            <w:tcW w:w="2120" w:type="dxa"/>
            <w:vAlign w:val="bottom"/>
          </w:tcPr>
          <w:p>
            <w:pPr>
              <w:spacing w:after="0"/>
              <w:rPr>
                <w:sz w:val="2"/>
                <w:szCs w:val="2"/>
                <w:color w:val="auto"/>
              </w:rPr>
            </w:pPr>
          </w:p>
        </w:tc>
        <w:tc>
          <w:tcPr>
            <w:tcW w:w="858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r>
    </w:tbl>
    <w:p>
      <w:pPr>
        <w:sectPr>
          <w:pgSz w:w="11900" w:h="16838" w:orient="portrait"/>
          <w:cols w:equalWidth="0" w:num="1">
            <w:col w:w="11240"/>
          </w:cols>
          <w:pgMar w:left="320" w:top="927"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24. GLOSSARY OF TERMS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Terms</w:t>
            </w:r>
          </w:p>
        </w:tc>
        <w:tc>
          <w:tcPr>
            <w:tcW w:w="9180" w:type="dxa"/>
            <w:vAlign w:val="bottom"/>
            <w:tcBorders>
              <w:top w:val="single" w:sz="8" w:color="auto"/>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187"/>
        </w:trPr>
        <w:tc>
          <w:tcPr>
            <w:tcW w:w="206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High Performance</w:t>
            </w:r>
          </w:p>
        </w:tc>
        <w:tc>
          <w:tcPr>
            <w:tcW w:w="9180" w:type="dxa"/>
            <w:vAlign w:val="bottom"/>
            <w:gridSpan w:val="2"/>
          </w:tcPr>
          <w:p>
            <w:pPr>
              <w:ind w:left="140"/>
              <w:spacing w:after="0" w:line="188" w:lineRule="exact"/>
              <w:rPr>
                <w:sz w:val="20"/>
                <w:szCs w:val="20"/>
                <w:color w:val="auto"/>
              </w:rPr>
            </w:pPr>
            <w:r>
              <w:rPr>
                <w:rFonts w:ascii="Times New Roman" w:cs="Times New Roman" w:eastAsia="Times New Roman" w:hAnsi="Times New Roman"/>
                <w:sz w:val="18"/>
                <w:szCs w:val="18"/>
                <w:color w:val="auto"/>
              </w:rPr>
              <w:t>Advanced computing capability that allows for rapid data processing and complex calculations at exceptionally high speeds,</w:t>
            </w:r>
          </w:p>
        </w:tc>
      </w:tr>
      <w:tr>
        <w:trPr>
          <w:trHeight w:val="238"/>
        </w:trPr>
        <w:tc>
          <w:tcPr>
            <w:tcW w:w="2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Computing (HPC)</w:t>
            </w:r>
          </w:p>
        </w:tc>
        <w:tc>
          <w:tcPr>
            <w:tcW w:w="91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essential for handling large datasets and complex computational tasks.</w:t>
            </w:r>
          </w:p>
        </w:tc>
      </w:tr>
      <w:tr>
        <w:trPr>
          <w:trHeight w:val="191"/>
        </w:trPr>
        <w:tc>
          <w:tcPr>
            <w:tcW w:w="206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b w:val="1"/>
                <w:bCs w:val="1"/>
                <w:color w:val="auto"/>
              </w:rPr>
              <w:t>Hosting</w:t>
            </w:r>
          </w:p>
        </w:tc>
        <w:tc>
          <w:tcPr>
            <w:tcW w:w="9180" w:type="dxa"/>
            <w:vAlign w:val="bottom"/>
            <w:gridSpan w:val="2"/>
          </w:tcPr>
          <w:p>
            <w:pPr>
              <w:ind w:left="140"/>
              <w:spacing w:after="0" w:line="191" w:lineRule="exact"/>
              <w:rPr>
                <w:sz w:val="20"/>
                <w:szCs w:val="20"/>
                <w:color w:val="auto"/>
              </w:rPr>
            </w:pPr>
            <w:r>
              <w:rPr>
                <w:rFonts w:ascii="Times New Roman" w:cs="Times New Roman" w:eastAsia="Times New Roman" w:hAnsi="Times New Roman"/>
                <w:sz w:val="18"/>
                <w:szCs w:val="18"/>
                <w:color w:val="auto"/>
              </w:rPr>
              <w:t>A service in which a company provides infrastructure, power, and cooling solutions to house and operate cryptocurrency</w:t>
            </w:r>
          </w:p>
        </w:tc>
      </w:tr>
      <w:tr>
        <w:trPr>
          <w:trHeight w:val="234"/>
        </w:trPr>
        <w:tc>
          <w:tcPr>
            <w:tcW w:w="2060" w:type="dxa"/>
            <w:vAlign w:val="bottom"/>
            <w:tcBorders>
              <w:bottom w:val="single" w:sz="8" w:color="auto"/>
            </w:tcBorders>
          </w:tcPr>
          <w:p>
            <w:pPr>
              <w:spacing w:after="0"/>
              <w:rPr>
                <w:sz w:val="20"/>
                <w:szCs w:val="20"/>
                <w:color w:val="auto"/>
              </w:rPr>
            </w:pPr>
          </w:p>
        </w:tc>
        <w:tc>
          <w:tcPr>
            <w:tcW w:w="91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mining equipment owned by clients.</w:t>
            </w:r>
          </w:p>
        </w:tc>
      </w:tr>
      <w:tr>
        <w:trPr>
          <w:trHeight w:val="191"/>
        </w:trPr>
        <w:tc>
          <w:tcPr>
            <w:tcW w:w="206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b w:val="1"/>
                <w:bCs w:val="1"/>
                <w:color w:val="auto"/>
              </w:rPr>
              <w:t>Megawatt or MW</w:t>
            </w:r>
          </w:p>
        </w:tc>
        <w:tc>
          <w:tcPr>
            <w:tcW w:w="9180" w:type="dxa"/>
            <w:vAlign w:val="bottom"/>
            <w:gridSpan w:val="2"/>
          </w:tcPr>
          <w:p>
            <w:pPr>
              <w:ind w:left="140"/>
              <w:spacing w:after="0" w:line="191" w:lineRule="exact"/>
              <w:rPr>
                <w:sz w:val="20"/>
                <w:szCs w:val="20"/>
                <w:color w:val="auto"/>
              </w:rPr>
            </w:pPr>
            <w:r>
              <w:rPr>
                <w:rFonts w:ascii="Times New Roman" w:cs="Times New Roman" w:eastAsia="Times New Roman" w:hAnsi="Times New Roman"/>
                <w:sz w:val="18"/>
                <w:szCs w:val="18"/>
                <w:color w:val="auto"/>
              </w:rPr>
              <w:t>A megawatt is 1,000 kilowatts of electricity and, in the industry of cryptocurrency Mining, is typically a reference to the</w:t>
            </w:r>
          </w:p>
        </w:tc>
      </w:tr>
      <w:tr>
        <w:trPr>
          <w:trHeight w:val="234"/>
        </w:trPr>
        <w:tc>
          <w:tcPr>
            <w:tcW w:w="2060" w:type="dxa"/>
            <w:vAlign w:val="bottom"/>
            <w:tcBorders>
              <w:bottom w:val="single" w:sz="8" w:color="auto"/>
            </w:tcBorders>
          </w:tcPr>
          <w:p>
            <w:pPr>
              <w:spacing w:after="0"/>
              <w:rPr>
                <w:sz w:val="20"/>
                <w:szCs w:val="20"/>
                <w:color w:val="auto"/>
              </w:rPr>
            </w:pPr>
          </w:p>
        </w:tc>
        <w:tc>
          <w:tcPr>
            <w:tcW w:w="91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number of megawatts of electricity per hour that is available for use.</w:t>
            </w:r>
          </w:p>
        </w:tc>
      </w:tr>
      <w:tr>
        <w:trPr>
          <w:trHeight w:val="210"/>
        </w:trPr>
        <w:tc>
          <w:tcPr>
            <w:tcW w:w="2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Miners</w:t>
            </w:r>
          </w:p>
        </w:tc>
        <w:tc>
          <w:tcPr>
            <w:tcW w:w="91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ASICs used by the Company and third parties to perform Mining.</w:t>
            </w:r>
          </w:p>
        </w:tc>
      </w:tr>
      <w:tr>
        <w:trPr>
          <w:trHeight w:val="191"/>
        </w:trPr>
        <w:tc>
          <w:tcPr>
            <w:tcW w:w="206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b w:val="1"/>
                <w:bCs w:val="1"/>
                <w:color w:val="auto"/>
              </w:rPr>
              <w:t>Mining</w:t>
            </w:r>
          </w:p>
        </w:tc>
        <w:tc>
          <w:tcPr>
            <w:tcW w:w="9180" w:type="dxa"/>
            <w:vAlign w:val="bottom"/>
            <w:gridSpan w:val="2"/>
          </w:tcPr>
          <w:p>
            <w:pPr>
              <w:ind w:left="140"/>
              <w:spacing w:after="0" w:line="191" w:lineRule="exact"/>
              <w:rPr>
                <w:sz w:val="20"/>
                <w:szCs w:val="20"/>
                <w:color w:val="auto"/>
              </w:rPr>
            </w:pPr>
            <w:r>
              <w:rPr>
                <w:rFonts w:ascii="Times New Roman" w:cs="Times New Roman" w:eastAsia="Times New Roman" w:hAnsi="Times New Roman"/>
                <w:sz w:val="18"/>
                <w:szCs w:val="18"/>
                <w:color w:val="auto"/>
              </w:rPr>
              <w:t>Mining refers to the process of using specialized computer hardware, and in the case of the Company, ASICs, to perform</w:t>
            </w:r>
          </w:p>
        </w:tc>
      </w:tr>
      <w:tr>
        <w:trPr>
          <w:trHeight w:val="216"/>
        </w:trPr>
        <w:tc>
          <w:tcPr>
            <w:tcW w:w="2060" w:type="dxa"/>
            <w:vAlign w:val="bottom"/>
          </w:tcPr>
          <w:p>
            <w:pPr>
              <w:spacing w:after="0"/>
              <w:rPr>
                <w:sz w:val="18"/>
                <w:szCs w:val="18"/>
                <w:color w:val="auto"/>
              </w:rPr>
            </w:pPr>
          </w:p>
        </w:tc>
        <w:tc>
          <w:tcPr>
            <w:tcW w:w="9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mathematical calculations to confirm transactions and increase security for the BTC Blockchain. As a reward for their</w:t>
            </w:r>
          </w:p>
        </w:tc>
      </w:tr>
      <w:tr>
        <w:trPr>
          <w:trHeight w:val="216"/>
        </w:trPr>
        <w:tc>
          <w:tcPr>
            <w:tcW w:w="2060" w:type="dxa"/>
            <w:vAlign w:val="bottom"/>
          </w:tcPr>
          <w:p>
            <w:pPr>
              <w:spacing w:after="0"/>
              <w:rPr>
                <w:sz w:val="18"/>
                <w:szCs w:val="18"/>
                <w:color w:val="auto"/>
              </w:rPr>
            </w:pPr>
          </w:p>
        </w:tc>
        <w:tc>
          <w:tcPr>
            <w:tcW w:w="9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services, Bitcoin Miners collect transaction fees for the transactions they confirm, along with newly created BTC as Block</w:t>
            </w:r>
          </w:p>
        </w:tc>
      </w:tr>
      <w:tr>
        <w:trPr>
          <w:trHeight w:val="234"/>
        </w:trPr>
        <w:tc>
          <w:tcPr>
            <w:tcW w:w="2060" w:type="dxa"/>
            <w:vAlign w:val="bottom"/>
            <w:tcBorders>
              <w:bottom w:val="single" w:sz="8" w:color="auto"/>
            </w:tcBorders>
          </w:tcPr>
          <w:p>
            <w:pPr>
              <w:spacing w:after="0"/>
              <w:rPr>
                <w:sz w:val="20"/>
                <w:szCs w:val="20"/>
                <w:color w:val="auto"/>
              </w:rPr>
            </w:pPr>
          </w:p>
        </w:tc>
        <w:tc>
          <w:tcPr>
            <w:tcW w:w="91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Rewards.</w:t>
            </w:r>
          </w:p>
        </w:tc>
      </w:tr>
      <w:tr>
        <w:trPr>
          <w:trHeight w:val="191"/>
        </w:trPr>
        <w:tc>
          <w:tcPr>
            <w:tcW w:w="206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b w:val="1"/>
                <w:bCs w:val="1"/>
                <w:color w:val="auto"/>
              </w:rPr>
              <w:t>Mining Pool</w:t>
            </w:r>
          </w:p>
        </w:tc>
        <w:tc>
          <w:tcPr>
            <w:tcW w:w="9180" w:type="dxa"/>
            <w:vAlign w:val="bottom"/>
            <w:gridSpan w:val="2"/>
          </w:tcPr>
          <w:p>
            <w:pPr>
              <w:ind w:left="140"/>
              <w:spacing w:after="0" w:line="191" w:lineRule="exact"/>
              <w:rPr>
                <w:sz w:val="20"/>
                <w:szCs w:val="20"/>
                <w:color w:val="auto"/>
              </w:rPr>
            </w:pPr>
            <w:r>
              <w:rPr>
                <w:rFonts w:ascii="Times New Roman" w:cs="Times New Roman" w:eastAsia="Times New Roman" w:hAnsi="Times New Roman"/>
                <w:sz w:val="18"/>
                <w:szCs w:val="18"/>
                <w:color w:val="auto"/>
              </w:rPr>
              <w:t>A Mining Pool is a group of cryptocurrency Miners who pool their computational resources, or Hashrate, in order to</w:t>
            </w:r>
          </w:p>
        </w:tc>
      </w:tr>
      <w:tr>
        <w:trPr>
          <w:trHeight w:val="216"/>
        </w:trPr>
        <w:tc>
          <w:tcPr>
            <w:tcW w:w="2060" w:type="dxa"/>
            <w:vAlign w:val="bottom"/>
          </w:tcPr>
          <w:p>
            <w:pPr>
              <w:spacing w:after="0"/>
              <w:rPr>
                <w:sz w:val="18"/>
                <w:szCs w:val="18"/>
                <w:color w:val="auto"/>
              </w:rPr>
            </w:pPr>
          </w:p>
        </w:tc>
        <w:tc>
          <w:tcPr>
            <w:tcW w:w="9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increase the probability of finding a block on the BTC Blockchain. Mining Pools administer regular payouts to mitigate the</w:t>
            </w:r>
          </w:p>
        </w:tc>
      </w:tr>
      <w:tr>
        <w:trPr>
          <w:trHeight w:val="234"/>
        </w:trPr>
        <w:tc>
          <w:tcPr>
            <w:tcW w:w="2060" w:type="dxa"/>
            <w:vAlign w:val="bottom"/>
            <w:tcBorders>
              <w:bottom w:val="single" w:sz="8" w:color="auto"/>
            </w:tcBorders>
          </w:tcPr>
          <w:p>
            <w:pPr>
              <w:spacing w:after="0"/>
              <w:rPr>
                <w:sz w:val="20"/>
                <w:szCs w:val="20"/>
                <w:color w:val="auto"/>
              </w:rPr>
            </w:pPr>
          </w:p>
        </w:tc>
        <w:tc>
          <w:tcPr>
            <w:tcW w:w="91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risk of Miners operating for a prolonged period of time without finding a block.</w:t>
            </w:r>
          </w:p>
        </w:tc>
      </w:tr>
      <w:tr>
        <w:trPr>
          <w:trHeight w:val="191"/>
        </w:trPr>
        <w:tc>
          <w:tcPr>
            <w:tcW w:w="206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b w:val="1"/>
                <w:bCs w:val="1"/>
                <w:color w:val="auto"/>
              </w:rPr>
              <w:t>Network Difficulty</w:t>
            </w:r>
          </w:p>
        </w:tc>
        <w:tc>
          <w:tcPr>
            <w:tcW w:w="9180" w:type="dxa"/>
            <w:vAlign w:val="bottom"/>
            <w:gridSpan w:val="2"/>
          </w:tcPr>
          <w:p>
            <w:pPr>
              <w:ind w:left="140"/>
              <w:spacing w:after="0" w:line="191" w:lineRule="exact"/>
              <w:rPr>
                <w:sz w:val="20"/>
                <w:szCs w:val="20"/>
                <w:color w:val="auto"/>
              </w:rPr>
            </w:pPr>
            <w:r>
              <w:rPr>
                <w:rFonts w:ascii="Times New Roman" w:cs="Times New Roman" w:eastAsia="Times New Roman" w:hAnsi="Times New Roman"/>
                <w:sz w:val="18"/>
                <w:szCs w:val="18"/>
                <w:color w:val="auto"/>
              </w:rPr>
              <w:t>Network Difficulty is a unitless measure of how difficult it is to find a hash below a given target. The Bitcoin network</w:t>
            </w:r>
          </w:p>
        </w:tc>
      </w:tr>
      <w:tr>
        <w:trPr>
          <w:trHeight w:val="216"/>
        </w:trPr>
        <w:tc>
          <w:tcPr>
            <w:tcW w:w="2060" w:type="dxa"/>
            <w:vAlign w:val="bottom"/>
          </w:tcPr>
          <w:p>
            <w:pPr>
              <w:spacing w:after="0"/>
              <w:rPr>
                <w:sz w:val="18"/>
                <w:szCs w:val="18"/>
                <w:color w:val="auto"/>
              </w:rPr>
            </w:pPr>
          </w:p>
        </w:tc>
        <w:tc>
          <w:tcPr>
            <w:tcW w:w="9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protocol automatically adjusts Network Difficulty by changing the target every 2,016 blocks hashed based on the time it</w:t>
            </w:r>
          </w:p>
        </w:tc>
      </w:tr>
      <w:tr>
        <w:trPr>
          <w:trHeight w:val="216"/>
        </w:trPr>
        <w:tc>
          <w:tcPr>
            <w:tcW w:w="2060" w:type="dxa"/>
            <w:vAlign w:val="bottom"/>
          </w:tcPr>
          <w:p>
            <w:pPr>
              <w:spacing w:after="0"/>
              <w:rPr>
                <w:sz w:val="18"/>
                <w:szCs w:val="18"/>
                <w:color w:val="auto"/>
              </w:rPr>
            </w:pPr>
          </w:p>
        </w:tc>
        <w:tc>
          <w:tcPr>
            <w:tcW w:w="9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took for the total computing power used in Bitcoin Mining to solve the previous 2,016 blocks such that the average time to</w:t>
            </w:r>
          </w:p>
        </w:tc>
      </w:tr>
      <w:tr>
        <w:trPr>
          <w:trHeight w:val="234"/>
        </w:trPr>
        <w:tc>
          <w:tcPr>
            <w:tcW w:w="2060" w:type="dxa"/>
            <w:vAlign w:val="bottom"/>
            <w:tcBorders>
              <w:bottom w:val="single" w:sz="8" w:color="auto"/>
            </w:tcBorders>
          </w:tcPr>
          <w:p>
            <w:pPr>
              <w:spacing w:after="0"/>
              <w:rPr>
                <w:sz w:val="20"/>
                <w:szCs w:val="20"/>
                <w:color w:val="auto"/>
              </w:rPr>
            </w:pPr>
          </w:p>
        </w:tc>
        <w:tc>
          <w:tcPr>
            <w:tcW w:w="91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solve each block is ten minutes.</w:t>
            </w:r>
          </w:p>
        </w:tc>
      </w:tr>
      <w:tr>
        <w:trPr>
          <w:trHeight w:val="191"/>
        </w:trPr>
        <w:tc>
          <w:tcPr>
            <w:tcW w:w="206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b w:val="1"/>
                <w:bCs w:val="1"/>
                <w:color w:val="auto"/>
              </w:rPr>
              <w:t>Network Hashrate</w:t>
            </w:r>
          </w:p>
        </w:tc>
        <w:tc>
          <w:tcPr>
            <w:tcW w:w="9180" w:type="dxa"/>
            <w:vAlign w:val="bottom"/>
            <w:gridSpan w:val="2"/>
          </w:tcPr>
          <w:p>
            <w:pPr>
              <w:ind w:left="140"/>
              <w:spacing w:after="0" w:line="191" w:lineRule="exact"/>
              <w:rPr>
                <w:sz w:val="20"/>
                <w:szCs w:val="20"/>
                <w:color w:val="auto"/>
              </w:rPr>
            </w:pPr>
            <w:r>
              <w:rPr>
                <w:rFonts w:ascii="Times New Roman" w:cs="Times New Roman" w:eastAsia="Times New Roman" w:hAnsi="Times New Roman"/>
                <w:sz w:val="18"/>
                <w:szCs w:val="18"/>
                <w:color w:val="auto"/>
              </w:rPr>
              <w:t>Network Hashrate refers to the total global hashrate (and related computing power) used in Mining for a given</w:t>
            </w:r>
          </w:p>
        </w:tc>
      </w:tr>
      <w:tr>
        <w:trPr>
          <w:trHeight w:val="234"/>
        </w:trPr>
        <w:tc>
          <w:tcPr>
            <w:tcW w:w="2060" w:type="dxa"/>
            <w:vAlign w:val="bottom"/>
            <w:tcBorders>
              <w:bottom w:val="single" w:sz="8" w:color="auto"/>
            </w:tcBorders>
          </w:tcPr>
          <w:p>
            <w:pPr>
              <w:spacing w:after="0"/>
              <w:rPr>
                <w:sz w:val="20"/>
                <w:szCs w:val="20"/>
                <w:color w:val="auto"/>
              </w:rPr>
            </w:pPr>
          </w:p>
        </w:tc>
        <w:tc>
          <w:tcPr>
            <w:tcW w:w="91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cryptocurrency.</w:t>
            </w:r>
          </w:p>
        </w:tc>
      </w:tr>
      <w:tr>
        <w:trPr>
          <w:trHeight w:val="191"/>
        </w:trPr>
        <w:tc>
          <w:tcPr>
            <w:tcW w:w="206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b w:val="1"/>
                <w:bCs w:val="1"/>
                <w:color w:val="auto"/>
              </w:rPr>
              <w:t>Owner’s Representative</w:t>
            </w:r>
          </w:p>
        </w:tc>
        <w:tc>
          <w:tcPr>
            <w:tcW w:w="9180" w:type="dxa"/>
            <w:vAlign w:val="bottom"/>
            <w:gridSpan w:val="2"/>
          </w:tcPr>
          <w:p>
            <w:pPr>
              <w:ind w:left="140"/>
              <w:spacing w:after="0" w:line="191" w:lineRule="exact"/>
              <w:rPr>
                <w:sz w:val="20"/>
                <w:szCs w:val="20"/>
                <w:color w:val="auto"/>
              </w:rPr>
            </w:pPr>
            <w:r>
              <w:rPr>
                <w:rFonts w:ascii="Times New Roman" w:cs="Times New Roman" w:eastAsia="Times New Roman" w:hAnsi="Times New Roman"/>
                <w:sz w:val="18"/>
                <w:szCs w:val="18"/>
                <w:color w:val="auto"/>
              </w:rPr>
              <w:t>A professional who acts on behalf of the project owner to manage and oversee a construction project from start to finish,</w:t>
            </w:r>
          </w:p>
        </w:tc>
      </w:tr>
      <w:tr>
        <w:trPr>
          <w:trHeight w:val="234"/>
        </w:trPr>
        <w:tc>
          <w:tcPr>
            <w:tcW w:w="2060" w:type="dxa"/>
            <w:vAlign w:val="bottom"/>
            <w:tcBorders>
              <w:bottom w:val="single" w:sz="8" w:color="auto"/>
            </w:tcBorders>
          </w:tcPr>
          <w:p>
            <w:pPr>
              <w:spacing w:after="0"/>
              <w:rPr>
                <w:sz w:val="20"/>
                <w:szCs w:val="20"/>
                <w:color w:val="auto"/>
              </w:rPr>
            </w:pPr>
          </w:p>
        </w:tc>
        <w:tc>
          <w:tcPr>
            <w:tcW w:w="91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ensuring it meets the owner’s goals, budget, and quality standards.</w:t>
            </w:r>
          </w:p>
        </w:tc>
      </w:tr>
      <w:tr>
        <w:trPr>
          <w:trHeight w:val="210"/>
        </w:trPr>
        <w:tc>
          <w:tcPr>
            <w:tcW w:w="2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Petahash or PH/s</w:t>
            </w:r>
          </w:p>
        </w:tc>
        <w:tc>
          <w:tcPr>
            <w:tcW w:w="91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One quadrillion (1,000,000,000,000,000) hashes or one thousand Terahash per second.</w:t>
            </w:r>
          </w:p>
        </w:tc>
      </w:tr>
      <w:tr>
        <w:trPr>
          <w:trHeight w:val="191"/>
        </w:trPr>
        <w:tc>
          <w:tcPr>
            <w:tcW w:w="206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b w:val="1"/>
                <w:bCs w:val="1"/>
                <w:color w:val="auto"/>
              </w:rPr>
              <w:t>SHA-256</w:t>
            </w:r>
          </w:p>
        </w:tc>
        <w:tc>
          <w:tcPr>
            <w:tcW w:w="9180" w:type="dxa"/>
            <w:vAlign w:val="bottom"/>
            <w:gridSpan w:val="2"/>
          </w:tcPr>
          <w:p>
            <w:pPr>
              <w:ind w:left="140"/>
              <w:spacing w:after="0" w:line="191" w:lineRule="exact"/>
              <w:rPr>
                <w:sz w:val="20"/>
                <w:szCs w:val="20"/>
                <w:color w:val="auto"/>
              </w:rPr>
            </w:pPr>
            <w:r>
              <w:rPr>
                <w:rFonts w:ascii="Times New Roman" w:cs="Times New Roman" w:eastAsia="Times New Roman" w:hAnsi="Times New Roman"/>
                <w:sz w:val="18"/>
                <w:szCs w:val="18"/>
                <w:color w:val="auto"/>
              </w:rPr>
              <w:t>SHA stands for Secure Hash Algorithm. The SHA-256 algorithm was designed by the US National Security Agency and is</w:t>
            </w:r>
          </w:p>
        </w:tc>
      </w:tr>
      <w:tr>
        <w:trPr>
          <w:trHeight w:val="234"/>
        </w:trPr>
        <w:tc>
          <w:tcPr>
            <w:tcW w:w="2060" w:type="dxa"/>
            <w:vAlign w:val="bottom"/>
            <w:tcBorders>
              <w:bottom w:val="single" w:sz="8" w:color="auto"/>
            </w:tcBorders>
          </w:tcPr>
          <w:p>
            <w:pPr>
              <w:spacing w:after="0"/>
              <w:rPr>
                <w:sz w:val="20"/>
                <w:szCs w:val="20"/>
                <w:color w:val="auto"/>
              </w:rPr>
            </w:pPr>
          </w:p>
        </w:tc>
        <w:tc>
          <w:tcPr>
            <w:tcW w:w="91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the cryptographic hash function used within the Bitcoin network to validate transactions on the Bitcoin Blockchain.</w:t>
            </w:r>
          </w:p>
        </w:tc>
      </w:tr>
      <w:tr>
        <w:trPr>
          <w:trHeight w:val="191"/>
        </w:trPr>
        <w:tc>
          <w:tcPr>
            <w:tcW w:w="206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b w:val="1"/>
                <w:bCs w:val="1"/>
                <w:color w:val="auto"/>
              </w:rPr>
              <w:t>Synthetic HODL</w:t>
            </w:r>
          </w:p>
        </w:tc>
        <w:tc>
          <w:tcPr>
            <w:tcW w:w="9180" w:type="dxa"/>
            <w:vAlign w:val="bottom"/>
            <w:gridSpan w:val="2"/>
          </w:tcPr>
          <w:p>
            <w:pPr>
              <w:ind w:left="140"/>
              <w:spacing w:after="0" w:line="191" w:lineRule="exact"/>
              <w:rPr>
                <w:sz w:val="20"/>
                <w:szCs w:val="20"/>
                <w:color w:val="auto"/>
              </w:rPr>
            </w:pPr>
            <w:r>
              <w:rPr>
                <w:rFonts w:ascii="Times New Roman" w:cs="Times New Roman" w:eastAsia="Times New Roman" w:hAnsi="Times New Roman"/>
                <w:sz w:val="18"/>
                <w:szCs w:val="18"/>
                <w:color w:val="auto"/>
              </w:rPr>
              <w:t>Synthetic HODL is the Company’s use of financial instruments to generate BTC exposure with inherent risk management,</w:t>
            </w:r>
          </w:p>
        </w:tc>
      </w:tr>
      <w:tr>
        <w:trPr>
          <w:trHeight w:val="234"/>
        </w:trPr>
        <w:tc>
          <w:tcPr>
            <w:tcW w:w="2060" w:type="dxa"/>
            <w:vAlign w:val="bottom"/>
            <w:tcBorders>
              <w:bottom w:val="single" w:sz="8" w:color="auto"/>
            </w:tcBorders>
          </w:tcPr>
          <w:p>
            <w:pPr>
              <w:spacing w:after="0"/>
              <w:rPr>
                <w:sz w:val="20"/>
                <w:szCs w:val="20"/>
                <w:color w:val="auto"/>
              </w:rPr>
            </w:pPr>
          </w:p>
        </w:tc>
        <w:tc>
          <w:tcPr>
            <w:tcW w:w="91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capital efficiency and leverage characteristics. The initiative was succeeded by the Bitcoin One program.</w:t>
            </w:r>
          </w:p>
        </w:tc>
      </w:tr>
      <w:tr>
        <w:trPr>
          <w:trHeight w:val="210"/>
        </w:trPr>
        <w:tc>
          <w:tcPr>
            <w:tcW w:w="2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Terahash or TH/s</w:t>
            </w:r>
          </w:p>
        </w:tc>
        <w:tc>
          <w:tcPr>
            <w:tcW w:w="91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One trillion (1,000,000,000,000) hashes or one Terahash per second.</w:t>
            </w:r>
          </w:p>
        </w:tc>
      </w:tr>
      <w:tr>
        <w:trPr>
          <w:trHeight w:val="425"/>
        </w:trPr>
        <w:tc>
          <w:tcPr>
            <w:tcW w:w="206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r>
        <w:trPr>
          <w:trHeight w:val="237"/>
        </w:trPr>
        <w:tc>
          <w:tcPr>
            <w:tcW w:w="2060" w:type="dxa"/>
            <w:vAlign w:val="bottom"/>
          </w:tcPr>
          <w:p>
            <w:pPr>
              <w:spacing w:after="0"/>
              <w:rPr>
                <w:sz w:val="20"/>
                <w:szCs w:val="20"/>
                <w:color w:val="auto"/>
              </w:rPr>
            </w:pPr>
          </w:p>
        </w:tc>
        <w:tc>
          <w:tcPr>
            <w:tcW w:w="8640" w:type="dxa"/>
            <w:vAlign w:val="bottom"/>
            <w:tcBorders>
              <w:right w:val="single" w:sz="8" w:color="auto"/>
            </w:tcBorders>
          </w:tcPr>
          <w:p>
            <w:pPr>
              <w:ind w:left="8380"/>
              <w:spacing w:after="0"/>
              <w:rPr>
                <w:sz w:val="20"/>
                <w:szCs w:val="20"/>
                <w:color w:val="auto"/>
              </w:rPr>
            </w:pPr>
            <w:r>
              <w:rPr>
                <w:rFonts w:ascii="Times New Roman" w:cs="Times New Roman" w:eastAsia="Times New Roman" w:hAnsi="Times New Roman"/>
                <w:sz w:val="18"/>
                <w:szCs w:val="18"/>
                <w:color w:val="auto"/>
              </w:rPr>
              <w:t>63</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Page</w:t>
            </w:r>
          </w:p>
        </w:tc>
      </w:tr>
      <w:tr>
        <w:trPr>
          <w:trHeight w:val="27"/>
        </w:trPr>
        <w:tc>
          <w:tcPr>
            <w:tcW w:w="2060" w:type="dxa"/>
            <w:vAlign w:val="bottom"/>
          </w:tcPr>
          <w:p>
            <w:pPr>
              <w:spacing w:after="0"/>
              <w:rPr>
                <w:sz w:val="2"/>
                <w:szCs w:val="2"/>
                <w:color w:val="auto"/>
              </w:rPr>
            </w:pPr>
          </w:p>
        </w:tc>
        <w:tc>
          <w:tcPr>
            <w:tcW w:w="864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r>
    </w:tbl>
    <w:p>
      <w:pPr>
        <w:sectPr>
          <w:pgSz w:w="11900" w:h="16838" w:orient="portrait"/>
          <w:cols w:equalWidth="0" w:num="1">
            <w:col w:w="11240"/>
          </w:cols>
          <w:pgMar w:left="320" w:top="927"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22"/>
          <w:szCs w:val="22"/>
          <w:b w:val="1"/>
          <w:bCs w:val="1"/>
          <w:color w:val="auto"/>
        </w:rPr>
        <w:t>Exhibit 99.3</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52-109F2</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CERTIFICATION OF INTERIM FILINGS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FULL CERTIFICATE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Ben Gagnon, Chief Executive Officer of Bitfarms Ltd., certify the following:</w:t>
      </w:r>
    </w:p>
    <w:p>
      <w:pPr>
        <w:spacing w:after="0" w:line="221" w:lineRule="exact"/>
        <w:rPr>
          <w:sz w:val="20"/>
          <w:szCs w:val="20"/>
          <w:color w:val="auto"/>
        </w:rPr>
      </w:pPr>
    </w:p>
    <w:p>
      <w:pPr>
        <w:ind w:left="660" w:hanging="328"/>
        <w:spacing w:after="0" w:line="286" w:lineRule="auto"/>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Review: </w:t>
      </w:r>
      <w:r>
        <w:rPr>
          <w:rFonts w:ascii="Times New Roman" w:cs="Times New Roman" w:eastAsia="Times New Roman" w:hAnsi="Times New Roman"/>
          <w:sz w:val="18"/>
          <w:szCs w:val="18"/>
          <w:color w:val="auto"/>
        </w:rPr>
        <w:t>I have reviewed the interim financial report and interim MD&amp;A (together, the “interim filings”) of Bitfarms Ltd. (the “issuer”)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interim period ended September 30, 2025.</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misrepresentations: </w:t>
      </w:r>
      <w:r>
        <w:rPr>
          <w:rFonts w:ascii="Times New Roman" w:cs="Times New Roman" w:eastAsia="Times New Roman" w:hAnsi="Times New Roman"/>
          <w:sz w:val="18"/>
          <w:szCs w:val="18"/>
          <w:color w:val="auto"/>
        </w:rPr>
        <w:t>Based on my knowledge, having exercised reasonable diligence, the interim filings do not contain any untrue statement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material fact or omit to state a material fact required to be stated or that is necessary to make a statement not misleading in light of the circumstances under which it was made, with respect to the period covered by the interim filings.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Fair presentation: </w:t>
      </w:r>
      <w:r>
        <w:rPr>
          <w:rFonts w:ascii="Times New Roman" w:cs="Times New Roman" w:eastAsia="Times New Roman" w:hAnsi="Times New Roman"/>
          <w:sz w:val="18"/>
          <w:szCs w:val="18"/>
          <w:color w:val="auto"/>
        </w:rPr>
        <w:t>Based on my knowledge, having exercised reasonable diligence, the interim financial report together with the other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included in the interim filings fairly present in all material respects the financial condition, financial performance and cash flows of the issuer, as of the date of and for the periods presented in the interim filings.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Responsibility: </w:t>
      </w:r>
      <w:r>
        <w:rPr>
          <w:rFonts w:ascii="Times New Roman" w:cs="Times New Roman" w:eastAsia="Times New Roman" w:hAnsi="Times New Roman"/>
          <w:sz w:val="18"/>
          <w:szCs w:val="18"/>
          <w:color w:val="auto"/>
        </w:rPr>
        <w:t>The issuer’s other certifying officer(s) and I are responsible for establishing and maintaining disclosure controls and procedures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(DC&amp;P) and internal control over financial reporting (ICFR), as those terms are defined in </w:t>
      </w:r>
      <w:r>
        <w:rPr>
          <w:rFonts w:ascii="Times New Roman" w:cs="Times New Roman" w:eastAsia="Times New Roman" w:hAnsi="Times New Roman"/>
          <w:sz w:val="18"/>
          <w:szCs w:val="18"/>
          <w:i w:val="1"/>
          <w:iCs w:val="1"/>
          <w:color w:val="auto"/>
        </w:rPr>
        <w:t>National Instrument 52-109 Certification of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Issuers’ Annual and Interim Filings</w:t>
      </w:r>
      <w:r>
        <w:rPr>
          <w:rFonts w:ascii="Times New Roman" w:cs="Times New Roman" w:eastAsia="Times New Roman" w:hAnsi="Times New Roman"/>
          <w:sz w:val="18"/>
          <w:szCs w:val="18"/>
          <w:color w:val="auto"/>
        </w:rPr>
        <w:t>, for the issuer.</w:t>
      </w:r>
    </w:p>
    <w:p>
      <w:pPr>
        <w:spacing w:after="0" w:line="170"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Design: </w:t>
      </w:r>
      <w:r>
        <w:rPr>
          <w:rFonts w:ascii="Times New Roman" w:cs="Times New Roman" w:eastAsia="Times New Roman" w:hAnsi="Times New Roman"/>
          <w:sz w:val="18"/>
          <w:szCs w:val="18"/>
          <w:color w:val="auto"/>
        </w:rPr>
        <w:t>Subject to the limitations, if any, described in paragraphs 5.2 and 5.3, the issuer’s other certifying officer(s) and I have, as at the end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covered by the interim filings:</w:t>
      </w:r>
    </w:p>
    <w:p>
      <w:pPr>
        <w:spacing w:after="0" w:line="15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DC&amp;P, or caused it to be designed under our supervision, to provide reasonable assurance that:</w:t>
      </w:r>
    </w:p>
    <w:p>
      <w:pPr>
        <w:spacing w:after="0" w:line="225" w:lineRule="exact"/>
        <w:rPr>
          <w:rFonts w:ascii="Times New Roman" w:cs="Times New Roman" w:eastAsia="Times New Roman" w:hAnsi="Times New Roman"/>
          <w:sz w:val="18"/>
          <w:szCs w:val="18"/>
          <w:color w:val="auto"/>
        </w:rPr>
      </w:pPr>
    </w:p>
    <w:p>
      <w:pPr>
        <w:ind w:left="1620" w:hanging="640"/>
        <w:spacing w:after="0" w:line="282" w:lineRule="auto"/>
        <w:tabs>
          <w:tab w:leader="none" w:pos="1620" w:val="left"/>
        </w:tabs>
        <w:numPr>
          <w:ilvl w:val="2"/>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information relating to the issuer is made known to us by others, particularly during the period in which the interim filings are being prepared; and</w:t>
      </w:r>
    </w:p>
    <w:p>
      <w:pPr>
        <w:spacing w:after="0" w:line="161" w:lineRule="exact"/>
        <w:rPr>
          <w:rFonts w:ascii="Times New Roman" w:cs="Times New Roman" w:eastAsia="Times New Roman" w:hAnsi="Times New Roman"/>
          <w:sz w:val="18"/>
          <w:szCs w:val="18"/>
          <w:color w:val="auto"/>
        </w:rPr>
      </w:pPr>
    </w:p>
    <w:p>
      <w:pPr>
        <w:ind w:left="1620" w:hanging="640"/>
        <w:spacing w:after="0" w:line="282" w:lineRule="auto"/>
        <w:tabs>
          <w:tab w:leader="none" w:pos="1620" w:val="left"/>
        </w:tabs>
        <w:numPr>
          <w:ilvl w:val="2"/>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58" w:lineRule="exact"/>
        <w:rPr>
          <w:sz w:val="20"/>
          <w:szCs w:val="20"/>
          <w:color w:val="auto"/>
        </w:rPr>
      </w:pPr>
    </w:p>
    <w:p>
      <w:pPr>
        <w:ind w:left="660" w:hanging="323"/>
        <w:spacing w:after="0" w:line="28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i w:val="1"/>
          <w:iCs w:val="1"/>
          <w:color w:val="auto"/>
        </w:rPr>
        <w:t>Control framework:</w:t>
      </w:r>
      <w:r>
        <w:rPr>
          <w:rFonts w:ascii="Times New Roman" w:cs="Times New Roman" w:eastAsia="Times New Roman" w:hAnsi="Times New Roman"/>
          <w:sz w:val="18"/>
          <w:szCs w:val="18"/>
          <w:color w:val="auto"/>
        </w:rPr>
        <w:t xml:space="preserve"> The control framework the issuer’s other certifying officer(s) and I used to design the issuer’s ICFR is the Internal Control – Integrated Framework (2013) issued by the Committee of Sponsoring Organizations of the Treadway Commission (COSO).</w:t>
      </w:r>
    </w:p>
    <w:p>
      <w:pPr>
        <w:spacing w:after="0" w:line="155" w:lineRule="exact"/>
        <w:rPr>
          <w:sz w:val="20"/>
          <w:szCs w:val="20"/>
          <w:color w:val="auto"/>
        </w:rPr>
      </w:pPr>
    </w:p>
    <w:p>
      <w:pPr>
        <w:ind w:left="660" w:right="20" w:hanging="323"/>
        <w:spacing w:after="0" w:line="28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i w:val="1"/>
          <w:iCs w:val="1"/>
          <w:color w:val="auto"/>
        </w:rPr>
        <w:t>ICFR - material weakness relating to design:</w:t>
      </w:r>
      <w:r>
        <w:rPr>
          <w:rFonts w:ascii="Times New Roman" w:cs="Times New Roman" w:eastAsia="Times New Roman" w:hAnsi="Times New Roman"/>
          <w:sz w:val="18"/>
          <w:szCs w:val="18"/>
          <w:color w:val="auto"/>
        </w:rPr>
        <w:t xml:space="preserve"> The issuer has disclosed in its interim MD&amp;A for each material weakness relating to design existing at the end of the interim period:</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a description of the material weakness;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4" w:name="page125"/>
    <w:bookmarkEnd w:id="124"/>
    <w:p>
      <w:pPr>
        <w:ind w:left="980" w:hanging="324"/>
        <w:spacing w:after="0"/>
        <w:tabs>
          <w:tab w:leader="none" w:pos="98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material weakness on the issuer’s financial reporting and its ICFR; and</w:t>
      </w:r>
    </w:p>
    <w:p>
      <w:pPr>
        <w:spacing w:after="0" w:line="225" w:lineRule="exact"/>
        <w:rPr>
          <w:rFonts w:ascii="Times New Roman" w:cs="Times New Roman" w:eastAsia="Times New Roman" w:hAnsi="Times New Roman"/>
          <w:sz w:val="18"/>
          <w:szCs w:val="18"/>
          <w:color w:val="auto"/>
        </w:rPr>
      </w:pPr>
    </w:p>
    <w:p>
      <w:pPr>
        <w:ind w:left="340" w:right="2580" w:firstLine="316"/>
        <w:spacing w:after="0" w:line="498" w:lineRule="auto"/>
        <w:tabs>
          <w:tab w:leader="none" w:pos="988"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issuer’s current plans, if any, or any actions already undertaken, for remediating the material weakness. 5.3 </w:t>
      </w:r>
      <w:r>
        <w:rPr>
          <w:rFonts w:ascii="Times New Roman" w:cs="Times New Roman" w:eastAsia="Times New Roman" w:hAnsi="Times New Roman"/>
          <w:sz w:val="18"/>
          <w:szCs w:val="18"/>
          <w:b w:val="1"/>
          <w:bCs w:val="1"/>
          <w:i w:val="1"/>
          <w:iCs w:val="1"/>
          <w:color w:val="auto"/>
        </w:rPr>
        <w:t>Limitation on scope of design:</w:t>
      </w:r>
      <w:r>
        <w:rPr>
          <w:rFonts w:ascii="Times New Roman" w:cs="Times New Roman" w:eastAsia="Times New Roman" w:hAnsi="Times New Roman"/>
          <w:sz w:val="18"/>
          <w:szCs w:val="18"/>
          <w:color w:val="auto"/>
        </w:rPr>
        <w:t xml:space="preserve"> N/A</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Reporting changes in ICFR: </w:t>
      </w:r>
      <w:r>
        <w:rPr>
          <w:rFonts w:ascii="Times New Roman" w:cs="Times New Roman" w:eastAsia="Times New Roman" w:hAnsi="Times New Roman"/>
          <w:sz w:val="18"/>
          <w:szCs w:val="18"/>
          <w:color w:val="auto"/>
        </w:rPr>
        <w:t>The issuer has disclosed in its interim MD&amp;A any change in the issuer’s ICFR that occurred during the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beginning on July 1, 2025 and ended on September 30, 2025 that has materially affected, or is reasonably likely to materially affect, the issuer’s ICFR.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13, 2025</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Gagnon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22"/>
          <w:szCs w:val="22"/>
          <w:b w:val="1"/>
          <w:bCs w:val="1"/>
          <w:color w:val="auto"/>
        </w:rPr>
        <w:t>Exhibit 99.4</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52-109F2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CERTIFICATION OF INTERIM FILINGS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FULL CERTIFICATE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Jonathan Mir, Chief Financial Officer of Bitfarms Ltd., certify the following:</w:t>
      </w:r>
    </w:p>
    <w:p>
      <w:pPr>
        <w:spacing w:after="0" w:line="221" w:lineRule="exact"/>
        <w:rPr>
          <w:sz w:val="20"/>
          <w:szCs w:val="20"/>
          <w:color w:val="auto"/>
        </w:rPr>
      </w:pPr>
    </w:p>
    <w:p>
      <w:pPr>
        <w:ind w:left="660" w:hanging="328"/>
        <w:spacing w:after="0" w:line="286" w:lineRule="auto"/>
        <w:tabs>
          <w:tab w:leader="none" w:pos="6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Review: </w:t>
      </w:r>
      <w:r>
        <w:rPr>
          <w:rFonts w:ascii="Times New Roman" w:cs="Times New Roman" w:eastAsia="Times New Roman" w:hAnsi="Times New Roman"/>
          <w:sz w:val="18"/>
          <w:szCs w:val="18"/>
          <w:color w:val="auto"/>
        </w:rPr>
        <w:t>I have reviewed the interim financial report and interim MD&amp;A (together, the “interim filings”) of Bitfarms Ltd. (the “issuer”)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interim period ended September 30, 2025.</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misrepresentations: </w:t>
      </w:r>
      <w:r>
        <w:rPr>
          <w:rFonts w:ascii="Times New Roman" w:cs="Times New Roman" w:eastAsia="Times New Roman" w:hAnsi="Times New Roman"/>
          <w:sz w:val="18"/>
          <w:szCs w:val="18"/>
          <w:color w:val="auto"/>
        </w:rPr>
        <w:t>Based on my knowledge, having exercised reasonable diligence, the interim filings do not contain any untrue statement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material fact or omit to state a material fact required to be stated or that is necessary to make a statement not misleading in light of the circumstances under which it was made, with respect to the period covered by the interim filings.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Fair presentation: </w:t>
      </w:r>
      <w:r>
        <w:rPr>
          <w:rFonts w:ascii="Times New Roman" w:cs="Times New Roman" w:eastAsia="Times New Roman" w:hAnsi="Times New Roman"/>
          <w:sz w:val="18"/>
          <w:szCs w:val="18"/>
          <w:color w:val="auto"/>
        </w:rPr>
        <w:t>Based on my knowledge, having exercised reasonable diligence, the interim financial report together with the other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included in the interim filings fairly present in all material respects the financial condition, financial performance and cash flows of the issuer, as of the date of and for the periods presented in the interim filings.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Responsibility: </w:t>
      </w:r>
      <w:r>
        <w:rPr>
          <w:rFonts w:ascii="Times New Roman" w:cs="Times New Roman" w:eastAsia="Times New Roman" w:hAnsi="Times New Roman"/>
          <w:sz w:val="18"/>
          <w:szCs w:val="18"/>
          <w:color w:val="auto"/>
        </w:rPr>
        <w:t>The issuer’s other certifying officer(s) and I are responsible for establishing and maintaining disclosure controls and procedures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(DC&amp;P) and internal control over financial reporting (ICFR), as those terms are defined in </w:t>
      </w:r>
      <w:r>
        <w:rPr>
          <w:rFonts w:ascii="Times New Roman" w:cs="Times New Roman" w:eastAsia="Times New Roman" w:hAnsi="Times New Roman"/>
          <w:sz w:val="18"/>
          <w:szCs w:val="18"/>
          <w:i w:val="1"/>
          <w:iCs w:val="1"/>
          <w:color w:val="auto"/>
        </w:rPr>
        <w:t>National Instrument 52-109 Certification of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Issuers’ Annual and Interim Filings</w:t>
      </w:r>
      <w:r>
        <w:rPr>
          <w:rFonts w:ascii="Times New Roman" w:cs="Times New Roman" w:eastAsia="Times New Roman" w:hAnsi="Times New Roman"/>
          <w:sz w:val="18"/>
          <w:szCs w:val="18"/>
          <w:color w:val="auto"/>
        </w:rPr>
        <w:t>, for the issuer.</w:t>
      </w:r>
    </w:p>
    <w:p>
      <w:pPr>
        <w:spacing w:after="0" w:line="170"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Design: </w:t>
      </w:r>
      <w:r>
        <w:rPr>
          <w:rFonts w:ascii="Times New Roman" w:cs="Times New Roman" w:eastAsia="Times New Roman" w:hAnsi="Times New Roman"/>
          <w:sz w:val="18"/>
          <w:szCs w:val="18"/>
          <w:color w:val="auto"/>
        </w:rPr>
        <w:t>Subject to the limitations, if any, described in paragraphs 5.2 and 5.3, the issuer’s other certifying officer(s) and I have, as at the end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covered by the interim filings:</w:t>
      </w:r>
    </w:p>
    <w:p>
      <w:pPr>
        <w:spacing w:after="0" w:line="15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DC&amp;P, or caused it to be designed under our supervision, to provide reasonable assurance that:</w:t>
      </w:r>
    </w:p>
    <w:p>
      <w:pPr>
        <w:spacing w:after="0" w:line="225" w:lineRule="exact"/>
        <w:rPr>
          <w:rFonts w:ascii="Times New Roman" w:cs="Times New Roman" w:eastAsia="Times New Roman" w:hAnsi="Times New Roman"/>
          <w:sz w:val="18"/>
          <w:szCs w:val="18"/>
          <w:color w:val="auto"/>
        </w:rPr>
      </w:pPr>
    </w:p>
    <w:p>
      <w:pPr>
        <w:ind w:left="1620" w:hanging="640"/>
        <w:spacing w:after="0" w:line="282" w:lineRule="auto"/>
        <w:tabs>
          <w:tab w:leader="none" w:pos="1620" w:val="left"/>
        </w:tabs>
        <w:numPr>
          <w:ilvl w:val="2"/>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information relating to the issuer is made known to us by others, particularly during the period in which the interim filings are being prepared; and</w:t>
      </w:r>
    </w:p>
    <w:p>
      <w:pPr>
        <w:spacing w:after="0" w:line="161" w:lineRule="exact"/>
        <w:rPr>
          <w:rFonts w:ascii="Times New Roman" w:cs="Times New Roman" w:eastAsia="Times New Roman" w:hAnsi="Times New Roman"/>
          <w:sz w:val="18"/>
          <w:szCs w:val="18"/>
          <w:color w:val="auto"/>
        </w:rPr>
      </w:pPr>
    </w:p>
    <w:p>
      <w:pPr>
        <w:ind w:left="1620" w:hanging="640"/>
        <w:spacing w:after="0" w:line="282" w:lineRule="auto"/>
        <w:tabs>
          <w:tab w:leader="none" w:pos="1620" w:val="left"/>
        </w:tabs>
        <w:numPr>
          <w:ilvl w:val="2"/>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58" w:lineRule="exact"/>
        <w:rPr>
          <w:sz w:val="20"/>
          <w:szCs w:val="20"/>
          <w:color w:val="auto"/>
        </w:rPr>
      </w:pPr>
    </w:p>
    <w:p>
      <w:pPr>
        <w:ind w:left="660" w:hanging="323"/>
        <w:spacing w:after="0" w:line="28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i w:val="1"/>
          <w:iCs w:val="1"/>
          <w:color w:val="auto"/>
        </w:rPr>
        <w:t>Control framework:</w:t>
      </w:r>
      <w:r>
        <w:rPr>
          <w:rFonts w:ascii="Times New Roman" w:cs="Times New Roman" w:eastAsia="Times New Roman" w:hAnsi="Times New Roman"/>
          <w:sz w:val="18"/>
          <w:szCs w:val="18"/>
          <w:color w:val="auto"/>
        </w:rPr>
        <w:t xml:space="preserve"> The control framework the issuer’s other certifying officer(s) and I used to design the issuer’s ICFR is the Internal Control – Integrated Framework (2013) issued by the Committee of Sponsoring Organizations of the Treadway Commission (COSO).</w:t>
      </w:r>
    </w:p>
    <w:p>
      <w:pPr>
        <w:spacing w:after="0" w:line="155" w:lineRule="exact"/>
        <w:rPr>
          <w:sz w:val="20"/>
          <w:szCs w:val="20"/>
          <w:color w:val="auto"/>
        </w:rPr>
      </w:pPr>
    </w:p>
    <w:p>
      <w:pPr>
        <w:ind w:left="660" w:right="20" w:hanging="323"/>
        <w:spacing w:after="0" w:line="28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i w:val="1"/>
          <w:iCs w:val="1"/>
          <w:color w:val="auto"/>
        </w:rPr>
        <w:t>ICFR - material weakness relating to design:</w:t>
      </w:r>
      <w:r>
        <w:rPr>
          <w:rFonts w:ascii="Times New Roman" w:cs="Times New Roman" w:eastAsia="Times New Roman" w:hAnsi="Times New Roman"/>
          <w:sz w:val="18"/>
          <w:szCs w:val="18"/>
          <w:color w:val="auto"/>
        </w:rPr>
        <w:t xml:space="preserve"> The issuer has disclosed in its interim MD&amp;A for each material weakness relating to design existing at the end of the interim period:</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a description of the material weakness;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6" w:name="page127"/>
    <w:bookmarkEnd w:id="126"/>
    <w:p>
      <w:pPr>
        <w:ind w:left="980" w:hanging="324"/>
        <w:spacing w:after="0"/>
        <w:tabs>
          <w:tab w:leader="none" w:pos="98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material weakness on the issuer’s financial reporting and its ICFR; and</w:t>
      </w:r>
    </w:p>
    <w:p>
      <w:pPr>
        <w:spacing w:after="0" w:line="225" w:lineRule="exact"/>
        <w:rPr>
          <w:rFonts w:ascii="Times New Roman" w:cs="Times New Roman" w:eastAsia="Times New Roman" w:hAnsi="Times New Roman"/>
          <w:sz w:val="18"/>
          <w:szCs w:val="18"/>
          <w:color w:val="auto"/>
        </w:rPr>
      </w:pPr>
    </w:p>
    <w:p>
      <w:pPr>
        <w:ind w:left="340" w:right="2580" w:firstLine="316"/>
        <w:spacing w:after="0" w:line="498" w:lineRule="auto"/>
        <w:tabs>
          <w:tab w:leader="none" w:pos="988"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issuer’s current plans, if any, or any actions already undertaken, for remediating the material weakness. 5.3 </w:t>
      </w:r>
      <w:r>
        <w:rPr>
          <w:rFonts w:ascii="Times New Roman" w:cs="Times New Roman" w:eastAsia="Times New Roman" w:hAnsi="Times New Roman"/>
          <w:sz w:val="18"/>
          <w:szCs w:val="18"/>
          <w:b w:val="1"/>
          <w:bCs w:val="1"/>
          <w:i w:val="1"/>
          <w:iCs w:val="1"/>
          <w:color w:val="auto"/>
        </w:rPr>
        <w:t>Limitation on scope of design:</w:t>
      </w:r>
      <w:r>
        <w:rPr>
          <w:rFonts w:ascii="Times New Roman" w:cs="Times New Roman" w:eastAsia="Times New Roman" w:hAnsi="Times New Roman"/>
          <w:sz w:val="18"/>
          <w:szCs w:val="18"/>
          <w:color w:val="auto"/>
        </w:rPr>
        <w:t xml:space="preserve"> N/A</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Reporting changes in ICFR: </w:t>
      </w:r>
      <w:r>
        <w:rPr>
          <w:rFonts w:ascii="Times New Roman" w:cs="Times New Roman" w:eastAsia="Times New Roman" w:hAnsi="Times New Roman"/>
          <w:sz w:val="18"/>
          <w:szCs w:val="18"/>
          <w:color w:val="auto"/>
        </w:rPr>
        <w:t>The issuer has disclosed in its interim MD&amp;A any change in the issuer’s ICFR that occurred during the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beginning on July 1, 2025 and ended on September 30, 2025 that has materially affected, or is reasonably likely to materially affect, the issuer’s ICFR.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13,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Jonathan Mir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Mir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5EE64"/>
    <w:multiLevelType w:val="hybridMultilevel"/>
    <w:lvl w:ilvl="0">
      <w:lvlJc w:val="left"/>
      <w:lvlText w:val="%1."/>
      <w:numFmt w:val="lowerLetter"/>
      <w:start w:val="1"/>
    </w:lvl>
  </w:abstractNum>
  <w:abstractNum w:abstractNumId="1">
    <w:nsid w:val="14330624"/>
    <w:multiLevelType w:val="hybridMultilevel"/>
    <w:lvl w:ilvl="0">
      <w:lvlJc w:val="left"/>
      <w:lvlText w:val="%1."/>
      <w:numFmt w:val="lowerLetter"/>
      <w:start w:val="2"/>
    </w:lvl>
  </w:abstractNum>
  <w:abstractNum w:abstractNumId="2">
    <w:nsid w:val="7FFFCA11"/>
    <w:multiLevelType w:val="hybridMultilevel"/>
    <w:lvl w:ilvl="0">
      <w:lvlJc w:val="left"/>
      <w:lvlText w:val="%1."/>
      <w:numFmt w:val="lowerLetter"/>
      <w:start w:val="2"/>
    </w:lvl>
  </w:abstractNum>
  <w:abstractNum w:abstractNumId="3">
    <w:nsid w:val="1A27709E"/>
    <w:multiLevelType w:val="hybridMultilevel"/>
    <w:lvl w:ilvl="0">
      <w:lvlJc w:val="left"/>
      <w:lvlText w:val="%1."/>
      <w:numFmt w:val="lowerLetter"/>
      <w:start w:val="2"/>
    </w:lvl>
  </w:abstractNum>
  <w:abstractNum w:abstractNumId="4">
    <w:nsid w:val="71EA1109"/>
    <w:multiLevelType w:val="hybridMultilevel"/>
    <w:lvl w:ilvl="0">
      <w:lvlJc w:val="left"/>
      <w:lvlText w:val="%1."/>
      <w:numFmt w:val="lowerLetter"/>
      <w:start w:val="2"/>
    </w:lvl>
  </w:abstractNum>
  <w:abstractNum w:abstractNumId="5">
    <w:nsid w:val="100F59DC"/>
    <w:multiLevelType w:val="hybridMultilevel"/>
    <w:lvl w:ilvl="0">
      <w:lvlJc w:val="left"/>
      <w:lvlText w:val="%1."/>
      <w:numFmt w:val="lowerLetter"/>
      <w:start w:val="2"/>
    </w:lvl>
  </w:abstractNum>
  <w:abstractNum w:abstractNumId="6">
    <w:nsid w:val="7FB7E0AA"/>
    <w:multiLevelType w:val="hybridMultilevel"/>
    <w:lvl w:ilvl="0">
      <w:lvlJc w:val="left"/>
      <w:lvlText w:val="%1."/>
      <w:numFmt w:val="lowerLetter"/>
      <w:start w:val="3"/>
    </w:lvl>
  </w:abstractNum>
  <w:abstractNum w:abstractNumId="7">
    <w:nsid w:val="6EB5BD4"/>
    <w:multiLevelType w:val="hybridMultilevel"/>
    <w:lvl w:ilvl="0">
      <w:lvlJc w:val="left"/>
      <w:lvlText w:val="%1."/>
      <w:numFmt w:val="lowerLetter"/>
      <w:start w:val="4"/>
    </w:lvl>
  </w:abstractNum>
  <w:abstractNum w:abstractNumId="8">
    <w:nsid w:val="6F6DD9AC"/>
    <w:multiLevelType w:val="hybridMultilevel"/>
    <w:lvl w:ilvl="0">
      <w:lvlJc w:val="left"/>
      <w:lvlText w:val="●"/>
      <w:numFmt w:val="bullet"/>
      <w:start w:val="1"/>
    </w:lvl>
  </w:abstractNum>
  <w:abstractNum w:abstractNumId="9">
    <w:nsid w:val="94211F2"/>
    <w:multiLevelType w:val="hybridMultilevel"/>
    <w:lvl w:ilvl="0">
      <w:lvlJc w:val="left"/>
      <w:lvlText w:val="*"/>
      <w:numFmt w:val="bullet"/>
      <w:start w:val="1"/>
    </w:lvl>
  </w:abstractNum>
  <w:abstractNum w:abstractNumId="10">
    <w:nsid w:val="885E1B"/>
    <w:multiLevelType w:val="hybridMultilevel"/>
    <w:lvl w:ilvl="0">
      <w:lvlJc w:val="left"/>
      <w:lvlText w:val="**"/>
      <w:numFmt w:val="bullet"/>
      <w:start w:val="1"/>
    </w:lvl>
  </w:abstractNum>
  <w:abstractNum w:abstractNumId="11">
    <w:nsid w:val="76272110"/>
    <w:multiLevelType w:val="hybridMultilevel"/>
    <w:lvl w:ilvl="0">
      <w:lvlJc w:val="left"/>
      <w:lvlText w:val="*"/>
      <w:numFmt w:val="bullet"/>
      <w:start w:val="1"/>
    </w:lvl>
  </w:abstractNum>
  <w:abstractNum w:abstractNumId="12">
    <w:nsid w:val="4C04A8AF"/>
    <w:multiLevelType w:val="hybridMultilevel"/>
    <w:lvl w:ilvl="0">
      <w:lvlJc w:val="left"/>
      <w:lvlText w:val="**"/>
      <w:numFmt w:val="bullet"/>
      <w:start w:val="1"/>
    </w:lvl>
  </w:abstractNum>
  <w:abstractNum w:abstractNumId="13">
    <w:nsid w:val="1716703B"/>
    <w:multiLevelType w:val="hybridMultilevel"/>
    <w:lvl w:ilvl="0">
      <w:lvlJc w:val="left"/>
      <w:lvlText w:val="***"/>
      <w:numFmt w:val="bullet"/>
      <w:start w:val="1"/>
    </w:lvl>
  </w:abstractNum>
  <w:abstractNum w:abstractNumId="14">
    <w:nsid w:val="14E17E33"/>
    <w:multiLevelType w:val="hybridMultilevel"/>
    <w:lvl w:ilvl="0">
      <w:lvlJc w:val="left"/>
      <w:lvlText w:val="%1."/>
      <w:numFmt w:val="lowerRoman"/>
      <w:start w:val="1"/>
    </w:lvl>
  </w:abstractNum>
  <w:abstractNum w:abstractNumId="15">
    <w:nsid w:val="3222E7CD"/>
    <w:multiLevelType w:val="hybridMultilevel"/>
    <w:lvl w:ilvl="0">
      <w:lvlJc w:val="left"/>
      <w:lvlText w:val="*"/>
      <w:numFmt w:val="bullet"/>
      <w:start w:val="1"/>
    </w:lvl>
    <w:lvl w:ilvl="1">
      <w:lvlJc w:val="left"/>
      <w:lvlText w:val="**"/>
      <w:numFmt w:val="bullet"/>
      <w:start w:val="1"/>
    </w:lvl>
  </w:abstractNum>
  <w:abstractNum w:abstractNumId="16">
    <w:nsid w:val="74DE0EE3"/>
    <w:multiLevelType w:val="hybridMultilevel"/>
    <w:lvl w:ilvl="0">
      <w:lvlJc w:val="left"/>
      <w:lvlText w:val="%1."/>
      <w:numFmt w:val="lowerRoman"/>
      <w:start w:val="1"/>
    </w:lvl>
  </w:abstractNum>
  <w:abstractNum w:abstractNumId="17">
    <w:nsid w:val="68EBC550"/>
    <w:multiLevelType w:val="hybridMultilevel"/>
    <w:lvl w:ilvl="0">
      <w:lvlJc w:val="left"/>
      <w:lvlText w:val="*"/>
      <w:numFmt w:val="bullet"/>
      <w:start w:val="1"/>
    </w:lvl>
  </w:abstractNum>
  <w:abstractNum w:abstractNumId="18">
    <w:nsid w:val="2DF6D648"/>
    <w:multiLevelType w:val="hybridMultilevel"/>
    <w:lvl w:ilvl="0">
      <w:lvlJc w:val="left"/>
      <w:lvlText w:val="%1."/>
      <w:numFmt w:val="lowerRoman"/>
      <w:start w:val="1"/>
    </w:lvl>
  </w:abstractNum>
  <w:abstractNum w:abstractNumId="19">
    <w:nsid w:val="46B7D447"/>
    <w:multiLevelType w:val="hybridMultilevel"/>
    <w:lvl w:ilvl="0">
      <w:lvlJc w:val="left"/>
      <w:lvlText w:val="%1."/>
      <w:numFmt w:val="lowerRoman"/>
      <w:start w:val="1"/>
    </w:lvl>
  </w:abstractNum>
  <w:abstractNum w:abstractNumId="20">
    <w:nsid w:val="4A2AC315"/>
    <w:multiLevelType w:val="hybridMultilevel"/>
    <w:lvl w:ilvl="0">
      <w:lvlJc w:val="left"/>
      <w:lvlText w:val="%1."/>
      <w:numFmt w:val="lowerRoman"/>
      <w:start w:val="2"/>
    </w:lvl>
  </w:abstractNum>
  <w:abstractNum w:abstractNumId="21">
    <w:nsid w:val="39EE015C"/>
    <w:multiLevelType w:val="hybridMultilevel"/>
    <w:lvl w:ilvl="0">
      <w:lvlJc w:val="left"/>
      <w:lvlText w:val="*"/>
      <w:numFmt w:val="bullet"/>
      <w:start w:val="1"/>
    </w:lvl>
  </w:abstractNum>
  <w:abstractNum w:abstractNumId="22">
    <w:nsid w:val="57FC4FBB"/>
    <w:multiLevelType w:val="hybridMultilevel"/>
    <w:lvl w:ilvl="0">
      <w:lvlJc w:val="left"/>
      <w:lvlText w:val="%1."/>
      <w:numFmt w:val="lowerRoman"/>
      <w:start w:val="1"/>
    </w:lvl>
  </w:abstractNum>
  <w:abstractNum w:abstractNumId="23">
    <w:nsid w:val="CC1016F"/>
    <w:multiLevelType w:val="hybridMultilevel"/>
    <w:lvl w:ilvl="0">
      <w:lvlJc w:val="left"/>
      <w:lvlText w:val="%1."/>
      <w:numFmt w:val="lowerRoman"/>
      <w:start w:val="2"/>
    </w:lvl>
  </w:abstractNum>
  <w:abstractNum w:abstractNumId="24">
    <w:nsid w:val="43F18422"/>
    <w:multiLevelType w:val="hybridMultilevel"/>
    <w:lvl w:ilvl="0">
      <w:lvlJc w:val="left"/>
      <w:lvlText w:val="%1."/>
      <w:numFmt w:val="lowerLetter"/>
      <w:start w:val="1"/>
    </w:lvl>
  </w:abstractNum>
  <w:abstractNum w:abstractNumId="25">
    <w:nsid w:val="60EF0119"/>
    <w:multiLevelType w:val="hybridMultilevel"/>
    <w:lvl w:ilvl="0">
      <w:lvlJc w:val="left"/>
      <w:lvlText w:val="%1."/>
      <w:numFmt w:val="lowerLetter"/>
      <w:start w:val="1"/>
    </w:lvl>
  </w:abstractNum>
  <w:abstractNum w:abstractNumId="26">
    <w:nsid w:val="26F324BA"/>
    <w:multiLevelType w:val="hybridMultilevel"/>
    <w:lvl w:ilvl="0">
      <w:lvlJc w:val="left"/>
      <w:lvlText w:val="%1."/>
      <w:numFmt w:val="lowerRoman"/>
      <w:start w:val="1"/>
    </w:lvl>
  </w:abstractNum>
  <w:abstractNum w:abstractNumId="27">
    <w:nsid w:val="7F01579B"/>
    <w:multiLevelType w:val="hybridMultilevel"/>
    <w:lvl w:ilvl="0">
      <w:lvlJc w:val="left"/>
      <w:lvlText w:val="%1."/>
      <w:numFmt w:val="lowerLetter"/>
      <w:start w:val="1"/>
    </w:lvl>
  </w:abstractNum>
  <w:abstractNum w:abstractNumId="28">
    <w:nsid w:val="49DA307D"/>
    <w:multiLevelType w:val="hybridMultilevel"/>
    <w:lvl w:ilvl="0">
      <w:lvlJc w:val="left"/>
      <w:lvlText w:val="%1."/>
      <w:numFmt w:val="lowerRoman"/>
      <w:start w:val="1"/>
    </w:lvl>
  </w:abstractNum>
  <w:abstractNum w:abstractNumId="29">
    <w:nsid w:val="7055A5F5"/>
    <w:multiLevelType w:val="hybridMultilevel"/>
    <w:lvl w:ilvl="0">
      <w:lvlJc w:val="left"/>
      <w:lvlText w:val="%1."/>
      <w:numFmt w:val="lowerRoman"/>
      <w:start w:val="1"/>
    </w:lvl>
  </w:abstractNum>
  <w:abstractNum w:abstractNumId="30">
    <w:nsid w:val="5FB8370B"/>
    <w:multiLevelType w:val="hybridMultilevel"/>
    <w:lvl w:ilvl="0">
      <w:lvlJc w:val="left"/>
      <w:lvlText w:val="%1."/>
      <w:numFmt w:val="lowerRoman"/>
      <w:start w:val="2"/>
    </w:lvl>
  </w:abstractNum>
  <w:abstractNum w:abstractNumId="31">
    <w:nsid w:val="50801EE1"/>
    <w:multiLevelType w:val="hybridMultilevel"/>
    <w:lvl w:ilvl="0">
      <w:lvlJc w:val="left"/>
      <w:lvlText w:val="%1."/>
      <w:numFmt w:val="lowerRoman"/>
      <w:start w:val="2"/>
    </w:lvl>
  </w:abstractNum>
  <w:abstractNum w:abstractNumId="32">
    <w:nsid w:val="488AC1A"/>
    <w:multiLevelType w:val="hybridMultilevel"/>
    <w:lvl w:ilvl="0">
      <w:lvlJc w:val="left"/>
      <w:lvlText w:val="%1."/>
      <w:numFmt w:val="lowerRoman"/>
      <w:start w:val="3"/>
    </w:lvl>
  </w:abstractNum>
  <w:abstractNum w:abstractNumId="33">
    <w:nsid w:val="5FB8011C"/>
    <w:multiLevelType w:val="hybridMultilevel"/>
    <w:lvl w:ilvl="0">
      <w:lvlJc w:val="left"/>
      <w:lvlText w:val="%1."/>
      <w:numFmt w:val="lowerLetter"/>
      <w:start w:val="1"/>
    </w:lvl>
  </w:abstractNum>
  <w:abstractNum w:abstractNumId="34">
    <w:nsid w:val="6AA78F7F"/>
    <w:multiLevelType w:val="hybridMultilevel"/>
    <w:lvl w:ilvl="0">
      <w:lvlJc w:val="left"/>
      <w:lvlText w:val="%1."/>
      <w:numFmt w:val="lowerLetter"/>
      <w:start w:val="2"/>
    </w:lvl>
  </w:abstractNum>
  <w:abstractNum w:abstractNumId="35">
    <w:nsid w:val="7672BD23"/>
    <w:multiLevelType w:val="hybridMultilevel"/>
    <w:lvl w:ilvl="0">
      <w:lvlJc w:val="left"/>
      <w:lvlText w:val="%1."/>
      <w:numFmt w:val="lowerLetter"/>
      <w:start w:val="3"/>
    </w:lvl>
  </w:abstractNum>
  <w:abstractNum w:abstractNumId="36">
    <w:nsid w:val="6FC75AF8"/>
    <w:multiLevelType w:val="hybridMultilevel"/>
    <w:lvl w:ilvl="0">
      <w:lvlJc w:val="left"/>
      <w:lvlText w:val="%1."/>
      <w:numFmt w:val="lowerRoman"/>
      <w:start w:val="1"/>
    </w:lvl>
  </w:abstractNum>
  <w:abstractNum w:abstractNumId="37">
    <w:nsid w:val="6A5F7029"/>
    <w:multiLevelType w:val="hybridMultilevel"/>
    <w:lvl w:ilvl="0">
      <w:lvlJc w:val="left"/>
      <w:lvlText w:val="1"/>
      <w:numFmt w:val="bullet"/>
      <w:start w:val="1"/>
    </w:lvl>
  </w:abstractNum>
  <w:abstractNum w:abstractNumId="38">
    <w:nsid w:val="7D5E18F8"/>
    <w:multiLevelType w:val="hybridMultilevel"/>
    <w:lvl w:ilvl="0">
      <w:lvlJc w:val="left"/>
      <w:lvlText w:val="2"/>
      <w:numFmt w:val="bullet"/>
      <w:start w:val="1"/>
    </w:lvl>
  </w:abstractNum>
  <w:abstractNum w:abstractNumId="39">
    <w:nsid w:val="5F3534A4"/>
    <w:multiLevelType w:val="hybridMultilevel"/>
    <w:lvl w:ilvl="0">
      <w:lvlJc w:val="left"/>
      <w:lvlText w:val="3"/>
      <w:numFmt w:val="bullet"/>
      <w:start w:val="1"/>
    </w:lvl>
  </w:abstractNum>
  <w:abstractNum w:abstractNumId="40">
    <w:nsid w:val="73A1821B"/>
    <w:multiLevelType w:val="hybridMultilevel"/>
    <w:lvl w:ilvl="0">
      <w:lvlJc w:val="left"/>
      <w:lvlText w:val="4"/>
      <w:numFmt w:val="bullet"/>
      <w:start w:val="1"/>
    </w:lvl>
  </w:abstractNum>
  <w:abstractNum w:abstractNumId="41">
    <w:nsid w:val="7DE67713"/>
    <w:multiLevelType w:val="hybridMultilevel"/>
    <w:lvl w:ilvl="0">
      <w:lvlJc w:val="left"/>
      <w:lvlText w:val="5"/>
      <w:numFmt w:val="bullet"/>
      <w:start w:val="1"/>
    </w:lvl>
  </w:abstractNum>
  <w:abstractNum w:abstractNumId="42">
    <w:nsid w:val="555C55B5"/>
    <w:multiLevelType w:val="hybridMultilevel"/>
    <w:lvl w:ilvl="0">
      <w:lvlJc w:val="left"/>
      <w:lvlText w:val="1"/>
      <w:numFmt w:val="bullet"/>
      <w:start w:val="1"/>
    </w:lvl>
  </w:abstractNum>
  <w:abstractNum w:abstractNumId="43">
    <w:nsid w:val="3FA62ACA"/>
    <w:multiLevelType w:val="hybridMultilevel"/>
    <w:lvl w:ilvl="0">
      <w:lvlJc w:val="left"/>
      <w:lvlText w:val="2"/>
      <w:numFmt w:val="bullet"/>
      <w:start w:val="1"/>
    </w:lvl>
  </w:abstractNum>
  <w:abstractNum w:abstractNumId="44">
    <w:nsid w:val="14FCE74E"/>
    <w:multiLevelType w:val="hybridMultilevel"/>
    <w:lvl w:ilvl="0">
      <w:lvlJc w:val="left"/>
      <w:lvlText w:val="3"/>
      <w:numFmt w:val="bullet"/>
      <w:start w:val="1"/>
    </w:lvl>
  </w:abstractNum>
  <w:abstractNum w:abstractNumId="45">
    <w:nsid w:val="6A3DD3E8"/>
    <w:multiLevelType w:val="hybridMultilevel"/>
    <w:lvl w:ilvl="0">
      <w:lvlJc w:val="left"/>
      <w:lvlText w:val="●"/>
      <w:numFmt w:val="bullet"/>
      <w:start w:val="1"/>
    </w:lvl>
  </w:abstractNum>
  <w:abstractNum w:abstractNumId="46">
    <w:nsid w:val="71C91298"/>
    <w:multiLevelType w:val="hybridMultilevel"/>
    <w:lvl w:ilvl="0">
      <w:lvlJc w:val="left"/>
      <w:lvlText w:val="●"/>
      <w:numFmt w:val="bullet"/>
      <w:start w:val="1"/>
    </w:lvl>
  </w:abstractNum>
  <w:abstractNum w:abstractNumId="47">
    <w:nsid w:val="9DAF632"/>
    <w:multiLevelType w:val="hybridMultilevel"/>
    <w:lvl w:ilvl="0">
      <w:lvlJc w:val="left"/>
      <w:lvlText w:val="●"/>
      <w:numFmt w:val="bullet"/>
      <w:start w:val="1"/>
    </w:lvl>
  </w:abstractNum>
  <w:abstractNum w:abstractNumId="48">
    <w:nsid w:val="53299938"/>
    <w:multiLevelType w:val="hybridMultilevel"/>
    <w:lvl w:ilvl="0">
      <w:lvlJc w:val="left"/>
      <w:lvlText w:val="●"/>
      <w:numFmt w:val="bullet"/>
      <w:start w:val="1"/>
    </w:lvl>
  </w:abstractNum>
  <w:abstractNum w:abstractNumId="49">
    <w:nsid w:val="1FBFE8E0"/>
    <w:multiLevelType w:val="hybridMultilevel"/>
    <w:lvl w:ilvl="0">
      <w:lvlJc w:val="left"/>
      <w:lvlText w:val="●"/>
      <w:numFmt w:val="bullet"/>
      <w:start w:val="1"/>
    </w:lvl>
  </w:abstractNum>
  <w:abstractNum w:abstractNumId="50">
    <w:nsid w:val="5092CA79"/>
    <w:multiLevelType w:val="hybridMultilevel"/>
    <w:lvl w:ilvl="0">
      <w:lvlJc w:val="left"/>
      <w:lvlText w:val="1"/>
      <w:numFmt w:val="bullet"/>
      <w:start w:val="1"/>
    </w:lvl>
  </w:abstractNum>
  <w:abstractNum w:abstractNumId="51">
    <w:nsid w:val="1D545C4D"/>
    <w:multiLevelType w:val="hybridMultilevel"/>
    <w:lvl w:ilvl="0">
      <w:lvlJc w:val="left"/>
      <w:lvlText w:val="2"/>
      <w:numFmt w:val="bullet"/>
      <w:start w:val="1"/>
    </w:lvl>
  </w:abstractNum>
  <w:abstractNum w:abstractNumId="52">
    <w:nsid w:val="59ADEA3D"/>
    <w:multiLevelType w:val="hybridMultilevel"/>
    <w:lvl w:ilvl="0">
      <w:lvlJc w:val="left"/>
      <w:lvlText w:val="3"/>
      <w:numFmt w:val="bullet"/>
      <w:start w:val="1"/>
    </w:lvl>
  </w:abstractNum>
  <w:abstractNum w:abstractNumId="53">
    <w:nsid w:val="288F1A34"/>
    <w:multiLevelType w:val="hybridMultilevel"/>
    <w:lvl w:ilvl="0">
      <w:lvlJc w:val="left"/>
      <w:lvlText w:val="●"/>
      <w:numFmt w:val="bullet"/>
      <w:start w:val="1"/>
    </w:lvl>
  </w:abstractNum>
  <w:abstractNum w:abstractNumId="54">
    <w:nsid w:val="2A155DBC"/>
    <w:multiLevelType w:val="hybridMultilevel"/>
    <w:lvl w:ilvl="0">
      <w:lvlJc w:val="left"/>
      <w:lvlText w:val="%1."/>
      <w:numFmt w:val="upperLetter"/>
      <w:start w:val="6"/>
    </w:lvl>
  </w:abstractNum>
  <w:abstractNum w:abstractNumId="55">
    <w:nsid w:val="1D9F6E5F"/>
    <w:multiLevelType w:val="hybridMultilevel"/>
    <w:lvl w:ilvl="0">
      <w:lvlJc w:val="left"/>
      <w:lvlText w:val="●"/>
      <w:numFmt w:val="bullet"/>
      <w:start w:val="1"/>
    </w:lvl>
  </w:abstractNum>
  <w:abstractNum w:abstractNumId="56">
    <w:nsid w:val="97E1B4E"/>
    <w:multiLevelType w:val="hybridMultilevel"/>
    <w:lvl w:ilvl="0">
      <w:lvlJc w:val="left"/>
      <w:lvlText w:val="●"/>
      <w:numFmt w:val="bullet"/>
      <w:start w:val="1"/>
    </w:lvl>
  </w:abstractNum>
  <w:abstractNum w:abstractNumId="57">
    <w:nsid w:val="51088277"/>
    <w:multiLevelType w:val="hybridMultilevel"/>
    <w:lvl w:ilvl="0">
      <w:lvlJc w:val="left"/>
      <w:lvlText w:val="1"/>
      <w:numFmt w:val="bullet"/>
      <w:start w:val="1"/>
    </w:lvl>
  </w:abstractNum>
  <w:abstractNum w:abstractNumId="58">
    <w:nsid w:val="1CA0C5FA"/>
    <w:multiLevelType w:val="hybridMultilevel"/>
    <w:lvl w:ilvl="0">
      <w:lvlJc w:val="left"/>
      <w:lvlText w:val="%1."/>
      <w:numFmt w:val="upperLetter"/>
      <w:start w:val="1"/>
    </w:lvl>
  </w:abstractNum>
  <w:abstractNum w:abstractNumId="59">
    <w:nsid w:val="53584BCB"/>
    <w:multiLevelType w:val="hybridMultilevel"/>
    <w:lvl w:ilvl="0">
      <w:lvlJc w:val="left"/>
      <w:lvlText w:val="%1."/>
      <w:numFmt w:val="upperLetter"/>
      <w:start w:val="2"/>
    </w:lvl>
  </w:abstractNum>
  <w:abstractNum w:abstractNumId="60">
    <w:nsid w:val="415E286C"/>
    <w:multiLevelType w:val="hybridMultilevel"/>
    <w:lvl w:ilvl="0">
      <w:lvlJc w:val="left"/>
      <w:lvlText w:val="%1."/>
      <w:numFmt w:val="upperLetter"/>
      <w:start w:val="2"/>
    </w:lvl>
  </w:abstractNum>
  <w:abstractNum w:abstractNumId="61">
    <w:nsid w:val="7C58FD05"/>
    <w:multiLevelType w:val="hybridMultilevel"/>
    <w:lvl w:ilvl="0">
      <w:lvlJc w:val="left"/>
      <w:lvlText w:val="%1."/>
      <w:numFmt w:val="upperLetter"/>
      <w:start w:val="2"/>
    </w:lvl>
  </w:abstractNum>
  <w:abstractNum w:abstractNumId="62">
    <w:nsid w:val="23D86AAC"/>
    <w:multiLevelType w:val="hybridMultilevel"/>
    <w:lvl w:ilvl="0">
      <w:lvlJc w:val="left"/>
      <w:lvlText w:val="●"/>
      <w:numFmt w:val="bullet"/>
      <w:start w:val="1"/>
    </w:lvl>
  </w:abstractNum>
  <w:abstractNum w:abstractNumId="63">
    <w:nsid w:val="45E6D486"/>
    <w:multiLevelType w:val="hybridMultilevel"/>
    <w:lvl w:ilvl="0">
      <w:lvlJc w:val="left"/>
      <w:lvlText w:val="%1."/>
      <w:numFmt w:val="upperLetter"/>
      <w:start w:val="4"/>
    </w:lvl>
  </w:abstractNum>
  <w:abstractNum w:abstractNumId="64">
    <w:nsid w:val="5C10FE21"/>
    <w:multiLevelType w:val="hybridMultilevel"/>
    <w:lvl w:ilvl="0">
      <w:lvlJc w:val="left"/>
      <w:lvlText w:val="1"/>
      <w:numFmt w:val="bullet"/>
      <w:start w:val="1"/>
    </w:lvl>
  </w:abstractNum>
  <w:abstractNum w:abstractNumId="65">
    <w:nsid w:val="E7FFA2B"/>
    <w:multiLevelType w:val="hybridMultilevel"/>
    <w:lvl w:ilvl="0">
      <w:lvlJc w:val="left"/>
      <w:lvlText w:val="%1."/>
      <w:numFmt w:val="decimal"/>
      <w:start w:val="8"/>
    </w:lvl>
  </w:abstractNum>
  <w:abstractNum w:abstractNumId="66">
    <w:nsid w:val="3C5991AA"/>
    <w:multiLevelType w:val="hybridMultilevel"/>
    <w:lvl w:ilvl="0">
      <w:lvlJc w:val="left"/>
      <w:lvlText w:val="1"/>
      <w:numFmt w:val="bullet"/>
      <w:start w:val="1"/>
    </w:lvl>
  </w:abstractNum>
  <w:abstractNum w:abstractNumId="67">
    <w:nsid w:val="4BD8591A"/>
    <w:multiLevelType w:val="hybridMultilevel"/>
    <w:lvl w:ilvl="0">
      <w:lvlJc w:val="left"/>
      <w:lvlText w:val="2"/>
      <w:numFmt w:val="bullet"/>
      <w:start w:val="1"/>
    </w:lvl>
  </w:abstractNum>
  <w:abstractNum w:abstractNumId="68">
    <w:nsid w:val="78DF6A55"/>
    <w:multiLevelType w:val="hybridMultilevel"/>
    <w:lvl w:ilvl="0">
      <w:lvlJc w:val="left"/>
      <w:lvlText w:val="3"/>
      <w:numFmt w:val="bullet"/>
      <w:start w:val="1"/>
    </w:lvl>
  </w:abstractNum>
  <w:abstractNum w:abstractNumId="69">
    <w:nsid w:val="39B7AAA2"/>
    <w:multiLevelType w:val="hybridMultilevel"/>
    <w:lvl w:ilvl="0">
      <w:lvlJc w:val="left"/>
      <w:lvlText w:val="%1."/>
      <w:numFmt w:val="upperLetter"/>
      <w:start w:val="1"/>
    </w:lvl>
  </w:abstractNum>
  <w:abstractNum w:abstractNumId="70">
    <w:nsid w:val="2B0D8DBE"/>
    <w:multiLevelType w:val="hybridMultilevel"/>
    <w:lvl w:ilvl="0">
      <w:lvlJc w:val="left"/>
      <w:lvlText w:val="1"/>
      <w:numFmt w:val="bullet"/>
      <w:start w:val="1"/>
    </w:lvl>
  </w:abstractNum>
  <w:abstractNum w:abstractNumId="71">
    <w:nsid w:val="6C80EC70"/>
    <w:multiLevelType w:val="hybridMultilevel"/>
    <w:lvl w:ilvl="0">
      <w:lvlJc w:val="left"/>
      <w:lvlText w:val="2"/>
      <w:numFmt w:val="bullet"/>
      <w:start w:val="1"/>
    </w:lvl>
  </w:abstractNum>
  <w:abstractNum w:abstractNumId="72">
    <w:nsid w:val="379E21B5"/>
    <w:multiLevelType w:val="hybridMultilevel"/>
    <w:lvl w:ilvl="0">
      <w:lvlJc w:val="left"/>
      <w:lvlText w:val="3"/>
      <w:numFmt w:val="bullet"/>
      <w:start w:val="1"/>
    </w:lvl>
  </w:abstractNum>
  <w:abstractNum w:abstractNumId="73">
    <w:nsid w:val="69E373"/>
    <w:multiLevelType w:val="hybridMultilevel"/>
    <w:lvl w:ilvl="0">
      <w:lvlJc w:val="left"/>
      <w:lvlText w:val="%1."/>
      <w:numFmt w:val="upperLetter"/>
      <w:start w:val="1"/>
    </w:lvl>
  </w:abstractNum>
  <w:abstractNum w:abstractNumId="74">
    <w:nsid w:val="2C27173B"/>
    <w:multiLevelType w:val="hybridMultilevel"/>
    <w:lvl w:ilvl="0">
      <w:lvlJc w:val="left"/>
      <w:lvlText w:val="%1."/>
      <w:numFmt w:val="upperLetter"/>
      <w:start w:val="1"/>
    </w:lvl>
  </w:abstractNum>
  <w:abstractNum w:abstractNumId="75">
    <w:nsid w:val="4C9B0904"/>
    <w:multiLevelType w:val="hybridMultilevel"/>
    <w:lvl w:ilvl="0">
      <w:lvlJc w:val="left"/>
      <w:lvlText w:val="1"/>
      <w:numFmt w:val="bullet"/>
      <w:start w:val="1"/>
    </w:lvl>
  </w:abstractNum>
  <w:abstractNum w:abstractNumId="76">
    <w:nsid w:val="6AA7B75C"/>
    <w:multiLevelType w:val="hybridMultilevel"/>
    <w:lvl w:ilvl="0">
      <w:lvlJc w:val="left"/>
      <w:lvlText w:val="2"/>
      <w:numFmt w:val="bullet"/>
      <w:start w:val="1"/>
    </w:lvl>
  </w:abstractNum>
  <w:abstractNum w:abstractNumId="77">
    <w:nsid w:val="1DF029D3"/>
    <w:multiLevelType w:val="hybridMultilevel"/>
    <w:lvl w:ilvl="0">
      <w:lvlJc w:val="left"/>
      <w:lvlText w:val="3"/>
      <w:numFmt w:val="bullet"/>
      <w:start w:val="1"/>
    </w:lvl>
  </w:abstractNum>
  <w:abstractNum w:abstractNumId="78">
    <w:nsid w:val="5675FF36"/>
    <w:multiLevelType w:val="hybridMultilevel"/>
    <w:lvl w:ilvl="0">
      <w:lvlJc w:val="left"/>
      <w:lvlText w:val="4"/>
      <w:numFmt w:val="bullet"/>
      <w:start w:val="1"/>
    </w:lvl>
  </w:abstractNum>
  <w:abstractNum w:abstractNumId="79">
    <w:nsid w:val="3DD15094"/>
    <w:multiLevelType w:val="hybridMultilevel"/>
    <w:lvl w:ilvl="0">
      <w:lvlJc w:val="left"/>
      <w:lvlText w:val="%1."/>
      <w:numFmt w:val="upperLetter"/>
      <w:start w:val="1"/>
    </w:lvl>
  </w:abstractNum>
  <w:abstractNum w:abstractNumId="80">
    <w:nsid w:val="3DB012B3"/>
    <w:multiLevelType w:val="hybridMultilevel"/>
    <w:lvl w:ilvl="0">
      <w:lvlJc w:val="left"/>
      <w:lvlText w:val="%1."/>
      <w:numFmt w:val="upperLetter"/>
      <w:start w:val="2"/>
    </w:lvl>
  </w:abstractNum>
  <w:abstractNum w:abstractNumId="81">
    <w:nsid w:val="2708C9AF"/>
    <w:multiLevelType w:val="hybridMultilevel"/>
    <w:lvl w:ilvl="0">
      <w:lvlJc w:val="left"/>
      <w:lvlText w:val="●"/>
      <w:numFmt w:val="bullet"/>
      <w:start w:val="1"/>
    </w:lvl>
    <w:lvl w:ilvl="1">
      <w:lvlJc w:val="left"/>
      <w:lvlText w:val="◦"/>
      <w:numFmt w:val="bullet"/>
      <w:start w:val="1"/>
    </w:lvl>
  </w:abstractNum>
  <w:abstractNum w:abstractNumId="82">
    <w:nsid w:val="5B25ACE2"/>
    <w:multiLevelType w:val="hybridMultilevel"/>
    <w:lvl w:ilvl="0">
      <w:lvlJc w:val="left"/>
      <w:lvlText w:val="%1."/>
      <w:numFmt w:val="upperLetter"/>
      <w:start w:val="2"/>
    </w:lvl>
  </w:abstractNum>
  <w:abstractNum w:abstractNumId="83">
    <w:nsid w:val="175DFCF0"/>
    <w:multiLevelType w:val="hybridMultilevel"/>
    <w:lvl w:ilvl="0">
      <w:lvlJc w:val="left"/>
      <w:lvlText w:val="●"/>
      <w:numFmt w:val="bullet"/>
      <w:start w:val="1"/>
    </w:lvl>
    <w:lvl w:ilvl="1">
      <w:lvlJc w:val="left"/>
      <w:lvlText w:val="◦"/>
      <w:numFmt w:val="bullet"/>
      <w:start w:val="1"/>
    </w:lvl>
  </w:abstractNum>
  <w:abstractNum w:abstractNumId="84">
    <w:nsid w:val="4F97E3E4"/>
    <w:multiLevelType w:val="hybridMultilevel"/>
    <w:lvl w:ilvl="0">
      <w:lvlJc w:val="left"/>
      <w:lvlText w:val="●"/>
      <w:numFmt w:val="bullet"/>
      <w:start w:val="1"/>
    </w:lvl>
  </w:abstractNum>
  <w:abstractNum w:abstractNumId="85">
    <w:nsid w:val="53B0A9E"/>
    <w:multiLevelType w:val="hybridMultilevel"/>
    <w:lvl w:ilvl="0">
      <w:lvlJc w:val="left"/>
      <w:lvlText w:val="%1."/>
      <w:numFmt w:val="upperLetter"/>
      <w:start w:val="3"/>
    </w:lvl>
  </w:abstractNum>
  <w:abstractNum w:abstractNumId="86">
    <w:nsid w:val="34FD6B4F"/>
    <w:multiLevelType w:val="hybridMultilevel"/>
    <w:lvl w:ilvl="0">
      <w:lvlJc w:val="left"/>
      <w:lvlText w:val="●"/>
      <w:numFmt w:val="bullet"/>
      <w:start w:val="1"/>
    </w:lvl>
  </w:abstractNum>
  <w:abstractNum w:abstractNumId="87">
    <w:nsid w:val="5915FF32"/>
    <w:multiLevelType w:val="hybridMultilevel"/>
    <w:lvl w:ilvl="0">
      <w:lvlJc w:val="left"/>
      <w:lvlText w:val="%1."/>
      <w:numFmt w:val="upperLetter"/>
      <w:start w:val="3"/>
    </w:lvl>
  </w:abstractNum>
  <w:abstractNum w:abstractNumId="88">
    <w:nsid w:val="56438D15"/>
    <w:multiLevelType w:val="hybridMultilevel"/>
    <w:lvl w:ilvl="0">
      <w:lvlJc w:val="left"/>
      <w:lvlText w:val="●"/>
      <w:numFmt w:val="bullet"/>
      <w:start w:val="1"/>
    </w:lvl>
  </w:abstractNum>
  <w:abstractNum w:abstractNumId="89">
    <w:nsid w:val="519E3149"/>
    <w:multiLevelType w:val="hybridMultilevel"/>
    <w:lvl w:ilvl="0">
      <w:lvlJc w:val="left"/>
      <w:lvlText w:val="●"/>
      <w:numFmt w:val="bullet"/>
      <w:start w:val="1"/>
    </w:lvl>
    <w:lvl w:ilvl="1">
      <w:lvlJc w:val="left"/>
      <w:lvlText w:val="(%2)"/>
      <w:numFmt w:val="lowerRoman"/>
      <w:start w:val="3"/>
    </w:lvl>
  </w:abstractNum>
  <w:abstractNum w:abstractNumId="90">
    <w:nsid w:val="2C6E4AFD"/>
    <w:multiLevelType w:val="hybridMultilevel"/>
    <w:lvl w:ilvl="0">
      <w:lvlJc w:val="left"/>
      <w:lvlText w:val="%1."/>
      <w:numFmt w:val="upperLetter"/>
      <w:start w:val="4"/>
    </w:lvl>
  </w:abstractNum>
  <w:abstractNum w:abstractNumId="91">
    <w:nsid w:val="17A1B582"/>
    <w:multiLevelType w:val="hybridMultilevel"/>
    <w:lvl w:ilvl="0">
      <w:lvlJc w:val="left"/>
      <w:lvlText w:val="●"/>
      <w:numFmt w:val="bullet"/>
      <w:start w:val="1"/>
    </w:lvl>
  </w:abstractNum>
  <w:abstractNum w:abstractNumId="92">
    <w:nsid w:val="4DF72E4E"/>
    <w:multiLevelType w:val="hybridMultilevel"/>
    <w:lvl w:ilvl="0">
      <w:lvlJc w:val="left"/>
      <w:lvlText w:val="●"/>
      <w:numFmt w:val="bullet"/>
      <w:start w:val="1"/>
    </w:lvl>
  </w:abstractNum>
  <w:abstractNum w:abstractNumId="93">
    <w:nsid w:val="5046B5A9"/>
    <w:multiLevelType w:val="hybridMultilevel"/>
    <w:lvl w:ilvl="0">
      <w:lvlJc w:val="left"/>
      <w:lvlText w:val="%1."/>
      <w:numFmt w:val="upperLetter"/>
      <w:start w:val="4"/>
    </w:lvl>
  </w:abstractNum>
  <w:abstractNum w:abstractNumId="94">
    <w:nsid w:val="5D888A08"/>
    <w:multiLevelType w:val="hybridMultilevel"/>
    <w:lvl w:ilvl="0">
      <w:lvlJc w:val="left"/>
      <w:lvlText w:val="●"/>
      <w:numFmt w:val="bullet"/>
      <w:start w:val="1"/>
    </w:lvl>
  </w:abstractNum>
  <w:abstractNum w:abstractNumId="95">
    <w:nsid w:val="2A082C70"/>
    <w:multiLevelType w:val="hybridMultilevel"/>
    <w:lvl w:ilvl="0">
      <w:lvlJc w:val="left"/>
      <w:lvlText w:val="●"/>
      <w:numFmt w:val="bullet"/>
      <w:start w:val="1"/>
    </w:lvl>
  </w:abstractNum>
  <w:abstractNum w:abstractNumId="96">
    <w:nsid w:val="5EC6AFD4"/>
    <w:multiLevelType w:val="hybridMultilevel"/>
    <w:lvl w:ilvl="0">
      <w:lvlJc w:val="left"/>
      <w:lvlText w:val="%1."/>
      <w:numFmt w:val="upperLetter"/>
      <w:start w:val="5"/>
    </w:lvl>
  </w:abstractNum>
  <w:abstractNum w:abstractNumId="97">
    <w:nsid w:val="19E21BB2"/>
    <w:multiLevelType w:val="hybridMultilevel"/>
    <w:lvl w:ilvl="0">
      <w:lvlJc w:val="left"/>
      <w:lvlText w:val="1"/>
      <w:numFmt w:val="bullet"/>
      <w:start w:val="1"/>
    </w:lvl>
  </w:abstractNum>
  <w:abstractNum w:abstractNumId="98">
    <w:nsid w:val="75E0858A"/>
    <w:multiLevelType w:val="hybridMultilevel"/>
    <w:lvl w:ilvl="0">
      <w:lvlJc w:val="left"/>
      <w:lvlText w:val="2"/>
      <w:numFmt w:val="bullet"/>
      <w:start w:val="1"/>
    </w:lvl>
  </w:abstractNum>
  <w:abstractNum w:abstractNumId="99">
    <w:nsid w:val="57A61A29"/>
    <w:multiLevelType w:val="hybridMultilevel"/>
    <w:lvl w:ilvl="0">
      <w:lvlJc w:val="left"/>
      <w:lvlText w:val="3"/>
      <w:numFmt w:val="bullet"/>
      <w:start w:val="1"/>
    </w:lvl>
  </w:abstractNum>
  <w:abstractNum w:abstractNumId="100">
    <w:nsid w:val="5399C654"/>
    <w:multiLevelType w:val="hybridMultilevel"/>
    <w:lvl w:ilvl="0">
      <w:lvlJc w:val="left"/>
      <w:lvlText w:val="-"/>
      <w:numFmt w:val="bullet"/>
      <w:start w:val="1"/>
    </w:lvl>
  </w:abstractNum>
  <w:abstractNum w:abstractNumId="101">
    <w:nsid w:val="20EE1348"/>
    <w:multiLevelType w:val="hybridMultilevel"/>
    <w:lvl w:ilvl="0">
      <w:lvlJc w:val="left"/>
      <w:lvlText w:val="%1"/>
      <w:numFmt w:val="decimal"/>
      <w:start w:val="1"/>
    </w:lvl>
    <w:lvl w:ilvl="1">
      <w:lvlJc w:val="left"/>
      <w:lvlText w:val="(%2)"/>
      <w:numFmt w:val="lowerRoman"/>
      <w:start w:val="4"/>
    </w:lvl>
  </w:abstractNum>
  <w:abstractNum w:abstractNumId="102">
    <w:nsid w:val="4427069A"/>
    <w:multiLevelType w:val="hybridMultilevel"/>
    <w:lvl w:ilvl="0">
      <w:lvlJc w:val="left"/>
      <w:lvlText w:val="%1."/>
      <w:numFmt w:val="upperLetter"/>
      <w:start w:val="1"/>
    </w:lvl>
  </w:abstractNum>
  <w:abstractNum w:abstractNumId="103">
    <w:nsid w:val="B37E80A"/>
    <w:multiLevelType w:val="hybridMultilevel"/>
    <w:lvl w:ilvl="0">
      <w:lvlJc w:val="left"/>
      <w:lvlText w:val="1"/>
      <w:numFmt w:val="bullet"/>
      <w:start w:val="1"/>
    </w:lvl>
  </w:abstractNum>
  <w:abstractNum w:abstractNumId="104">
    <w:nsid w:val="2157F6BC"/>
    <w:multiLevelType w:val="hybridMultilevel"/>
    <w:lvl w:ilvl="0">
      <w:lvlJc w:val="left"/>
      <w:lvlText w:val="2"/>
      <w:numFmt w:val="bullet"/>
      <w:start w:val="1"/>
    </w:lvl>
  </w:abstractNum>
  <w:abstractNum w:abstractNumId="105">
    <w:nsid w:val="704E1DD5"/>
    <w:multiLevelType w:val="hybridMultilevel"/>
    <w:lvl w:ilvl="0">
      <w:lvlJc w:val="left"/>
      <w:lvlText w:val="%1."/>
      <w:numFmt w:val="upperLetter"/>
      <w:start w:val="2"/>
    </w:lvl>
  </w:abstractNum>
  <w:abstractNum w:abstractNumId="106">
    <w:nsid w:val="57D2F10E"/>
    <w:multiLevelType w:val="hybridMultilevel"/>
    <w:lvl w:ilvl="0">
      <w:lvlJc w:val="left"/>
      <w:lvlText w:val="(%1)"/>
      <w:numFmt w:val="decimal"/>
      <w:start w:val="2"/>
    </w:lvl>
  </w:abstractNum>
  <w:abstractNum w:abstractNumId="107">
    <w:nsid w:val="BFFAE18"/>
    <w:multiLevelType w:val="hybridMultilevel"/>
    <w:lvl w:ilvl="0">
      <w:lvlJc w:val="left"/>
      <w:lvlText w:val="%1."/>
      <w:numFmt w:val="upperLetter"/>
      <w:start w:val="3"/>
    </w:lvl>
  </w:abstractNum>
  <w:abstractNum w:abstractNumId="108">
    <w:nsid w:val="E3E47A8"/>
    <w:multiLevelType w:val="hybridMultilevel"/>
    <w:lvl w:ilvl="0">
      <w:lvlJc w:val="left"/>
      <w:lvlText w:val="1"/>
      <w:numFmt w:val="bullet"/>
      <w:start w:val="1"/>
    </w:lvl>
  </w:abstractNum>
  <w:abstractNum w:abstractNumId="109">
    <w:nsid w:val="2E48F044"/>
    <w:multiLevelType w:val="hybridMultilevel"/>
    <w:lvl w:ilvl="0">
      <w:lvlJc w:val="left"/>
      <w:lvlText w:val="2"/>
      <w:numFmt w:val="bullet"/>
      <w:start w:val="1"/>
    </w:lvl>
  </w:abstractNum>
  <w:abstractNum w:abstractNumId="110">
    <w:nsid w:val="49D0FEAC"/>
    <w:multiLevelType w:val="hybridMultilevel"/>
    <w:lvl w:ilvl="0">
      <w:lvlJc w:val="left"/>
      <w:lvlText w:val="%1."/>
      <w:numFmt w:val="upperLetter"/>
      <w:start w:val="4"/>
    </w:lvl>
  </w:abstractNum>
  <w:abstractNum w:abstractNumId="111">
    <w:nsid w:val="4BEE5A5B"/>
    <w:multiLevelType w:val="hybridMultilevel"/>
    <w:lvl w:ilvl="0">
      <w:lvlJc w:val="left"/>
      <w:lvlText w:val="1"/>
      <w:numFmt w:val="bullet"/>
      <w:start w:val="1"/>
    </w:lvl>
  </w:abstractNum>
  <w:abstractNum w:abstractNumId="112">
    <w:nsid w:val="5551B9F3"/>
    <w:multiLevelType w:val="hybridMultilevel"/>
    <w:lvl w:ilvl="0">
      <w:lvlJc w:val="left"/>
      <w:lvlText w:val="2"/>
      <w:numFmt w:val="bullet"/>
      <w:start w:val="1"/>
    </w:lvl>
  </w:abstractNum>
  <w:abstractNum w:abstractNumId="113">
    <w:nsid w:val="24F6AB8E"/>
    <w:multiLevelType w:val="hybridMultilevel"/>
    <w:lvl w:ilvl="0">
      <w:lvlJc w:val="left"/>
      <w:lvlText w:val="3"/>
      <w:numFmt w:val="bullet"/>
      <w:start w:val="1"/>
    </w:lvl>
  </w:abstractNum>
  <w:abstractNum w:abstractNumId="114">
    <w:nsid w:val="634C574C"/>
    <w:multiLevelType w:val="hybridMultilevel"/>
    <w:lvl w:ilvl="0">
      <w:lvlJc w:val="left"/>
      <w:lvlText w:val="●"/>
      <w:numFmt w:val="bullet"/>
      <w:start w:val="1"/>
    </w:lvl>
  </w:abstractNum>
  <w:abstractNum w:abstractNumId="115">
    <w:nsid w:val="24E99DD7"/>
    <w:multiLevelType w:val="hybridMultilevel"/>
    <w:lvl w:ilvl="0">
      <w:lvlJc w:val="left"/>
      <w:lvlText w:val="%1"/>
      <w:numFmt w:val="decimal"/>
      <w:start w:val="1"/>
    </w:lvl>
    <w:lvl w:ilvl="1">
      <w:lvlJc w:val="left"/>
      <w:lvlText w:val="●"/>
      <w:numFmt w:val="bullet"/>
      <w:start w:val="1"/>
    </w:lvl>
  </w:abstractNum>
  <w:abstractNum w:abstractNumId="116">
    <w:nsid w:val="2A31B62D"/>
    <w:multiLevelType w:val="hybridMultilevel"/>
    <w:lvl w:ilvl="0">
      <w:lvlJc w:val="left"/>
      <w:lvlText w:val="%1."/>
      <w:numFmt w:val="upperLetter"/>
      <w:start w:val="1"/>
    </w:lvl>
    <w:lvl w:ilvl="1">
      <w:lvlJc w:val="left"/>
      <w:lvlText w:val="●"/>
      <w:numFmt w:val="bullet"/>
      <w:start w:val="1"/>
    </w:lvl>
  </w:abstractNum>
  <w:abstractNum w:abstractNumId="117">
    <w:nsid w:val="1849C29B"/>
    <w:multiLevelType w:val="hybridMultilevel"/>
    <w:lvl w:ilvl="0">
      <w:lvlJc w:val="left"/>
      <w:lvlText w:val="●"/>
      <w:numFmt w:val="bullet"/>
      <w:start w:val="1"/>
    </w:lvl>
  </w:abstractNum>
  <w:abstractNum w:abstractNumId="118">
    <w:nsid w:val="7DFF9D09"/>
    <w:multiLevelType w:val="hybridMultilevel"/>
    <w:lvl w:ilvl="0">
      <w:lvlJc w:val="left"/>
      <w:lvlText w:val="●"/>
      <w:numFmt w:val="bullet"/>
      <w:start w:val="1"/>
    </w:lvl>
    <w:lvl w:ilvl="1">
      <w:lvlJc w:val="left"/>
      <w:lvlText w:val="◦"/>
      <w:numFmt w:val="bullet"/>
      <w:start w:val="1"/>
    </w:lvl>
  </w:abstractNum>
  <w:abstractNum w:abstractNumId="119">
    <w:nsid w:val="754342"/>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120">
    <w:nsid w:val="69E7F3E5"/>
    <w:multiLevelType w:val="hybridMultilevel"/>
    <w:lvl w:ilvl="0">
      <w:lvlJc w:val="left"/>
      <w:lvlText w:val="%1."/>
      <w:numFmt w:val="upperLetter"/>
      <w:start w:val="1"/>
    </w:lvl>
  </w:abstractNum>
  <w:abstractNum w:abstractNumId="121">
    <w:nsid w:val="2A6DE806"/>
    <w:multiLevelType w:val="hybridMultilevel"/>
    <w:lvl w:ilvl="0">
      <w:lvlJc w:val="left"/>
      <w:lvlText w:val="1"/>
      <w:numFmt w:val="bullet"/>
      <w:start w:val="1"/>
    </w:lvl>
  </w:abstractNum>
  <w:abstractNum w:abstractNumId="122">
    <w:nsid w:val="1816F8C4"/>
    <w:multiLevelType w:val="hybridMultilevel"/>
    <w:lvl w:ilvl="0">
      <w:lvlJc w:val="left"/>
      <w:lvlText w:val="%1."/>
      <w:numFmt w:val="upperLetter"/>
      <w:start w:val="1"/>
    </w:lvl>
  </w:abstractNum>
  <w:abstractNum w:abstractNumId="123">
    <w:nsid w:val="37DF2233"/>
    <w:multiLevelType w:val="hybridMultilevel"/>
    <w:lvl w:ilvl="0">
      <w:lvlJc w:val="left"/>
      <w:lvlText w:val="1"/>
      <w:numFmt w:val="bullet"/>
      <w:start w:val="1"/>
    </w:lvl>
  </w:abstractNum>
  <w:abstractNum w:abstractNumId="124">
    <w:nsid w:val="7AB49DAF"/>
    <w:multiLevelType w:val="hybridMultilevel"/>
    <w:lvl w:ilvl="0">
      <w:lvlJc w:val="left"/>
      <w:lvlText w:val="2"/>
      <w:numFmt w:val="bullet"/>
      <w:start w:val="1"/>
    </w:lvl>
  </w:abstractNum>
  <w:abstractNum w:abstractNumId="125">
    <w:nsid w:val="759F82CD"/>
    <w:multiLevelType w:val="hybridMultilevel"/>
    <w:lvl w:ilvl="0">
      <w:lvlJc w:val="left"/>
      <w:lvlText w:val="%1."/>
      <w:numFmt w:val="upperLetter"/>
      <w:start w:val="1"/>
    </w:lvl>
  </w:abstractNum>
  <w:abstractNum w:abstractNumId="126">
    <w:nsid w:val="61E74EA3"/>
    <w:multiLevelType w:val="hybridMultilevel"/>
    <w:lvl w:ilvl="0">
      <w:lvlJc w:val="left"/>
      <w:lvlText w:val="%1."/>
      <w:numFmt w:val="upperLetter"/>
      <w:start w:val="2"/>
    </w:lvl>
  </w:abstractNum>
  <w:abstractNum w:abstractNumId="127">
    <w:nsid w:val="597B4D84"/>
    <w:multiLevelType w:val="hybridMultilevel"/>
    <w:lvl w:ilvl="0">
      <w:lvlJc w:val="left"/>
      <w:lvlText w:val="1"/>
      <w:numFmt w:val="bullet"/>
      <w:start w:val="1"/>
    </w:lvl>
  </w:abstractNum>
  <w:abstractNum w:abstractNumId="128">
    <w:nsid w:val="F819E7F"/>
    <w:multiLevelType w:val="hybridMultilevel"/>
    <w:lvl w:ilvl="0">
      <w:lvlJc w:val="left"/>
      <w:lvlText w:val="%1."/>
      <w:numFmt w:val="upperLetter"/>
      <w:start w:val="2"/>
    </w:lvl>
  </w:abstractNum>
  <w:abstractNum w:abstractNumId="129">
    <w:nsid w:val="57C7D42D"/>
    <w:multiLevelType w:val="hybridMultilevel"/>
    <w:lvl w:ilvl="0">
      <w:lvlJc w:val="left"/>
      <w:lvlText w:val="%1."/>
      <w:numFmt w:val="upperLetter"/>
      <w:start w:val="2"/>
    </w:lvl>
  </w:abstractNum>
  <w:abstractNum w:abstractNumId="130">
    <w:nsid w:val="312167AD"/>
    <w:multiLevelType w:val="hybridMultilevel"/>
    <w:lvl w:ilvl="0">
      <w:lvlJc w:val="left"/>
      <w:lvlText w:val="%1."/>
      <w:numFmt w:val="upperLetter"/>
      <w:start w:val="2"/>
    </w:lvl>
  </w:abstractNum>
  <w:abstractNum w:abstractNumId="131">
    <w:nsid w:val="631B64D4"/>
    <w:multiLevelType w:val="hybridMultilevel"/>
    <w:lvl w:ilvl="0">
      <w:lvlJc w:val="left"/>
      <w:lvlText w:val="(%1)"/>
      <w:numFmt w:val="lowerRoman"/>
      <w:start w:val="2"/>
    </w:lvl>
  </w:abstractNum>
  <w:abstractNum w:abstractNumId="132">
    <w:nsid w:val="78B5E776"/>
    <w:multiLevelType w:val="hybridMultilevel"/>
    <w:lvl w:ilvl="0">
      <w:lvlJc w:val="left"/>
      <w:lvlText w:val="%1."/>
      <w:numFmt w:val="upperLetter"/>
      <w:start w:val="3"/>
    </w:lvl>
  </w:abstractNum>
  <w:abstractNum w:abstractNumId="133">
    <w:nsid w:val="75486E47"/>
    <w:multiLevelType w:val="hybridMultilevel"/>
    <w:lvl w:ilvl="0">
      <w:lvlJc w:val="left"/>
      <w:lvlText w:val="%1."/>
      <w:numFmt w:val="upperLetter"/>
      <w:start w:val="4"/>
    </w:lvl>
  </w:abstractNum>
  <w:abstractNum w:abstractNumId="134">
    <w:nsid w:val="6E534CDE"/>
    <w:multiLevelType w:val="hybridMultilevel"/>
    <w:lvl w:ilvl="0">
      <w:lvlJc w:val="left"/>
      <w:lvlText w:val="%1."/>
      <w:numFmt w:val="upperLetter"/>
      <w:start w:val="4"/>
    </w:lvl>
  </w:abstractNum>
  <w:abstractNum w:abstractNumId="135">
    <w:nsid w:val="1A0DDE32"/>
    <w:multiLevelType w:val="hybridMultilevel"/>
    <w:lvl w:ilvl="0">
      <w:lvlJc w:val="left"/>
      <w:lvlText w:val="%1."/>
      <w:numFmt w:val="upperLetter"/>
      <w:start w:val="4"/>
    </w:lvl>
  </w:abstractNum>
  <w:abstractNum w:abstractNumId="136">
    <w:nsid w:val="65968C1C"/>
    <w:multiLevelType w:val="hybridMultilevel"/>
    <w:lvl w:ilvl="0">
      <w:lvlJc w:val="left"/>
      <w:lvlText w:val="%1."/>
      <w:numFmt w:val="upperLetter"/>
      <w:start w:val="5"/>
    </w:lvl>
  </w:abstractNum>
  <w:abstractNum w:abstractNumId="137">
    <w:nsid w:val="46263DEC"/>
    <w:multiLevelType w:val="hybridMultilevel"/>
    <w:lvl w:ilvl="0">
      <w:lvlJc w:val="left"/>
      <w:lvlText w:val="%1."/>
      <w:numFmt w:val="lowerRoman"/>
      <w:start w:val="1"/>
    </w:lvl>
  </w:abstractNum>
  <w:abstractNum w:abstractNumId="138">
    <w:nsid w:val="260D8C4A"/>
    <w:multiLevelType w:val="hybridMultilevel"/>
    <w:lvl w:ilvl="0">
      <w:lvlJc w:val="left"/>
      <w:lvlText w:val="%1."/>
      <w:numFmt w:val="upperLetter"/>
      <w:start w:val="6"/>
    </w:lvl>
  </w:abstractNum>
  <w:abstractNum w:abstractNumId="139">
    <w:nsid w:val="73D4D3C4"/>
    <w:multiLevelType w:val="hybridMultilevel"/>
    <w:lvl w:ilvl="0">
      <w:lvlJc w:val="left"/>
      <w:lvlText w:val="●"/>
      <w:numFmt w:val="bullet"/>
      <w:start w:val="1"/>
    </w:lvl>
  </w:abstractNum>
  <w:abstractNum w:abstractNumId="140">
    <w:nsid w:val="746F2E30"/>
    <w:multiLevelType w:val="hybridMultilevel"/>
    <w:lvl w:ilvl="0">
      <w:lvlJc w:val="left"/>
      <w:lvlText w:val="%1."/>
      <w:numFmt w:val="upperLetter"/>
      <w:start w:val="1"/>
    </w:lvl>
  </w:abstractNum>
  <w:abstractNum w:abstractNumId="141">
    <w:nsid w:val="6FDE8AF6"/>
    <w:multiLevelType w:val="hybridMultilevel"/>
    <w:lvl w:ilvl="0">
      <w:lvlJc w:val="left"/>
      <w:lvlText w:val="●"/>
      <w:numFmt w:val="bullet"/>
      <w:start w:val="1"/>
    </w:lvl>
  </w:abstractNum>
  <w:abstractNum w:abstractNumId="142">
    <w:nsid w:val="3FC32E20"/>
    <w:multiLevelType w:val="hybridMultilevel"/>
    <w:lvl w:ilvl="0">
      <w:lvlJc w:val="left"/>
      <w:lvlText w:val="●"/>
      <w:numFmt w:val="bullet"/>
      <w:start w:val="1"/>
    </w:lvl>
  </w:abstractNum>
  <w:abstractNum w:abstractNumId="143">
    <w:nsid w:val="49C0E823"/>
    <w:multiLevelType w:val="hybridMultilevel"/>
    <w:lvl w:ilvl="0">
      <w:lvlJc w:val="left"/>
      <w:lvlText w:val="%1."/>
      <w:numFmt w:val="upperLetter"/>
      <w:start w:val="2"/>
    </w:lvl>
  </w:abstractNum>
  <w:abstractNum w:abstractNumId="144">
    <w:nsid w:val="14D53685"/>
    <w:multiLevelType w:val="hybridMultilevel"/>
    <w:lvl w:ilvl="0">
      <w:lvlJc w:val="left"/>
      <w:lvlText w:val="●"/>
      <w:numFmt w:val="bullet"/>
      <w:start w:val="1"/>
    </w:lvl>
  </w:abstractNum>
  <w:abstractNum w:abstractNumId="145">
    <w:nsid w:val="230F856C"/>
    <w:multiLevelType w:val="hybridMultilevel"/>
    <w:lvl w:ilvl="0">
      <w:lvlJc w:val="left"/>
      <w:lvlText w:val="%1."/>
      <w:numFmt w:val="decimal"/>
      <w:start w:val="12"/>
    </w:lvl>
    <w:lvl w:ilvl="1">
      <w:lvlJc w:val="left"/>
      <w:lvlText w:val="●"/>
      <w:numFmt w:val="bullet"/>
      <w:start w:val="1"/>
    </w:lvl>
  </w:abstractNum>
  <w:abstractNum w:abstractNumId="146">
    <w:nsid w:val="6EAA85FB"/>
    <w:multiLevelType w:val="hybridMultilevel"/>
    <w:lvl w:ilvl="0">
      <w:lvlJc w:val="left"/>
      <w:lvlText w:val="%1."/>
      <w:numFmt w:val="upperLetter"/>
      <w:start w:val="1"/>
    </w:lvl>
  </w:abstractNum>
  <w:abstractNum w:abstractNumId="147">
    <w:nsid w:val="3F06ECB2"/>
    <w:multiLevelType w:val="hybridMultilevel"/>
    <w:lvl w:ilvl="0">
      <w:lvlJc w:val="left"/>
      <w:lvlText w:val="%1)"/>
      <w:numFmt w:val="lowerRoman"/>
      <w:start w:val="1"/>
    </w:lvl>
  </w:abstractNum>
  <w:abstractNum w:abstractNumId="148">
    <w:nsid w:val="3B594807"/>
    <w:multiLevelType w:val="hybridMultilevel"/>
    <w:lvl w:ilvl="0">
      <w:lvlJc w:val="left"/>
      <w:lvlText w:val="%1."/>
      <w:numFmt w:val="upperLetter"/>
      <w:start w:val="2"/>
    </w:lvl>
  </w:abstractNum>
  <w:abstractNum w:abstractNumId="149">
    <w:nsid w:val="6CAA2304"/>
    <w:multiLevelType w:val="hybridMultilevel"/>
    <w:lvl w:ilvl="0">
      <w:lvlJc w:val="left"/>
      <w:lvlText w:val="%1."/>
      <w:numFmt w:val="upperLetter"/>
      <w:start w:val="2"/>
    </w:lvl>
  </w:abstractNum>
  <w:abstractNum w:abstractNumId="150">
    <w:nsid w:val="3F7C2FF4"/>
    <w:multiLevelType w:val="hybridMultilevel"/>
    <w:lvl w:ilvl="0">
      <w:lvlJc w:val="left"/>
      <w:lvlText w:val="%1."/>
      <w:numFmt w:val="upperLetter"/>
      <w:start w:val="3"/>
    </w:lvl>
  </w:abstractNum>
  <w:abstractNum w:abstractNumId="151">
    <w:nsid w:val="25413BEC"/>
    <w:multiLevelType w:val="hybridMultilevel"/>
    <w:lvl w:ilvl="0">
      <w:lvlJc w:val="left"/>
      <w:lvlText w:val="%1."/>
      <w:numFmt w:val="upperLetter"/>
      <w:start w:val="4"/>
    </w:lvl>
  </w:abstractNum>
  <w:abstractNum w:abstractNumId="152">
    <w:nsid w:val="17180B0B"/>
    <w:multiLevelType w:val="hybridMultilevel"/>
    <w:lvl w:ilvl="0">
      <w:lvlJc w:val="left"/>
      <w:lvlText w:val="●"/>
      <w:numFmt w:val="bullet"/>
      <w:start w:val="1"/>
    </w:lvl>
  </w:abstractNum>
  <w:abstractNum w:abstractNumId="153">
    <w:nsid w:val="579328B9"/>
    <w:multiLevelType w:val="hybridMultilevel"/>
    <w:lvl w:ilvl="0">
      <w:lvlJc w:val="left"/>
      <w:lvlText w:val="%1."/>
      <w:numFmt w:val="decimal"/>
      <w:start w:val="21"/>
    </w:lvl>
    <w:lvl w:ilvl="1">
      <w:lvlJc w:val="left"/>
      <w:lvlText w:val="●"/>
      <w:numFmt w:val="bullet"/>
      <w:start w:val="1"/>
    </w:lvl>
  </w:abstractNum>
  <w:abstractNum w:abstractNumId="154">
    <w:nsid w:val="5D205E20"/>
    <w:multiLevelType w:val="hybridMultilevel"/>
    <w:lvl w:ilvl="0">
      <w:lvlJc w:val="left"/>
      <w:lvlText w:val="●"/>
      <w:numFmt w:val="bullet"/>
      <w:start w:val="1"/>
    </w:lvl>
  </w:abstractNum>
  <w:abstractNum w:abstractNumId="155">
    <w:nsid w:val="11CCA8BA"/>
    <w:multiLevelType w:val="hybridMultilevel"/>
    <w:lvl w:ilvl="0">
      <w:lvlJc w:val="left"/>
      <w:lvlText w:val="%1."/>
      <w:numFmt w:val="decimal"/>
      <w:start w:val="21"/>
    </w:lvl>
    <w:lvl w:ilvl="1">
      <w:lvlJc w:val="left"/>
      <w:lvlText w:val="●"/>
      <w:numFmt w:val="bullet"/>
      <w:start w:val="1"/>
    </w:lvl>
  </w:abstractNum>
  <w:abstractNum w:abstractNumId="156">
    <w:nsid w:val="4D32AB8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57">
    <w:nsid w:val="3F07ACC3"/>
    <w:multiLevelType w:val="hybridMultilevel"/>
    <w:lvl w:ilvl="0">
      <w:lvlJc w:val="left"/>
      <w:lvlText w:val="%1"/>
      <w:numFmt w:val="decimal"/>
      <w:start w:val="1"/>
    </w:lvl>
    <w:lvl w:ilvl="1">
      <w:lvlJc w:val="left"/>
      <w:lvlText w:val="(%2)"/>
      <w:numFmt w:val="lowerLetter"/>
      <w:start w:val="2"/>
    </w:lvl>
  </w:abstractNum>
  <w:abstractNum w:abstractNumId="158">
    <w:nsid w:val="6B47F63E"/>
    <w:multiLevelType w:val="hybridMultilevel"/>
    <w:lvl w:ilvl="0">
      <w:lvlJc w:val="left"/>
      <w:lvlText w:val="%1."/>
      <w:numFmt w:val="decimal"/>
      <w:start w:val="6"/>
    </w:lvl>
    <w:lvl w:ilvl="1">
      <w:lvlJc w:val="left"/>
      <w:lvlText w:val="%2"/>
      <w:numFmt w:val="lowerLetter"/>
      <w:start w:val="1"/>
    </w:lvl>
  </w:abstractNum>
  <w:abstractNum w:abstractNumId="159">
    <w:nsid w:val="5CB44A0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60">
    <w:nsid w:val="16CF80F1"/>
    <w:multiLevelType w:val="hybridMultilevel"/>
    <w:lvl w:ilvl="0">
      <w:lvlJc w:val="left"/>
      <w:lvlText w:val="%1"/>
      <w:numFmt w:val="decimal"/>
      <w:start w:val="1"/>
    </w:lvl>
    <w:lvl w:ilvl="1">
      <w:lvlJc w:val="left"/>
      <w:lvlText w:val="(%2)"/>
      <w:numFmt w:val="lowerLetter"/>
      <w:start w:val="2"/>
    </w:lvl>
  </w:abstractNum>
  <w:abstractNum w:abstractNumId="161">
    <w:nsid w:val="1C695DEC"/>
    <w:multiLevelType w:val="hybridMultilevel"/>
    <w:lvl w:ilvl="0">
      <w:lvlJc w:val="left"/>
      <w:lvlText w:val="%1."/>
      <w:numFmt w:val="decimal"/>
      <w:start w:val="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jpe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jpeg"/><Relationship Id="rId142" Type="http://schemas.openxmlformats.org/officeDocument/2006/relationships/image" Target="media/image132.png"/><Relationship Id="rId143" Type="http://schemas.openxmlformats.org/officeDocument/2006/relationships/image" Target="media/image133.jpe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pn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png"/><Relationship Id="rId189" Type="http://schemas.openxmlformats.org/officeDocument/2006/relationships/image" Target="media/image179.png"/><Relationship Id="rId190" Type="http://schemas.openxmlformats.org/officeDocument/2006/relationships/image" Target="media/image180.png"/><Relationship Id="rId191"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png"/><Relationship Id="rId194" Type="http://schemas.openxmlformats.org/officeDocument/2006/relationships/image" Target="media/image184.png"/><Relationship Id="rId195"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png"/><Relationship Id="rId199" Type="http://schemas.openxmlformats.org/officeDocument/2006/relationships/image" Target="media/image189.png"/><Relationship Id="rId200"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png"/><Relationship Id="rId203" Type="http://schemas.openxmlformats.org/officeDocument/2006/relationships/image" Target="media/image193.png"/><Relationship Id="rId204" Type="http://schemas.openxmlformats.org/officeDocument/2006/relationships/image" Target="media/image194.png"/><Relationship Id="rId205" Type="http://schemas.openxmlformats.org/officeDocument/2006/relationships/image" Target="media/image195.png"/><Relationship Id="rId206" Type="http://schemas.openxmlformats.org/officeDocument/2006/relationships/image" Target="media/image196.png"/><Relationship Id="rId207" Type="http://schemas.openxmlformats.org/officeDocument/2006/relationships/image" Target="media/image197.png"/><Relationship Id="rId208" Type="http://schemas.openxmlformats.org/officeDocument/2006/relationships/image" Target="media/image198.png"/><Relationship Id="rId209"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212" Type="http://schemas.openxmlformats.org/officeDocument/2006/relationships/image" Target="media/image202.png"/><Relationship Id="rId213" Type="http://schemas.openxmlformats.org/officeDocument/2006/relationships/image" Target="media/image203.png"/><Relationship Id="rId214"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218" Type="http://schemas.openxmlformats.org/officeDocument/2006/relationships/image" Target="media/image208.png"/><Relationship Id="rId219" Type="http://schemas.openxmlformats.org/officeDocument/2006/relationships/image" Target="media/image209.png"/><Relationship Id="rId220" Type="http://schemas.openxmlformats.org/officeDocument/2006/relationships/image" Target="media/image210.png"/><Relationship Id="rId221" Type="http://schemas.openxmlformats.org/officeDocument/2006/relationships/image" Target="media/image211.png"/><Relationship Id="rId222" Type="http://schemas.openxmlformats.org/officeDocument/2006/relationships/image" Target="media/image212.png"/><Relationship Id="rId223"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png"/><Relationship Id="rId230"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pn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243" Type="http://schemas.openxmlformats.org/officeDocument/2006/relationships/image" Target="media/image233.png"/><Relationship Id="rId244" Type="http://schemas.openxmlformats.org/officeDocument/2006/relationships/image" Target="media/image234.png"/><Relationship Id="rId245" Type="http://schemas.openxmlformats.org/officeDocument/2006/relationships/image" Target="media/image235.png"/><Relationship Id="rId246"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png"/><Relationship Id="rId253"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png"/><Relationship Id="rId266" Type="http://schemas.openxmlformats.org/officeDocument/2006/relationships/image" Target="media/image256.png"/><Relationship Id="rId267" Type="http://schemas.openxmlformats.org/officeDocument/2006/relationships/image" Target="media/image257.png"/><Relationship Id="rId268" Type="http://schemas.openxmlformats.org/officeDocument/2006/relationships/image" Target="media/image258.png"/><Relationship Id="rId269" Type="http://schemas.openxmlformats.org/officeDocument/2006/relationships/image" Target="media/image259.png"/><Relationship Id="rId270" Type="http://schemas.openxmlformats.org/officeDocument/2006/relationships/image" Target="media/image260.png"/><Relationship Id="rId271" Type="http://schemas.openxmlformats.org/officeDocument/2006/relationships/image" Target="media/image261.png"/><Relationship Id="rId272" Type="http://schemas.openxmlformats.org/officeDocument/2006/relationships/image" Target="media/image262.png"/><Relationship Id="rId273" Type="http://schemas.openxmlformats.org/officeDocument/2006/relationships/image" Target="media/image263.png"/><Relationship Id="rId274" Type="http://schemas.openxmlformats.org/officeDocument/2006/relationships/image" Target="media/image264.png"/><Relationship Id="rId275" Type="http://schemas.openxmlformats.org/officeDocument/2006/relationships/image" Target="media/image265.png"/><Relationship Id="rId276" Type="http://schemas.openxmlformats.org/officeDocument/2006/relationships/image" Target="media/image266.png"/><Relationship Id="rId277" Type="http://schemas.openxmlformats.org/officeDocument/2006/relationships/image" Target="media/image267.png"/><Relationship Id="rId278" Type="http://schemas.openxmlformats.org/officeDocument/2006/relationships/image" Target="media/image268.png"/><Relationship Id="rId279" Type="http://schemas.openxmlformats.org/officeDocument/2006/relationships/image" Target="media/image269.png"/><Relationship Id="rId280" Type="http://schemas.openxmlformats.org/officeDocument/2006/relationships/image" Target="media/image270.png"/><Relationship Id="rId281" Type="http://schemas.openxmlformats.org/officeDocument/2006/relationships/image" Target="media/image271.png"/><Relationship Id="rId282" Type="http://schemas.openxmlformats.org/officeDocument/2006/relationships/image" Target="media/image272.png"/><Relationship Id="rId283" Type="http://schemas.openxmlformats.org/officeDocument/2006/relationships/image" Target="media/image273.png"/><Relationship Id="rId284" Type="http://schemas.openxmlformats.org/officeDocument/2006/relationships/image" Target="media/image274.png"/><Relationship Id="rId285" Type="http://schemas.openxmlformats.org/officeDocument/2006/relationships/image" Target="media/image275.png"/><Relationship Id="rId286" Type="http://schemas.openxmlformats.org/officeDocument/2006/relationships/image" Target="media/image276.png"/><Relationship Id="rId19" Type="http://schemas.openxmlformats.org/officeDocument/2006/relationships/hyperlink" Target="https://www.sec.gov/Archives/edgar/data/1812477/000121390023052498/ea180981-f10_bitfarmsltd.htm" TargetMode="External"/><Relationship Id="rId20" Type="http://schemas.openxmlformats.org/officeDocument/2006/relationships/hyperlink" Target="http://www.sec.gov/Archives/edgar/data/1812477/000121390024035021/ea0204332-s8_bitfarms.htm" TargetMode="External"/><Relationship Id="rId21" Type="http://schemas.openxmlformats.org/officeDocument/2006/relationships/hyperlink" Target="http://www.sec.gov/Archives/edgar/data/1812477/000101376225000733/ea0232744-s8_bitfarm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2025-11-13T06:34:14Z</dcterms:created>
  <dcterms:modified xsi:type="dcterms:W3CDTF">2025-11-13T06:34:14Z</dcterms:modified>
</cp:coreProperties>
</file>