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4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ind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1, 2024, the Registrant filed with the Canadian Securities Regulatory Authorities on the System for Electronic Data Analysis and Retrieval + (SEDAR +) a material change report that includes a copy of a press release, a copy of which is attached hereto as Exhibit 99.1, and a press release, a copy of which is attached hereto as Exhibit 99.2, which are incorporated by reference into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the Registration Statement of Bitfarms Ltd. on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333-278868).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80" w:type="dxa"/>
            <w:vAlign w:val="bottom"/>
          </w:tcPr>
          <w:p>
            <w:pPr>
              <w:spacing w:after="0"/>
              <w:rPr>
                <w:sz w:val="20"/>
                <w:szCs w:val="20"/>
                <w:color w:val="auto"/>
              </w:rPr>
            </w:pPr>
          </w:p>
        </w:tc>
      </w:tr>
      <w:tr>
        <w:trPr>
          <w:trHeight w:val="45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10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 Report dated August 1, 2024</w:t>
            </w:r>
          </w:p>
        </w:tc>
      </w:tr>
      <w:tr>
        <w:trPr>
          <w:trHeight w:val="175"/>
        </w:trPr>
        <w:tc>
          <w:tcPr>
            <w:tcW w:w="1020" w:type="dxa"/>
            <w:vAlign w:val="bottom"/>
            <w:tcBorders>
              <w:top w:val="single" w:sz="8" w:color="CCEEFF"/>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tcPr>
          <w:p>
            <w:pPr>
              <w:spacing w:after="0"/>
              <w:rPr>
                <w:sz w:val="15"/>
                <w:szCs w:val="15"/>
                <w:color w:val="auto"/>
              </w:rPr>
            </w:pPr>
          </w:p>
        </w:tc>
        <w:tc>
          <w:tcPr>
            <w:tcW w:w="252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August 1, 2024</w:t>
            </w:r>
          </w:p>
        </w:tc>
        <w:tc>
          <w:tcPr>
            <w:tcW w:w="800" w:type="dxa"/>
            <w:vAlign w:val="bottom"/>
            <w:tcBorders>
              <w:top w:val="single" w:sz="8" w:color="0000EE"/>
            </w:tcBorders>
          </w:tcPr>
          <w:p>
            <w:pPr>
              <w:spacing w:after="0"/>
              <w:rPr>
                <w:sz w:val="15"/>
                <w:szCs w:val="15"/>
                <w:color w:val="auto"/>
              </w:rPr>
            </w:pPr>
          </w:p>
        </w:tc>
        <w:tc>
          <w:tcPr>
            <w:tcW w:w="6780" w:type="dxa"/>
            <w:vAlign w:val="bottom"/>
            <w:tcBorders>
              <w:top w:val="single" w:sz="8" w:color="CCEEFF"/>
            </w:tcBorders>
          </w:tcPr>
          <w:p>
            <w:pPr>
              <w:spacing w:after="0"/>
              <w:rPr>
                <w:sz w:val="15"/>
                <w:szCs w:val="15"/>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00" w:lineRule="exact"/>
        <w:rPr>
          <w:sz w:val="20"/>
          <w:szCs w:val="20"/>
          <w:color w:val="auto"/>
        </w:rPr>
      </w:pPr>
    </w:p>
    <w:p>
      <w:pPr>
        <w:spacing w:after="0" w:line="2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31"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2024</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August 1, 2024 by a newswire company in Canada.</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Reliance of subsection 7.1(2) of National Instrument 51-102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Bitfarms Provides July 2024 Production</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and Operations Update</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Earned 253 BTC in July 2024 &amp; Increased HODL to 1,016 BTC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Increased Operational Hashrate to 11.1 EH/s -</w:t>
      </w:r>
    </w:p>
    <w:p>
      <w:pPr>
        <w:spacing w:after="0" w:line="20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i w:val="1"/>
          <w:iCs w:val="1"/>
          <w:color w:val="auto"/>
        </w:rPr>
        <w:t>This news release constitutes a “designated news release” for the purposes of the Company’s prospectus supplement dated March 8, 2024, to its short form base shelf prospectus dated November 10, 2023.</w:t>
      </w:r>
    </w:p>
    <w:p>
      <w:pPr>
        <w:spacing w:after="0" w:line="16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(August 1, 2024) </w:t>
      </w:r>
      <w:r>
        <w:rPr>
          <w:rFonts w:ascii="Times New Roman" w:cs="Times New Roman" w:eastAsia="Times New Roman" w:hAnsi="Times New Roman"/>
          <w:sz w:val="18"/>
          <w:szCs w:val="18"/>
          <w:color w:val="auto"/>
        </w:rPr>
        <w:t>- Bitfarms Ltd. (NASDAQ/TSX: BITF), a global vertically integrated Bitcoin mining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 company, provides its monthly production report and update on its fleet upgrade and expansion. All financial references are in U.S. dollars.</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we continue to execute on the fleet upgrade program, we are gaining market share and driving increasing amounts of Bitcoin mined month-over-month. Since the halving event in April, our Bitcoin mined per month has increased 62%. This speaks volumes to our operational expertise and improved efficiency, and I am confident that we are well-positioned to further accelerate our growth and drive value for shareholders,” said Ben Gagnon, Chief Executive Officer.</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Paraguay, Paso Pe, our largest site measured by both MWs and hashrate, is now fully operational. Construction in Yguazu is progressing rapidly with four warehouses being constructed simultaneously with foundation and road work on site,” said Mr. Gagnon. “Hashrate remains below the 12 EH/s target primarily due to the underperformance of a batch of ~3,000 T21s, representing ~700 PH/s, that experience overheating issues even at lower temperatures. Bitmain is rapidly replacing these machines at their expense. The new miners are expected to arrive and be installed on site in three weeks. We have worked closely with Bitmain to resolve these manufacturing issues and to prevent a re-occurrence in future batches, including August deliveries. We remain pleased with the overall performance of our T21 miners, with the vast majority performing and hashing as expected. Further optimizations on site and software enhancements are also expected to drive continued improvements in August.”</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2024 growth and efficiency improvement plans are fully funded with sufficient liquidity for the infrastructure buildout and miner procurement. This will enable us to achieve our year-end guidance of 21 EH/s and 21 w/TH. Being fully funded reduces our near-term capex requirements and allows us to apply a greater amount of excess cash flow from operations to building our HODL, which increased by 111 Bitcoin during July,” said Jeff Lucas, Chief Financial Officer.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Mining Review</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Bitcoin difficulty increased 8.4% in the month. July mining operations generated 253 BTC compared to 189 BTC in June as a result of increasing corporate hashrate during the month.</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July 2024</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June 2024</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July 2023</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BTC Sold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July 2024 Select Operating Highlights</w:t>
      </w:r>
    </w:p>
    <w:p>
      <w:pPr>
        <w:spacing w:after="0" w:line="229"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 EH/s operational at July 31, 2024, up 109% Y/Y and 7% M/M.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EH/s average operational, up 36% M/M.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 BTC/average EH/s, down 1% from the previous month due to the increase in network difficulty, offset by the installation of Bitmain T21 miners.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253 BTC earned, 34% higher M/M and 33% lower Y/Y.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BTC earned daily on average, equal to ~$542,000 per day based on a BTC price of $66,100 at July 31,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Québec,</w:t>
      </w:r>
    </w:p>
    <w:p>
      <w:pPr>
        <w:spacing w:after="0" w:line="252" w:lineRule="exact"/>
        <w:rPr>
          <w:sz w:val="20"/>
          <w:szCs w:val="20"/>
          <w:color w:val="auto"/>
        </w:rPr>
      </w:pPr>
    </w:p>
    <w:p>
      <w:pPr>
        <w:ind w:left="980" w:right="40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Baie-Comeau, expansion work is progressing on schedule for the 12 MW expansion to 22 MW which is scheduled to be energized on September 1, 2024.</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Paraguay,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Paso Pe, all five warehouses and eight hydro containers have been fully energized and are actively hashing.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Yguazu, construction is progressing rapidly and remains on schedule.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Bitfarms’ BTC Monthly Production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2760" w:type="dxa"/>
            <w:vAlign w:val="bottom"/>
            <w:tcBorders>
              <w:top w:val="single" w:sz="8" w:color="auto"/>
            </w:tcBorders>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r>
      <w:tr>
        <w:trPr>
          <w:trHeight w:val="238"/>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YTD Totals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2,898</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July 2024 Financial Update</w:t>
      </w:r>
    </w:p>
    <w:p>
      <w:pPr>
        <w:spacing w:after="0" w:line="22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142 of the 253 BTC earned as part of the Company’s regular treasury management process for total proceeds of $8.6 million.</w:t>
      </w:r>
    </w:p>
    <w:p>
      <w:pPr>
        <w:spacing w:after="0" w:line="225"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111 BTC, bringing Treasury to 1,016 BTC, up from 905 BTC last month and representing $67.2 million based on a BTC price of $66,100 at July 31, 2024.</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Synthetic HODL™ of 233 long-dated BTC call options at July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Conferences and Events</w:t>
      </w:r>
    </w:p>
    <w:p>
      <w:pPr>
        <w:spacing w:after="0" w:line="22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8: Q2 2024 Conference Call at 8am ET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9-11: H.C. Wainwright 26th Annual Global Investment Conference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21-22: AIM Summit Dubai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743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mining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t>Glossary of Terms</w:t>
      </w:r>
    </w:p>
    <w:p>
      <w:pPr>
        <w:spacing w:after="0" w:line="22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or M/M= year over year or month over month</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 = High-performance computing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 = Artificial intelligence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BTC equivalent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-2449830</wp:posOffset>
            </wp:positionV>
            <wp:extent cx="7132320" cy="5212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521208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projected growth, target hashrate, opportunities relating to the Company’s geographical diversification and expansion, upgrading and deployment of miners as well as the timing therefor, improved financial performance and balance sheet liquidity, other growth opportunities and prospects, and other statements regarding future growth,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8" w:name="page9"/>
    <w:bookmarkEnd w:id="8"/>
    <w:p>
      <w:pPr>
        <w:spacing w:after="0" w:line="267"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68580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6858000"/>
                    </a:xfrm>
                    <a:prstGeom prst="rect">
                      <a:avLst/>
                    </a:prstGeom>
                    <a:noFill/>
                  </pic:spPr>
                </pic:pic>
              </a:graphicData>
            </a:graphic>
          </wp:anchor>
        </w:drawing>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it may not be possible to profitably liquidate the current digital currency inventory, or at all; the digital currency market may not continue to be accepted by users; digital currency prices are volatile and a decline in digital currency prices may have a significant negative impact on operations; an increase in network difficulty may have a significant negative impact on operations; the anticipated growth and sustainability of hydroelectricity for the purposes of cryptocurrency mining in the applicable jurisdictions may not be achieved; the Company may not be able to maintain reliable and economical sources of power for the Company to operate its cryptocurrency mining assets; there may be increases in the Company’s electricity costs and costs of natural gas, the Company may be impacted by changes in currency exchange rates, energy curtailment or regulatory changes in the energy regimes in the jurisdictions in which the Company operates, which could adversely impact the Company’s profitability; the Company ability to expand will depend upon the completion of future financings; and the adoption of new, or changes in existing, regulations or laws could prevent the Company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Company’s annual information form for the year-ended December 31, 2023, filed on March 7,2024 and the MD&amp;A for the three-month period ended March 31, 2024.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 Hill Advisory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Joele Frank, Wilkinson Brimmer Katcher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168275</wp:posOffset>
            </wp:positionV>
            <wp:extent cx="2031365" cy="53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Bitfarms Schedules Second Quarter 2024 Conference Call on August 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August 1, 2024 </w:t>
      </w:r>
      <w:r>
        <w:rPr>
          <w:rFonts w:ascii="Times New Roman" w:cs="Times New Roman" w:eastAsia="Times New Roman" w:hAnsi="Times New Roman"/>
          <w:sz w:val="18"/>
          <w:szCs w:val="18"/>
          <w:color w:val="auto"/>
        </w:rPr>
        <w:t>-- Bitfarms Ltd. (NASDAQ/TSX: BITF), a global vertically integrated Bitcoin mining</w:t>
      </w:r>
    </w:p>
    <w:p>
      <w:pPr>
        <w:spacing w:after="0" w:line="31" w:lineRule="exact"/>
        <w:rPr>
          <w:sz w:val="20"/>
          <w:szCs w:val="20"/>
          <w:color w:val="auto"/>
        </w:rPr>
      </w:pPr>
    </w:p>
    <w:p>
      <w:pPr>
        <w:ind w:right="380"/>
        <w:spacing w:after="0" w:line="221" w:lineRule="auto"/>
        <w:rPr>
          <w:sz w:val="20"/>
          <w:szCs w:val="20"/>
          <w:color w:val="auto"/>
        </w:rPr>
      </w:pPr>
      <w:r>
        <w:rPr>
          <w:rFonts w:ascii="Times New Roman" w:cs="Times New Roman" w:eastAsia="Times New Roman" w:hAnsi="Times New Roman"/>
          <w:sz w:val="18"/>
          <w:szCs w:val="18"/>
          <w:color w:val="auto"/>
        </w:rPr>
        <w:t>data center company, will report its second quarter 2024 financial results on Thursday, August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before the market opens. Management will host a conference call on the same day at 8:00 am EST. All Q2 2024 materials will be available before the call and can be accessed on the ‘Financial Results’ section of the Bitfarms investor site.</w:t>
      </w:r>
    </w:p>
    <w:p>
      <w:pPr>
        <w:spacing w:after="0" w:line="19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 xml:space="preserve">Participants may join the live call by calling 888-506-0062 (domestic) or 973-528-0011 (international) and referencing access code </w:t>
      </w:r>
      <w:r>
        <w:rPr>
          <w:rFonts w:ascii="Times New Roman" w:cs="Times New Roman" w:eastAsia="Times New Roman" w:hAnsi="Times New Roman"/>
          <w:sz w:val="18"/>
          <w:szCs w:val="18"/>
          <w:b w:val="1"/>
          <w:bCs w:val="1"/>
          <w:color w:val="auto"/>
        </w:rPr>
        <w:t>968924.</w:t>
      </w:r>
      <w:r>
        <w:rPr>
          <w:rFonts w:ascii="Times New Roman" w:cs="Times New Roman" w:eastAsia="Times New Roman" w:hAnsi="Times New Roman"/>
          <w:sz w:val="18"/>
          <w:szCs w:val="18"/>
          <w:color w:val="auto"/>
        </w:rPr>
        <w:t xml:space="preserve"> If you do not have the code, you may reference the Bitfarms’ Q2 2024 results conference call.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also be available via a live webcast. Please use this link to register.</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webcast replay can be accessed in the Events section of our Investor website approximately one hour after the call. An audio replay will be available through August 22, 2024, and can be accessed at 877-481-4010 (domestic), or 919-882-2331 (international), using access code 50787.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15087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209" w:lineRule="exact"/>
        <w:rPr>
          <w:sz w:val="20"/>
          <w:szCs w:val="20"/>
          <w:color w:val="auto"/>
        </w:rPr>
      </w:pPr>
    </w:p>
    <w:p>
      <w:pPr>
        <w:ind w:left="20" w:right="10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mining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ind w:left="20" w:right="16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23430" cy="411480"/>
                    </a:xfrm>
                    <a:prstGeom prst="rect">
                      <a:avLst/>
                    </a:prstGeom>
                    <a:noFill/>
                  </pic:spPr>
                </pic:pic>
              </a:graphicData>
            </a:graphic>
          </wp:anchor>
        </w:drawing>
        <w:t>To learn more about Bitfarms’ events, developments, and online communities:</w:t>
      </w:r>
    </w:p>
    <w:p>
      <w:pPr>
        <w:spacing w:after="0" w:line="225"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29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703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37033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 Hill Advisory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Joele Frank, Wilkinson Brimmer Katcher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o"/>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jpe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jpe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2024-08-01T15:12:08Z</dcterms:created>
  <dcterms:modified xsi:type="dcterms:W3CDTF">2024-08-01T15:12:08Z</dcterms:modified>
</cp:coreProperties>
</file>