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1523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152390"/>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Chang Andrew</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460" w:type="dxa"/>
            <w:vAlign w:val="bottom"/>
            <w:tcBorders>
              <w:top w:val="single" w:sz="8" w:color="0000EE"/>
              <w:bottom w:val="single" w:sz="8" w:color="9A9A9A"/>
            </w:tcBorders>
          </w:tcPr>
          <w:p>
            <w:pPr>
              <w:spacing w:after="0"/>
              <w:rPr>
                <w:sz w:val="17"/>
                <w:szCs w:val="17"/>
                <w:color w:val="auto"/>
              </w:rPr>
            </w:pPr>
          </w:p>
        </w:tc>
        <w:tc>
          <w:tcPr>
            <w:tcW w:w="160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04/01/2026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Keel Infrastructure Corp.</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KEEL</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2697" w:hanging="5"/>
        <w:spacing w:after="0" w:line="402" w:lineRule="auto"/>
        <w:tabs>
          <w:tab w:leader="none" w:pos="481" w:val="left"/>
        </w:tabs>
        <w:numPr>
          <w:ilvl w:val="0"/>
          <w:numId w:val="1"/>
        </w:numPr>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0000FF"/>
        </w:rPr>
        <w:t>BROADWAY SUITE 1075</w:t>
      </w:r>
    </w:p>
    <w:p>
      <w:pPr>
        <w:spacing w:after="0" w:line="163"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37" w:lineRule="exact"/>
        <w:rPr>
          <w:sz w:val="24"/>
          <w:szCs w:val="24"/>
          <w:color w:val="auto"/>
        </w:rPr>
      </w:pPr>
    </w:p>
    <w:p>
      <w:pPr>
        <w:ind w:left="140" w:right="1597"/>
        <w:spacing w:after="0"/>
        <w:rPr>
          <w:sz w:val="20"/>
          <w:szCs w:val="20"/>
          <w:color w:val="auto"/>
        </w:rPr>
      </w:pPr>
      <w:r>
        <w:rPr>
          <w:rFonts w:ascii="Times New Roman" w:cs="Times New Roman" w:eastAsia="Times New Roman" w:hAnsi="Times New Roman"/>
          <w:sz w:val="39"/>
          <w:szCs w:val="39"/>
          <w:color w:val="0000FF"/>
          <w:vertAlign w:val="superscript"/>
        </w:rPr>
        <w:t>NEW</w:t>
      </w:r>
      <w:r>
        <w:rPr>
          <w:rFonts w:ascii="Times New Roman" w:cs="Times New Roman" w:eastAsia="Times New Roman" w:hAnsi="Times New Roman"/>
          <w:sz w:val="20"/>
          <w:szCs w:val="20"/>
          <w:color w:val="0000FF"/>
        </w:rPr>
        <w:t xml:space="preserve"> NY 10004 YORK</w:t>
      </w:r>
    </w:p>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2"/>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7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Common Shares</w:t>
            </w: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760" w:type="dxa"/>
            <w:vAlign w:val="bottom"/>
          </w:tcPr>
          <w:p>
            <w:pPr>
              <w:ind w:left="640"/>
              <w:spacing w:after="0"/>
              <w:rPr>
                <w:sz w:val="20"/>
                <w:szCs w:val="20"/>
                <w:color w:val="auto"/>
              </w:rPr>
            </w:pPr>
            <w:r>
              <w:rPr>
                <w:rFonts w:ascii="Times New Roman" w:cs="Times New Roman" w:eastAsia="Times New Roman" w:hAnsi="Times New Roman"/>
                <w:sz w:val="20"/>
                <w:szCs w:val="20"/>
                <w:color w:val="0000FF"/>
              </w:rPr>
              <w:t>178,685</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20"/>
                <w:szCs w:val="20"/>
                <w:color w:val="0000FF"/>
              </w:rPr>
              <w:t>D</w:t>
            </w:r>
          </w:p>
        </w:tc>
        <w:tc>
          <w:tcPr>
            <w:tcW w:w="9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4500" w:type="dxa"/>
            <w:vAlign w:val="bottom"/>
            <w:tcBorders>
              <w:bottom w:val="single" w:sz="8" w:color="2C2C2C"/>
            </w:tcBorders>
            <w:gridSpan w:val="4"/>
          </w:tcPr>
          <w:p>
            <w:pPr>
              <w:spacing w:after="0"/>
              <w:rPr>
                <w:sz w:val="9"/>
                <w:szCs w:val="9"/>
                <w:color w:val="auto"/>
              </w:rPr>
            </w:pPr>
          </w:p>
        </w:tc>
        <w:tc>
          <w:tcPr>
            <w:tcW w:w="1000" w:type="dxa"/>
            <w:vAlign w:val="bottom"/>
            <w:tcBorders>
              <w:bottom w:val="single" w:sz="8" w:color="2C2C2C"/>
            </w:tcBorders>
            <w:gridSpan w:val="2"/>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14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5500" w:type="dxa"/>
            <w:vAlign w:val="bottom"/>
            <w:tcBorders>
              <w:top w:val="single" w:sz="8" w:color="2C2C2C"/>
            </w:tcBorders>
            <w:gridSpan w:val="6"/>
          </w:tcPr>
          <w:p>
            <w:pPr>
              <w:ind w:left="1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2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6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26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260" w:type="dxa"/>
            <w:vAlign w:val="bottom"/>
          </w:tcPr>
          <w:p>
            <w:pPr>
              <w:spacing w:after="0"/>
              <w:rPr>
                <w:sz w:val="18"/>
                <w:szCs w:val="18"/>
                <w:color w:val="auto"/>
              </w:rPr>
            </w:pP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700" w:type="dxa"/>
            <w:vAlign w:val="bottom"/>
            <w:gridSpan w:val="3"/>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7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260" w:type="dxa"/>
            <w:vAlign w:val="bottom"/>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760" w:type="dxa"/>
            <w:vAlign w:val="bottom"/>
          </w:tcPr>
          <w:p>
            <w:pPr>
              <w:spacing w:after="0"/>
              <w:rPr>
                <w:sz w:val="5"/>
                <w:szCs w:val="5"/>
                <w:color w:val="auto"/>
              </w:rPr>
            </w:pPr>
          </w:p>
        </w:tc>
        <w:tc>
          <w:tcPr>
            <w:tcW w:w="940" w:type="dxa"/>
            <w:vAlign w:val="bottom"/>
            <w:gridSpan w:val="2"/>
            <w:vMerge w:val="restart"/>
          </w:tcPr>
          <w:p>
            <w:pPr>
              <w:ind w:left="16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94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940" w:type="dxa"/>
            <w:vAlign w:val="bottom"/>
            <w:gridSpan w:val="2"/>
          </w:tcPr>
          <w:p>
            <w:pPr>
              <w:ind w:left="16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940" w:type="dxa"/>
            <w:vAlign w:val="bottom"/>
            <w:gridSpan w:val="2"/>
          </w:tcPr>
          <w:p>
            <w:pPr>
              <w:ind w:left="160"/>
              <w:spacing w:after="0" w:line="165"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760" w:type="dxa"/>
            <w:vAlign w:val="bottom"/>
          </w:tcPr>
          <w:p>
            <w:pPr>
              <w:spacing w:after="0"/>
              <w:rPr>
                <w:sz w:val="14"/>
                <w:szCs w:val="14"/>
                <w:color w:val="auto"/>
              </w:rPr>
            </w:pPr>
          </w:p>
        </w:tc>
        <w:tc>
          <w:tcPr>
            <w:tcW w:w="940" w:type="dxa"/>
            <w:vAlign w:val="bottom"/>
            <w:gridSpan w:val="2"/>
          </w:tcPr>
          <w:p>
            <w:pPr>
              <w:ind w:left="16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6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940" w:type="dxa"/>
            <w:vAlign w:val="bottom"/>
            <w:gridSpan w:val="2"/>
          </w:tcPr>
          <w:p>
            <w:pPr>
              <w:ind w:left="16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Stock Options (Right to Buy)</w:t>
            </w:r>
          </w:p>
        </w:tc>
        <w:tc>
          <w:tcPr>
            <w:tcW w:w="1240" w:type="dxa"/>
            <w:vAlign w:val="bottom"/>
            <w:tcBorders>
              <w:bottom w:val="single" w:sz="8" w:color="2C2C2C"/>
            </w:tcBorders>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(1)</w:t>
            </w:r>
          </w:p>
        </w:tc>
        <w:tc>
          <w:tcPr>
            <w:tcW w:w="8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w w:val="99"/>
              </w:rPr>
              <w:t>12/18/2029</w:t>
            </w:r>
          </w:p>
        </w:tc>
        <w:tc>
          <w:tcPr>
            <w:tcW w:w="17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20"/>
                <w:szCs w:val="20"/>
                <w:color w:val="0000FF"/>
              </w:rPr>
              <w:t>Common Shares</w:t>
            </w:r>
          </w:p>
        </w:tc>
        <w:tc>
          <w:tcPr>
            <w:tcW w:w="88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20"/>
                <w:szCs w:val="20"/>
                <w:color w:val="0000FF"/>
              </w:rPr>
              <w:t>150,000</w:t>
            </w:r>
          </w:p>
        </w:tc>
        <w:tc>
          <w:tcPr>
            <w:tcW w:w="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jc w:val="center"/>
              <w:ind w:right="164"/>
              <w:spacing w:after="0"/>
              <w:rPr>
                <w:sz w:val="20"/>
                <w:szCs w:val="20"/>
                <w:color w:val="auto"/>
              </w:rPr>
            </w:pPr>
            <w:r>
              <w:rPr>
                <w:rFonts w:ascii="Times New Roman" w:cs="Times New Roman" w:eastAsia="Times New Roman" w:hAnsi="Times New Roman"/>
                <w:sz w:val="20"/>
                <w:szCs w:val="20"/>
                <w:color w:val="0000FF"/>
              </w:rPr>
              <w:t>1.87</w:t>
            </w:r>
            <w:r>
              <w:rPr>
                <w:rFonts w:ascii="Times New Roman" w:cs="Times New Roman" w:eastAsia="Times New Roman" w:hAnsi="Times New Roman"/>
                <w:sz w:val="25"/>
                <w:szCs w:val="25"/>
                <w:color w:val="008000"/>
                <w:vertAlign w:val="superscript"/>
              </w:rPr>
              <w:t>(2)</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Options (Right to Buy)</w:t>
            </w:r>
          </w:p>
        </w:tc>
        <w:tc>
          <w:tcPr>
            <w:tcW w:w="124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(3)</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9"/>
              </w:rPr>
              <w:t>12/18/2029</w:t>
            </w:r>
          </w:p>
        </w:tc>
        <w:tc>
          <w:tcPr>
            <w:tcW w:w="1760" w:type="dxa"/>
            <w:vAlign w:val="bottom"/>
          </w:tcPr>
          <w:p>
            <w:pPr>
              <w:ind w:left="280"/>
              <w:spacing w:after="0"/>
              <w:rPr>
                <w:sz w:val="20"/>
                <w:szCs w:val="20"/>
                <w:color w:val="auto"/>
              </w:rPr>
            </w:pPr>
            <w:r>
              <w:rPr>
                <w:rFonts w:ascii="Times New Roman" w:cs="Times New Roman" w:eastAsia="Times New Roman" w:hAnsi="Times New Roman"/>
                <w:sz w:val="20"/>
                <w:szCs w:val="20"/>
                <w:color w:val="0000FF"/>
              </w:rPr>
              <w:t>Common Shares</w:t>
            </w:r>
          </w:p>
        </w:tc>
        <w:tc>
          <w:tcPr>
            <w:tcW w:w="880" w:type="dxa"/>
            <w:vAlign w:val="bottom"/>
          </w:tcPr>
          <w:p>
            <w:pPr>
              <w:jc w:val="right"/>
              <w:ind w:right="37"/>
              <w:spacing w:after="0"/>
              <w:rPr>
                <w:sz w:val="20"/>
                <w:szCs w:val="20"/>
                <w:color w:val="auto"/>
              </w:rPr>
            </w:pPr>
            <w:r>
              <w:rPr>
                <w:rFonts w:ascii="Times New Roman" w:cs="Times New Roman" w:eastAsia="Times New Roman" w:hAnsi="Times New Roman"/>
                <w:sz w:val="20"/>
                <w:szCs w:val="20"/>
                <w:color w:val="0000FF"/>
              </w:rPr>
              <w:t>60,000</w:t>
            </w:r>
          </w:p>
        </w:tc>
        <w:tc>
          <w:tcPr>
            <w:tcW w:w="60" w:type="dxa"/>
            <w:vAlign w:val="bottom"/>
          </w:tcPr>
          <w:p>
            <w:pPr>
              <w:spacing w:after="0"/>
              <w:rPr>
                <w:sz w:val="24"/>
                <w:szCs w:val="24"/>
                <w:color w:val="auto"/>
              </w:rPr>
            </w:pPr>
          </w:p>
        </w:tc>
        <w:tc>
          <w:tcPr>
            <w:tcW w:w="940" w:type="dxa"/>
            <w:vAlign w:val="bottom"/>
          </w:tcPr>
          <w:p>
            <w:pPr>
              <w:jc w:val="right"/>
              <w:ind w:right="344"/>
              <w:spacing w:after="0"/>
              <w:rPr>
                <w:sz w:val="20"/>
                <w:szCs w:val="20"/>
                <w:color w:val="auto"/>
              </w:rPr>
            </w:pPr>
            <w:r>
              <w:rPr>
                <w:rFonts w:ascii="Times New Roman" w:cs="Times New Roman" w:eastAsia="Times New Roman" w:hAnsi="Times New Roman"/>
                <w:sz w:val="13"/>
                <w:szCs w:val="13"/>
                <w:color w:val="008000"/>
              </w:rPr>
              <w:t>(2)</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6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 w:lineRule="exact"/>
        <w:rPr>
          <w:sz w:val="24"/>
          <w:szCs w:val="24"/>
          <w:color w:val="auto"/>
        </w:rPr>
      </w:pPr>
    </w:p>
    <w:p>
      <w:pPr>
        <w:ind w:left="40" w:right="8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On December 18, 2024, the reporting person was granted 150, 000 stock options which vest in equal installments on December 18, 2024, May 20, 2025, on quarter on November 20, 2025 and one quarter on May 20, 2026.</w:t>
      </w:r>
    </w:p>
    <w:p>
      <w:pPr>
        <w:spacing w:after="0" w:line="17"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price was converted into its U.S. Dollar equivalent using the Bank of Canada daily exchange rate on March 30, 2026 (at CAD 1.00 = USD 0.718).</w:t>
      </w:r>
    </w:p>
    <w:p>
      <w:pPr>
        <w:spacing w:after="0" w:line="52" w:lineRule="exact"/>
        <w:rPr>
          <w:rFonts w:ascii="Times New Roman" w:cs="Times New Roman" w:eastAsia="Times New Roman" w:hAnsi="Times New Roman"/>
          <w:sz w:val="15"/>
          <w:szCs w:val="15"/>
          <w:color w:val="008000"/>
        </w:rPr>
      </w:pPr>
    </w:p>
    <w:p>
      <w:pPr>
        <w:ind w:left="40" w:right="26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On December 18, 2024, the reporting person was granted 60,000 stock options which vest in equal installments at December 18, 2024, May 20, 2025, November 20, 2025 and May 20, 2026.</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List - Exhibit 24.1 Power of Attorney</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Rachel Silverstein, as</w:t>
            </w:r>
          </w:p>
        </w:tc>
        <w:tc>
          <w:tcPr>
            <w:tcW w:w="26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04/01/2026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4"/>
          <w:szCs w:val="24"/>
          <w:b w:val="1"/>
          <w:bCs w:val="1"/>
          <w:color w:val="auto"/>
        </w:rPr>
        <w:t>Power of Attorney</w:t>
      </w:r>
    </w:p>
    <w:p>
      <w:pPr>
        <w:spacing w:after="0" w:line="240" w:lineRule="exact"/>
        <w:rPr>
          <w:sz w:val="20"/>
          <w:szCs w:val="20"/>
          <w:color w:val="auto"/>
        </w:rPr>
      </w:pPr>
    </w:p>
    <w:p>
      <w:pPr>
        <w:jc w:val="both"/>
        <w:ind w:firstLine="720"/>
        <w:spacing w:after="0" w:line="245" w:lineRule="auto"/>
        <w:rPr>
          <w:sz w:val="20"/>
          <w:szCs w:val="20"/>
          <w:color w:val="auto"/>
        </w:rPr>
      </w:pPr>
      <w:r>
        <w:rPr>
          <w:rFonts w:ascii="Times New Roman" w:cs="Times New Roman" w:eastAsia="Times New Roman" w:hAnsi="Times New Roman"/>
          <w:sz w:val="24"/>
          <w:szCs w:val="24"/>
          <w:color w:val="auto"/>
        </w:rPr>
        <w:t>Know all by these presents, that the undersigned hereby makes, constitutes and appoints each of Rachel Silverstein and Rob Lovett, with full power of substitution and re-substitution, acting individually, as the undersigned’s true and lawful attorney-in-fact, with full power and authority as hereinafter described on behalf of and in the name, place and stead of the undersigned to:</w:t>
      </w:r>
    </w:p>
    <w:p>
      <w:pPr>
        <w:spacing w:after="0" w:line="194" w:lineRule="exact"/>
        <w:rPr>
          <w:sz w:val="20"/>
          <w:szCs w:val="20"/>
          <w:color w:val="auto"/>
        </w:rPr>
      </w:pPr>
    </w:p>
    <w:p>
      <w:pPr>
        <w:jc w:val="both"/>
        <w:ind w:left="1440" w:hanging="720"/>
        <w:spacing w:after="0" w:line="238" w:lineRule="auto"/>
        <w:tabs>
          <w:tab w:leader="none" w:pos="1440" w:val="left"/>
        </w:tabs>
        <w:numPr>
          <w:ilvl w:val="0"/>
          <w:numId w:val="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obtain credentials (including codes or passwords) to enable the undersigned to submit and file documents, forms and information required by Section 16(a) of the Securities Exchange Act of 1934, as amended (the “</w:t>
      </w:r>
      <w:r>
        <w:rPr>
          <w:rFonts w:ascii="Times New Roman" w:cs="Times New Roman" w:eastAsia="Times New Roman" w:hAnsi="Times New Roman"/>
          <w:sz w:val="24"/>
          <w:szCs w:val="24"/>
          <w:u w:val="single" w:color="auto"/>
          <w:color w:val="auto"/>
        </w:rPr>
        <w:t>Exchange Act</w:t>
      </w:r>
      <w:r>
        <w:rPr>
          <w:rFonts w:ascii="Times New Roman" w:cs="Times New Roman" w:eastAsia="Times New Roman" w:hAnsi="Times New Roman"/>
          <w:sz w:val="24"/>
          <w:szCs w:val="24"/>
          <w:color w:val="auto"/>
        </w:rPr>
        <w:t>”), or any rule or regulation of the U.S. Securities and Exchange Commission (“</w:t>
      </w:r>
      <w:r>
        <w:rPr>
          <w:rFonts w:ascii="Times New Roman" w:cs="Times New Roman" w:eastAsia="Times New Roman" w:hAnsi="Times New Roman"/>
          <w:sz w:val="24"/>
          <w:szCs w:val="24"/>
          <w:u w:val="single" w:color="auto"/>
          <w:color w:val="auto"/>
        </w:rPr>
        <w:t>SEC</w:t>
      </w:r>
      <w:r>
        <w:rPr>
          <w:rFonts w:ascii="Times New Roman" w:cs="Times New Roman" w:eastAsia="Times New Roman" w:hAnsi="Times New Roman"/>
          <w:sz w:val="24"/>
          <w:szCs w:val="24"/>
          <w:color w:val="auto"/>
        </w:rPr>
        <w:t>”) via the Electronic Data Gathering and Retrieval (“</w:t>
      </w:r>
      <w:r>
        <w:rPr>
          <w:rFonts w:ascii="Times New Roman" w:cs="Times New Roman" w:eastAsia="Times New Roman" w:hAnsi="Times New Roman"/>
          <w:sz w:val="24"/>
          <w:szCs w:val="24"/>
          <w:u w:val="single" w:color="auto"/>
          <w:color w:val="auto"/>
        </w:rPr>
        <w:t>EDGAR</w:t>
      </w:r>
      <w:r>
        <w:rPr>
          <w:rFonts w:ascii="Times New Roman" w:cs="Times New Roman" w:eastAsia="Times New Roman" w:hAnsi="Times New Roman"/>
          <w:sz w:val="24"/>
          <w:szCs w:val="24"/>
          <w:color w:val="auto"/>
        </w:rPr>
        <w:t>”) system, including: (i) preparing, executing in the undersigned’s name and on the undersigned’s behalf and submitting to the SEC a Form ID (and any amendments thereto) or any other documents necessary or appropriate to obtain such credentials and legally binding the undersigned for purpose of the Form ID or such other documents; and (ii) enrolling the undersigned in EDGAR Next or any successor filing system;</w:t>
      </w:r>
    </w:p>
    <w:p>
      <w:pPr>
        <w:spacing w:after="0" w:line="208" w:lineRule="exact"/>
        <w:rPr>
          <w:rFonts w:ascii="Times New Roman" w:cs="Times New Roman" w:eastAsia="Times New Roman" w:hAnsi="Times New Roman"/>
          <w:sz w:val="24"/>
          <w:szCs w:val="24"/>
          <w:color w:val="auto"/>
        </w:rPr>
      </w:pPr>
    </w:p>
    <w:p>
      <w:pPr>
        <w:jc w:val="both"/>
        <w:ind w:left="1440" w:hanging="720"/>
        <w:spacing w:after="0" w:line="241" w:lineRule="auto"/>
        <w:tabs>
          <w:tab w:leader="none" w:pos="1440" w:val="left"/>
        </w:tabs>
        <w:numPr>
          <w:ilvl w:val="0"/>
          <w:numId w:val="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act as an account administrator for the undersigned’s EDGAR account, including: (i) appointing, removing and replacing account administrators, technical administrators, account users and delegated entities; (ii) maintaining the security of the undersigned’s EDGAR account, including modification of access codes; (iii) maintaining, modifying and certifying the accuracy of information on the undersigned’s EDGAR account dashboard; and (iv) taking any other actions contemplated by Rule 10 of Regulation S-T;</w:t>
      </w:r>
    </w:p>
    <w:p>
      <w:pPr>
        <w:spacing w:after="0" w:line="198" w:lineRule="exact"/>
        <w:rPr>
          <w:rFonts w:ascii="Times New Roman" w:cs="Times New Roman" w:eastAsia="Times New Roman" w:hAnsi="Times New Roman"/>
          <w:sz w:val="24"/>
          <w:szCs w:val="24"/>
          <w:color w:val="auto"/>
        </w:rPr>
      </w:pPr>
    </w:p>
    <w:p>
      <w:pPr>
        <w:jc w:val="both"/>
        <w:ind w:left="1440" w:hanging="720"/>
        <w:spacing w:after="0" w:line="242" w:lineRule="auto"/>
        <w:tabs>
          <w:tab w:leader="none" w:pos="1440" w:val="left"/>
        </w:tabs>
        <w:numPr>
          <w:ilvl w:val="0"/>
          <w:numId w:val="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execute for, and on behalf of, the undersigned, in the undersigned’s capacity as an officer and/or director of Keel Infrastructure Corp. (the “</w:t>
      </w:r>
      <w:r>
        <w:rPr>
          <w:rFonts w:ascii="Times New Roman" w:cs="Times New Roman" w:eastAsia="Times New Roman" w:hAnsi="Times New Roman"/>
          <w:sz w:val="24"/>
          <w:szCs w:val="24"/>
          <w:u w:val="single" w:color="auto"/>
          <w:color w:val="auto"/>
        </w:rPr>
        <w:t>Company</w:t>
      </w:r>
      <w:r>
        <w:rPr>
          <w:rFonts w:ascii="Times New Roman" w:cs="Times New Roman" w:eastAsia="Times New Roman" w:hAnsi="Times New Roman"/>
          <w:sz w:val="24"/>
          <w:szCs w:val="24"/>
          <w:color w:val="auto"/>
        </w:rPr>
        <w:t>”), Form 3, 4 or 5 relating to the Company in accordance with Section 16(a) of the Exchange Act and the rules and regulations promulgated thereunder and Form 144 in accordance with Rule 144 under the Securities Act of 1933, as amended (the “</w:t>
      </w:r>
      <w:r>
        <w:rPr>
          <w:rFonts w:ascii="Times New Roman" w:cs="Times New Roman" w:eastAsia="Times New Roman" w:hAnsi="Times New Roman"/>
          <w:sz w:val="24"/>
          <w:szCs w:val="24"/>
          <w:u w:val="single" w:color="auto"/>
          <w:color w:val="auto"/>
        </w:rPr>
        <w:t>Securities Act</w:t>
      </w:r>
      <w:r>
        <w:rPr>
          <w:rFonts w:ascii="Times New Roman" w:cs="Times New Roman" w:eastAsia="Times New Roman" w:hAnsi="Times New Roman"/>
          <w:sz w:val="24"/>
          <w:szCs w:val="24"/>
          <w:color w:val="auto"/>
        </w:rPr>
        <w:t>”);</w:t>
      </w:r>
    </w:p>
    <w:p>
      <w:pPr>
        <w:spacing w:after="0" w:line="199" w:lineRule="exact"/>
        <w:rPr>
          <w:rFonts w:ascii="Times New Roman" w:cs="Times New Roman" w:eastAsia="Times New Roman" w:hAnsi="Times New Roman"/>
          <w:sz w:val="24"/>
          <w:szCs w:val="24"/>
          <w:color w:val="auto"/>
        </w:rPr>
      </w:pPr>
    </w:p>
    <w:p>
      <w:pPr>
        <w:jc w:val="both"/>
        <w:ind w:left="1440" w:hanging="720"/>
        <w:spacing w:after="0" w:line="242" w:lineRule="auto"/>
        <w:tabs>
          <w:tab w:leader="none" w:pos="1440" w:val="left"/>
        </w:tabs>
        <w:numPr>
          <w:ilvl w:val="0"/>
          <w:numId w:val="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do and perform any and all acts for, and on behalf of, the undersigned that may be necessary or desirable to prepare, complete and execute any such Form 3, 4 or 5 or Form 144 and any amendments thereto or other required reports and timely file such forms or reports with the SEC and any stock exchange or similar authority as considered necessary or advisable under Section 16(a) of the Exchange Act or Rule 144 under the Securities Act; and</w:t>
      </w:r>
    </w:p>
    <w:p>
      <w:pPr>
        <w:spacing w:after="0" w:line="199" w:lineRule="exact"/>
        <w:rPr>
          <w:rFonts w:ascii="Times New Roman" w:cs="Times New Roman" w:eastAsia="Times New Roman" w:hAnsi="Times New Roman"/>
          <w:sz w:val="24"/>
          <w:szCs w:val="24"/>
          <w:color w:val="auto"/>
        </w:rPr>
      </w:pPr>
    </w:p>
    <w:p>
      <w:pPr>
        <w:jc w:val="both"/>
        <w:ind w:left="1440" w:hanging="720"/>
        <w:spacing w:after="0" w:line="241" w:lineRule="auto"/>
        <w:tabs>
          <w:tab w:leader="none" w:pos="1440" w:val="left"/>
        </w:tabs>
        <w:numPr>
          <w:ilvl w:val="0"/>
          <w:numId w:val="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take any other action of any type whatsoever in connection with the foregoing that,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sole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421005</wp:posOffset>
            </wp:positionV>
            <wp:extent cx="6946900" cy="19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10940"/>
          </w:cols>
          <w:pgMar w:left="480" w:top="584" w:right="479" w:bottom="1440" w:gutter="0" w:footer="0" w:header="0"/>
        </w:sectPr>
      </w:pPr>
    </w:p>
    <w:bookmarkStart w:id="2" w:name="page3"/>
    <w:bookmarkEnd w:id="2"/>
    <w:p>
      <w:pPr>
        <w:jc w:val="both"/>
        <w:ind w:firstLine="720"/>
        <w:spacing w:after="0" w:line="238" w:lineRule="auto"/>
        <w:rPr>
          <w:sz w:val="20"/>
          <w:szCs w:val="20"/>
          <w:color w:val="auto"/>
        </w:rPr>
      </w:pPr>
      <w:r>
        <w:rPr>
          <w:rFonts w:ascii="Times New Roman" w:cs="Times New Roman" w:eastAsia="Times New Roman" w:hAnsi="Times New Roman"/>
          <w:sz w:val="24"/>
          <w:szCs w:val="24"/>
          <w:color w:val="auto"/>
        </w:rPr>
        <w:t>The undersigned hereby acknowledges that: (i) the foregoing attorneys-in-fact are serving in such capacity at the request of the undersigned; (ii) this Power of Attorney authorizes, but does not require, each such attorney-in-fact to act in his or her discretion on information provided to such attorney-in-fact without independent verification of such information; (iii) any documents prepared and/or executed by any attorney-in-fact on behalf of the undersigned pursuant to this Power of Attorney shall be in such form and shall contain such information and disclosure as such attorney-in-fact, in his or her sole discretion, deems necessary or advisable;</w:t>
      </w:r>
    </w:p>
    <w:p>
      <w:pPr>
        <w:spacing w:after="0" w:line="5" w:lineRule="exact"/>
        <w:rPr>
          <w:sz w:val="20"/>
          <w:szCs w:val="20"/>
          <w:color w:val="auto"/>
        </w:rPr>
      </w:pPr>
    </w:p>
    <w:p>
      <w:pPr>
        <w:jc w:val="both"/>
        <w:spacing w:after="0" w:line="237" w:lineRule="auto"/>
        <w:tabs>
          <w:tab w:leader="none" w:pos="412" w:val="left"/>
        </w:tabs>
        <w:numPr>
          <w:ilvl w:val="0"/>
          <w:numId w:val="7"/>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neither the Company nor any attorney-in-fact assumes (a) any liability for the undersigned’s responsibility to comply with the requirements of the Exchange Act or the Securities Act, (b) any liability of the undersigned for any failure to comply with such requirements or (c) any obligation or liability of the undersigned for profit disgorgement under Section 16(b) of the Exchange Act; and (v) this Power of Attorney does not relieve the undersigned from responsibility for compliance with the undersigned’s obligations under the Exchange Act or the Securities Act, including, without limitation, the reporting requirements under Section 16(a) of the Exchange Act.</w:t>
      </w:r>
    </w:p>
    <w:p>
      <w:pPr>
        <w:spacing w:after="0" w:line="200" w:lineRule="exact"/>
        <w:rPr>
          <w:sz w:val="20"/>
          <w:szCs w:val="20"/>
          <w:color w:val="auto"/>
        </w:rPr>
      </w:pPr>
    </w:p>
    <w:p>
      <w:pPr>
        <w:jc w:val="both"/>
        <w:ind w:firstLine="720"/>
        <w:spacing w:after="0" w:line="245" w:lineRule="auto"/>
        <w:rPr>
          <w:sz w:val="20"/>
          <w:szCs w:val="20"/>
          <w:color w:val="auto"/>
        </w:rPr>
      </w:pPr>
      <w:r>
        <w:rPr>
          <w:rFonts w:ascii="Times New Roman" w:cs="Times New Roman" w:eastAsia="Times New Roman" w:hAnsi="Times New Roman"/>
          <w:sz w:val="24"/>
          <w:szCs w:val="24"/>
          <w:color w:val="auto"/>
        </w:rPr>
        <w:t>This Power of Attorney shall remain in full force and effect until the undersigned is no longer required to file Forms 3, 4 and 5 or Form 144 with respect to the undersigned’s holdings of, and transactions in, securities issued by the Company, unless earlier revoked as to any attorney-in-fact by the undersigned in a signed writing delivered to such attorney-in-fact.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Signature Page Follows</w:t>
      </w:r>
      <w:r>
        <w:rPr>
          <w:rFonts w:ascii="Times New Roman" w:cs="Times New Roman" w:eastAsia="Times New Roman" w:hAnsi="Times New Roman"/>
          <w:sz w:val="24"/>
          <w:szCs w:val="2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598805</wp:posOffset>
            </wp:positionV>
            <wp:extent cx="6946900" cy="19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10940"/>
          </w:cols>
          <w:pgMar w:left="480" w:top="350" w:right="479" w:bottom="1440" w:gutter="0" w:footer="0" w:header="0"/>
        </w:sectPr>
      </w:pPr>
    </w:p>
    <w:bookmarkStart w:id="3" w:name="page4"/>
    <w:bookmarkEnd w:id="3"/>
    <w:p>
      <w:pPr>
        <w:ind w:firstLine="720"/>
        <w:spacing w:after="0" w:line="266" w:lineRule="auto"/>
        <w:rPr>
          <w:sz w:val="20"/>
          <w:szCs w:val="20"/>
          <w:color w:val="auto"/>
        </w:rPr>
      </w:pPr>
      <w:r>
        <w:rPr>
          <w:rFonts w:ascii="Times New Roman" w:cs="Times New Roman" w:eastAsia="Times New Roman" w:hAnsi="Times New Roman"/>
          <w:sz w:val="24"/>
          <w:szCs w:val="24"/>
          <w:color w:val="auto"/>
        </w:rPr>
        <w:t>IN WITNESS WHEREOF, the undersigned has caused this Power of Attorney to be executed as of this 31 day of March, 2026.</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5080"/>
        <w:spacing w:after="0"/>
        <w:tabs>
          <w:tab w:leader="none" w:pos="5840" w:val="left"/>
        </w:tabs>
        <w:rPr>
          <w:sz w:val="20"/>
          <w:szCs w:val="20"/>
          <w:color w:val="auto"/>
        </w:rPr>
      </w:pPr>
      <w:r>
        <w:rPr>
          <w:rFonts w:ascii="Times New Roman" w:cs="Times New Roman" w:eastAsia="Times New Roman" w:hAnsi="Times New Roman"/>
          <w:sz w:val="24"/>
          <w:szCs w:val="24"/>
          <w:color w:val="auto"/>
        </w:rPr>
        <w:t>By:</w:t>
      </w:r>
      <w:r>
        <w:rPr>
          <w:sz w:val="20"/>
          <w:szCs w:val="20"/>
          <w:color w:val="auto"/>
        </w:rPr>
        <w:tab/>
      </w:r>
      <w:r>
        <w:rPr>
          <w:rFonts w:ascii="Times New Roman" w:cs="Times New Roman" w:eastAsia="Times New Roman" w:hAnsi="Times New Roman"/>
          <w:sz w:val="24"/>
          <w:szCs w:val="24"/>
          <w:color w:val="auto"/>
        </w:rPr>
        <w:t>/s/ Andrew J.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15240</wp:posOffset>
            </wp:positionV>
            <wp:extent cx="2153920" cy="19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153920" cy="19050"/>
                    </a:xfrm>
                    <a:prstGeom prst="rect">
                      <a:avLst/>
                    </a:prstGeom>
                    <a:noFill/>
                  </pic:spPr>
                </pic:pic>
              </a:graphicData>
            </a:graphic>
          </wp:anchor>
        </w:drawing>
      </w:r>
    </w:p>
    <w:p>
      <w:pPr>
        <w:spacing w:after="0" w:line="16"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4"/>
          <w:szCs w:val="24"/>
          <w:color w:val="auto"/>
        </w:rPr>
        <w:t>Name: Andrew J. Chang</w:t>
      </w:r>
    </w:p>
    <w:sectPr>
      <w:pgSz w:w="11900" w:h="16838" w:orient="portrait"/>
      <w:cols w:equalWidth="0" w:num="1">
        <w:col w:w="10920"/>
      </w:cols>
      <w:pgMar w:left="480" w:top="110"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120"/>
    </w:lvl>
  </w:abstractNum>
  <w:abstractNum w:abstractNumId="1">
    <w:nsid w:val="238E1F29"/>
    <w:multiLevelType w:val="hybridMultilevel"/>
    <w:lvl w:ilvl="0">
      <w:lvlJc w:val="left"/>
      <w:lvlText w:val="%1."/>
      <w:numFmt w:val="decimal"/>
      <w:start w:val="4"/>
    </w:lvl>
  </w:abstractNum>
  <w:abstractNum w:abstractNumId="2">
    <w:nsid w:val="46E87CCD"/>
    <w:multiLevelType w:val="hybridMultilevel"/>
    <w:lvl w:ilvl="0">
      <w:lvlJc w:val="left"/>
      <w:lvlText w:val="%1."/>
      <w:numFmt w:val="decimal"/>
      <w:start w:val="5"/>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0" Type="http://schemas.openxmlformats.org/officeDocument/2006/relationships/hyperlink" Target="http://www.sec.gov/cgi-bin/browse-edgar?action=getcompany&amp;CIK=0002115912" TargetMode="External"/><Relationship Id="rId11" Type="http://schemas.openxmlformats.org/officeDocument/2006/relationships/hyperlink" Target="http://www.sec.gov/cgi-bin/browse-edgar?action=getcompany&amp;CIK=000181247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2026-04-01T20:12:55Z</dcterms:created>
  <dcterms:modified xsi:type="dcterms:W3CDTF">2026-04-01T20:12:55Z</dcterms:modified>
</cp:coreProperties>
</file>