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0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including the interim condensed consolidated financial statements for the three months ended March 31, 2025 and management’s discussion and analysis for the three months ended March 31, 2025, shall be deemed to be incorporated by reference as exhibits 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Form S-8 (File No. </w:t>
      </w:r>
      <w:hyperlink r:id="rId20">
        <w:r>
          <w:rPr>
            <w:rFonts w:ascii="Times New Roman" w:cs="Times New Roman" w:eastAsia="Times New Roman" w:hAnsi="Times New Roman"/>
            <w:sz w:val="18"/>
            <w:szCs w:val="18"/>
            <w:color w:val="0000EE"/>
          </w:rPr>
          <w:t>333-278868</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File No. </w:t>
      </w:r>
      <w:hyperlink r:id="rId21">
        <w:r>
          <w:rPr>
            <w:rFonts w:ascii="Times New Roman" w:cs="Times New Roman" w:eastAsia="Times New Roman" w:hAnsi="Times New Roman"/>
            <w:sz w:val="18"/>
            <w:szCs w:val="18"/>
            <w:u w:val="single" w:color="auto"/>
            <w:color w:val="0000EE"/>
          </w:rPr>
          <w:t>333-285894</w:t>
        </w:r>
      </w:hyperlink>
      <w:r>
        <w:rPr>
          <w:rFonts w:ascii="Times New Roman" w:cs="Times New Roman" w:eastAsia="Times New Roman" w:hAnsi="Times New Roman"/>
          <w:sz w:val="18"/>
          <w:szCs w:val="18"/>
          <w:color w:val="auto"/>
        </w:rPr>
        <w:t>) and to be a part thereof from the date on which this report was furnished,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4172585</wp:posOffset>
            </wp:positionH>
            <wp:positionV relativeFrom="paragraph">
              <wp:posOffset>-173990</wp:posOffset>
            </wp:positionV>
            <wp:extent cx="580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6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100" w:type="dxa"/>
            <w:vAlign w:val="bottom"/>
            <w:tcBorders>
              <w:top w:val="single" w:sz="8" w:color="auto"/>
              <w:bottom w:val="single" w:sz="8" w:color="0000EE"/>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Financial Statements for the three months ended March 31, 2025</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100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months ended March 31, 2025</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7"/>
                <w:szCs w:val="17"/>
                <w:color w:val="auto"/>
              </w:rPr>
            </w:pPr>
          </w:p>
        </w:tc>
        <w:tc>
          <w:tcPr>
            <w:tcW w:w="100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CEO Certification of Interim Filings - Interim Certificate dated May 14, 2025</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top w:val="single" w:sz="8" w:color="CCEEFF"/>
            </w:tcBorders>
          </w:tcPr>
          <w:p>
            <w:pPr>
              <w:spacing w:after="0"/>
              <w:rPr>
                <w:sz w:val="15"/>
                <w:szCs w:val="15"/>
                <w:color w:val="auto"/>
              </w:rPr>
            </w:pPr>
          </w:p>
        </w:tc>
        <w:tc>
          <w:tcPr>
            <w:tcW w:w="5600" w:type="dxa"/>
            <w:vAlign w:val="bottom"/>
            <w:tcBorders>
              <w:top w:val="single" w:sz="8" w:color="0000EE"/>
              <w:bottom w:val="single" w:sz="8" w:color="0000EE"/>
            </w:tcBorders>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CFO Certification of Interim Filings - Interim Certificate dated May 14, 2025</w:t>
            </w:r>
          </w:p>
        </w:tc>
        <w:tc>
          <w:tcPr>
            <w:tcW w:w="4400" w:type="dxa"/>
            <w:vAlign w:val="bottom"/>
            <w:tcBorders>
              <w:top w:val="single" w:sz="8" w:color="CCEEFF"/>
            </w:tcBorders>
            <w:gridSpan w:val="3"/>
          </w:tcPr>
          <w:p>
            <w:pPr>
              <w:spacing w:after="0"/>
              <w:rPr>
                <w:sz w:val="15"/>
                <w:szCs w:val="15"/>
                <w:color w:val="auto"/>
              </w:rPr>
            </w:pPr>
          </w:p>
        </w:tc>
      </w:tr>
      <w:tr>
        <w:trPr>
          <w:trHeight w:val="676"/>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2602865</wp:posOffset>
            </wp:positionV>
            <wp:extent cx="305181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0518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40"/>
        <w:spacing w:after="0" w:line="317" w:lineRule="auto"/>
        <w:rPr>
          <w:sz w:val="20"/>
          <w:szCs w:val="20"/>
          <w:color w:val="auto"/>
        </w:rPr>
      </w:pPr>
      <w:r>
        <w:rPr>
          <w:rFonts w:ascii="Times New Roman" w:cs="Times New Roman" w:eastAsia="Times New Roman" w:hAnsi="Times New Roman"/>
          <w:sz w:val="17"/>
          <w:szCs w:val="17"/>
          <w:b w:val="1"/>
          <w:bCs w:val="1"/>
          <w:color w:val="auto"/>
        </w:rPr>
        <w:t>INTERIM CONDENSED CONSOLIDATED FINANCIAL STATEMENTS FOR THE THREE MONTHS ENDED MARCH 31,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8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Financial Position</w:t>
            </w:r>
          </w:p>
        </w:tc>
        <w:tc>
          <w:tcPr>
            <w:tcW w:w="2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Profit or Loss and Comprehensive Profit or Loss</w:t>
            </w:r>
          </w:p>
        </w:tc>
        <w:tc>
          <w:tcPr>
            <w:tcW w:w="224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83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Changes in Equity</w:t>
            </w:r>
          </w:p>
        </w:tc>
        <w:tc>
          <w:tcPr>
            <w:tcW w:w="2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rPr>
                <w:sz w:val="15"/>
                <w:szCs w:val="15"/>
                <w:color w:val="auto"/>
              </w:rPr>
            </w:pPr>
          </w:p>
        </w:tc>
        <w:tc>
          <w:tcPr>
            <w:tcW w:w="83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w:t>
            </w:r>
          </w:p>
        </w:tc>
        <w:tc>
          <w:tcPr>
            <w:tcW w:w="2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18"/>
                <w:szCs w:val="18"/>
                <w:color w:val="auto"/>
              </w:rPr>
            </w:pPr>
          </w:p>
        </w:tc>
        <w:tc>
          <w:tcPr>
            <w:tcW w:w="10260" w:type="dxa"/>
            <w:vAlign w:val="bottom"/>
            <w:tcBorders>
              <w:right w:val="single" w:sz="8" w:color="CCEEFF"/>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Nature of Operations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Liquidity</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35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Significant Accounting Judgments and Estimates</w:t>
            </w:r>
          </w:p>
        </w:tc>
        <w:tc>
          <w:tcPr>
            <w:tcW w:w="672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Business Combination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Sale of the Yguazu Mining Site</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2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Digital Assets</w:t>
            </w:r>
          </w:p>
        </w:tc>
        <w:tc>
          <w:tcPr>
            <w:tcW w:w="8000" w:type="dxa"/>
            <w:vAlign w:val="bottom"/>
            <w:tcBorders>
              <w:top w:val="single" w:sz="8" w:color="CCEEFF"/>
            </w:tcBorders>
            <w:gridSpan w:val="8"/>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Inventories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4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Impairment</w:t>
            </w:r>
          </w:p>
        </w:tc>
        <w:tc>
          <w:tcPr>
            <w:tcW w:w="8800" w:type="dxa"/>
            <w:vAlign w:val="bottom"/>
            <w:tcBorders>
              <w:top w:val="single" w:sz="8" w:color="CCEEFF"/>
            </w:tcBorders>
            <w:gridSpan w:val="15"/>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Long-term Deposits and Equipment Prepayments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5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Refundable Deposits</w:t>
            </w:r>
          </w:p>
        </w:tc>
        <w:tc>
          <w:tcPr>
            <w:tcW w:w="8760" w:type="dxa"/>
            <w:vAlign w:val="bottom"/>
            <w:tcBorders>
              <w:bottom w:val="single" w:sz="8" w:color="CCEEFF"/>
              <w:right w:val="single" w:sz="8" w:color="CCEEFF"/>
            </w:tcBorders>
            <w:gridSpan w:val="14"/>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Trade Payables and Accrued Liabilities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Warrant Liabilities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34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Income Taxes</w:t>
            </w:r>
          </w:p>
        </w:tc>
        <w:tc>
          <w:tcPr>
            <w:tcW w:w="8920" w:type="dxa"/>
            <w:vAlign w:val="bottom"/>
            <w:tcBorders>
              <w:top w:val="single" w:sz="8" w:color="CCEEFF"/>
            </w:tcBorders>
            <w:gridSpan w:val="18"/>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3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Net Loss Per Share</w:t>
            </w:r>
          </w:p>
        </w:tc>
        <w:tc>
          <w:tcPr>
            <w:tcW w:w="8880" w:type="dxa"/>
            <w:vAlign w:val="bottom"/>
            <w:tcBorders>
              <w:bottom w:val="single" w:sz="8" w:color="CCEEFF"/>
              <w:right w:val="single" w:sz="8" w:color="CCEEFF"/>
            </w:tcBorders>
            <w:gridSpan w:val="16"/>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Share-based Payments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62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Additional Details to the Statement of Profit or Loss and Comprehensive Profit or Loss</w:t>
            </w:r>
          </w:p>
        </w:tc>
        <w:tc>
          <w:tcPr>
            <w:tcW w:w="3980" w:type="dxa"/>
            <w:vAlign w:val="bottom"/>
            <w:tcBorders>
              <w:bottom w:val="single" w:sz="8" w:color="CCEEFF"/>
              <w:right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2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Geographical Information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26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36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Commitments, Contingent Liability and Lawsuits</w:t>
            </w:r>
          </w:p>
        </w:tc>
        <w:tc>
          <w:tcPr>
            <w:tcW w:w="6580" w:type="dxa"/>
            <w:vAlign w:val="bottom"/>
            <w:tcBorders>
              <w:top w:val="single" w:sz="8" w:color="CCEEFF"/>
            </w:tcBorders>
            <w:gridSpan w:val="3"/>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3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Subsequent Events</w:t>
            </w:r>
          </w:p>
        </w:tc>
        <w:tc>
          <w:tcPr>
            <w:tcW w:w="890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auto"/>
            </w:tcBorders>
          </w:tcPr>
          <w:p>
            <w:pPr>
              <w:spacing w:after="0"/>
              <w:rPr>
                <w:sz w:val="18"/>
                <w:szCs w:val="18"/>
                <w:color w:val="auto"/>
              </w:rPr>
            </w:pPr>
          </w:p>
        </w:tc>
        <w:tc>
          <w:tcPr>
            <w:tcW w:w="10260" w:type="dxa"/>
            <w:vAlign w:val="bottom"/>
            <w:tcBorders>
              <w:top w:val="single" w:sz="8" w:color="auto"/>
              <w:right w:val="single" w:sz="8" w:color="auto"/>
            </w:tcBorders>
            <w:gridSpan w:val="24"/>
          </w:tcPr>
          <w:p>
            <w:pPr>
              <w:ind w:left="100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FINANCIAL POSITION </w:t>
      </w: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00"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38,546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59,542</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2,680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from disposal of business</w:t>
            </w:r>
          </w:p>
        </w:tc>
        <w:tc>
          <w:tcPr>
            <w:tcW w:w="28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30,178</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6,855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7,285</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9,954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14,554</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8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94,112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87,298</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 restricted</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29,120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32,826</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w:t>
            </w: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4,886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9, 19</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2,325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r>
      <w:tr>
        <w:trPr>
          <w:trHeight w:val="216"/>
        </w:trPr>
        <w:tc>
          <w:tcPr>
            <w:tcW w:w="5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8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w:t>
            </w:r>
          </w:p>
        </w:tc>
        <w:tc>
          <w:tcPr>
            <w:tcW w:w="15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5,608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5,923</w:t>
            </w:r>
          </w:p>
        </w:tc>
      </w:tr>
      <w:tr>
        <w:trPr>
          <w:trHeight w:val="210"/>
        </w:trPr>
        <w:tc>
          <w:tcPr>
            <w:tcW w:w="5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224,264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213,709</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12, 23</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507,190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348,525</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23,700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12,912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56,367</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deposits</w:t>
            </w:r>
          </w:p>
        </w:tc>
        <w:tc>
          <w:tcPr>
            <w:tcW w:w="28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w:t>
            </w: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5,355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r>
        <w:trPr>
          <w:trHeight w:val="216"/>
        </w:trPr>
        <w:tc>
          <w:tcPr>
            <w:tcW w:w="5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3,582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4,039</w:t>
            </w:r>
          </w:p>
        </w:tc>
      </w:tr>
      <w:tr>
        <w:trPr>
          <w:trHeight w:val="216"/>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777,003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57,880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25,894</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8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9, 19</w:t>
            </w: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773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520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3,316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obligation</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20,073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16</w:t>
            </w: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2,396</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10"/>
        </w:trPr>
        <w:tc>
          <w:tcPr>
            <w:tcW w:w="56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85,031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36,270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1,915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19,937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3,323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8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112,294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59,621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942,150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852,286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warrants</w:t>
            </w:r>
          </w:p>
        </w:tc>
        <w:tc>
          <w:tcPr>
            <w:tcW w:w="28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w:t>
            </w: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820" w:type="dxa"/>
            <w:vAlign w:val="bottom"/>
          </w:tcPr>
          <w:p>
            <w:pPr>
              <w:spacing w:after="0"/>
              <w:rPr>
                <w:sz w:val="18"/>
                <w:szCs w:val="18"/>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72,190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(366,892)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(334,507)</w:t>
            </w:r>
          </w:p>
        </w:tc>
      </w:tr>
      <w:tr>
        <w:trPr>
          <w:trHeight w:val="216"/>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5,784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22,695</w:t>
            </w:r>
          </w:p>
        </w:tc>
      </w:tr>
      <w:tr>
        <w:trPr>
          <w:trHeight w:val="210"/>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664,709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607,995</w:t>
            </w:r>
          </w:p>
        </w:tc>
      </w:tr>
      <w:tr>
        <w:trPr>
          <w:trHeight w:val="216"/>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777,003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tc>
        <w:tc>
          <w:tcPr>
            <w:tcW w:w="2680" w:type="dxa"/>
            <w:vAlign w:val="bottom"/>
          </w:tcPr>
          <w:p>
            <w:pPr>
              <w:spacing w:after="0"/>
              <w:rPr>
                <w:sz w:val="20"/>
                <w:szCs w:val="20"/>
                <w:color w:val="auto"/>
              </w:rPr>
            </w:pPr>
          </w:p>
        </w:tc>
      </w:tr>
      <w:tr>
        <w:trPr>
          <w:trHeight w:val="432"/>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May 13, 2025</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w w:val="99"/>
              </w:rPr>
              <w:t>/s/ Brian Howlett</w:t>
            </w: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r>
      <w:tr>
        <w:trPr>
          <w:trHeight w:val="187"/>
        </w:trPr>
        <w:tc>
          <w:tcPr>
            <w:tcW w:w="2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120" w:type="dxa"/>
            <w:vAlign w:val="bottom"/>
          </w:tcPr>
          <w:p>
            <w:pPr>
              <w:spacing w:after="0"/>
              <w:rPr>
                <w:sz w:val="16"/>
                <w:szCs w:val="16"/>
                <w:color w:val="auto"/>
              </w:rPr>
            </w:pPr>
          </w:p>
        </w:tc>
        <w:tc>
          <w:tcPr>
            <w:tcW w:w="2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Chairman of the Board of</w:t>
            </w:r>
          </w:p>
        </w:tc>
        <w:tc>
          <w:tcPr>
            <w:tcW w:w="100" w:type="dxa"/>
            <w:vAlign w:val="bottom"/>
          </w:tcPr>
          <w:p>
            <w:pPr>
              <w:spacing w:after="0"/>
              <w:rPr>
                <w:sz w:val="16"/>
                <w:szCs w:val="16"/>
                <w:color w:val="auto"/>
              </w:rPr>
            </w:pPr>
          </w:p>
        </w:tc>
        <w:tc>
          <w:tcPr>
            <w:tcW w:w="2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Chief Executive Officer &amp; Director</w:t>
            </w: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3  Page</w:t>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0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7, 22, 23</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50,317</w:t>
            </w:r>
          </w:p>
        </w:tc>
      </w:tr>
      <w:tr>
        <w:trPr>
          <w:trHeight w:val="216"/>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(67,390)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(60,999)</w:t>
            </w:r>
          </w:p>
        </w:tc>
      </w:tr>
      <w:tr>
        <w:trPr>
          <w:trHeight w:val="209"/>
        </w:trPr>
        <w:tc>
          <w:tcPr>
            <w:tcW w:w="6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2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r>
      <w:tr>
        <w:trPr>
          <w:trHeight w:val="209"/>
        </w:trPr>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(13,196)</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property, plant and equipment and deposits</w:t>
            </w:r>
          </w:p>
        </w:tc>
        <w:tc>
          <w:tcPr>
            <w:tcW w:w="2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6, 12</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5,586</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(17,230)</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w:t>
            </w:r>
          </w:p>
        </w:tc>
      </w:tr>
      <w:tr>
        <w:trPr>
          <w:trHeight w:val="210"/>
        </w:trPr>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2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2,110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11,443</w:t>
            </w:r>
          </w:p>
        </w:tc>
      </w:tr>
      <w:tr>
        <w:trPr>
          <w:trHeight w:val="209"/>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(30,249)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(12,265)</w:t>
            </w:r>
          </w:p>
        </w:tc>
      </w:tr>
      <w:tr>
        <w:trPr>
          <w:trHeight w:val="210"/>
        </w:trPr>
        <w:tc>
          <w:tcPr>
            <w:tcW w:w="6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2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(5,626)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7"/>
        </w:trPr>
        <w:tc>
          <w:tcPr>
            <w:tcW w:w="6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(35,875)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r>
      <w:tr>
        <w:trPr>
          <w:trHeight w:val="216"/>
        </w:trPr>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2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(13,421)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17,433</w:t>
            </w:r>
          </w:p>
        </w:tc>
      </w:tr>
      <w:tr>
        <w:trPr>
          <w:trHeight w:val="216"/>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income, net of tax</w:t>
            </w:r>
          </w:p>
        </w:tc>
        <w:tc>
          <w:tcPr>
            <w:tcW w:w="2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(49,296)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11,453</w:t>
            </w:r>
          </w:p>
        </w:tc>
      </w:tr>
      <w:tr>
        <w:trPr>
          <w:trHeight w:val="216"/>
        </w:trPr>
        <w:tc>
          <w:tcPr>
            <w:tcW w:w="6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w:t>
            </w: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w:t>
            </w: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6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500,163,441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338,745,134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4  Page</w:t>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6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INTERIM CONSOLIDATED STATEMENTS OF CHANGES IN EQUITY </w:t>
      </w:r>
      <w:r>
        <w:rPr>
          <w:rFonts w:ascii="Times New Roman" w:cs="Times New Roman" w:eastAsia="Times New Roman" w:hAnsi="Times New Roman"/>
          <w:sz w:val="17"/>
          <w:szCs w:val="17"/>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479,332,885</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852,286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(334,507)</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22,695</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607,995</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(35,875)</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(35,875)</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7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(13,421)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(13,421)</w:t>
            </w: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7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(35,875)</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(13,421)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(49,296)</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w:t>
            </w: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digital assets to accumulated deficit,</w:t>
            </w:r>
          </w:p>
        </w:tc>
        <w:tc>
          <w:tcPr>
            <w:tcW w:w="760" w:type="dxa"/>
            <w:vAlign w:val="bottom"/>
          </w:tcPr>
          <w:p>
            <w:pPr>
              <w:spacing w:after="0"/>
              <w:rPr>
                <w:sz w:val="18"/>
                <w:szCs w:val="18"/>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3,490</w:t>
            </w: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(3,490)</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4,437</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replacement share-based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7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74,311,495</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89,864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89,864</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Issuance of equity warrants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11,477</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553,644,380</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942,150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72,190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(366,892)</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5,784</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664,709</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7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334,153,330</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535,009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(299,810)</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2,941</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294,762</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7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17,433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17,433</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17,433</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11,453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w:t>
            </w: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digital assets to accumulated deficit,</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7,498</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(7,498)</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16,997,285</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37,268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37,268</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 and warrant</w:t>
            </w: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18, 21</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5,141,111</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18,864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18,837</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356,291,726</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591,141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(298,292)</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12,876</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365,414</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5  Page</w:t>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 (restated - Note 3e)</w:t>
            </w:r>
          </w:p>
        </w:tc>
      </w:tr>
      <w:tr>
        <w:trPr>
          <w:trHeight w:val="425"/>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non-cash items:</w:t>
            </w: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22, 24</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38,977</w:t>
            </w: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17,230</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(64,646)</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(49,423)</w:t>
            </w: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21, 22</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4,437</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3,094</w:t>
            </w: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5,626</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property, plant and equipment and deposits</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(5,586)</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exchanged for services</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5,178</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received</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411</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paid</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27,785</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9"/>
        </w:trPr>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w:t>
            </w:r>
          </w:p>
        </w:tc>
      </w:tr>
      <w:tr>
        <w:trPr>
          <w:trHeight w:val="210"/>
        </w:trPr>
        <w:tc>
          <w:tcPr>
            <w:tcW w:w="6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37,263</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49,570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(43,337)</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7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2,139</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6,931</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derivative assets and liabilities</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(30,055)</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derivative assets and liabilities</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28,472</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the Yguazu Mining site</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32,038</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w:t>
            </w:r>
          </w:p>
        </w:tc>
        <w:tc>
          <w:tcPr>
            <w:tcW w:w="17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(48,084)</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(26,984)</w:t>
            </w:r>
          </w:p>
        </w:tc>
      </w:tr>
      <w:tr>
        <w:trPr>
          <w:trHeight w:val="210"/>
        </w:trPr>
        <w:tc>
          <w:tcPr>
            <w:tcW w:w="6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23,608</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37,268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7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18, 21</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6,027</w:t>
            </w:r>
          </w:p>
        </w:tc>
      </w:tr>
      <w:tr>
        <w:trPr>
          <w:trHeight w:val="210"/>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23,305</w:t>
            </w: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40,136</w:t>
            </w:r>
          </w:p>
        </w:tc>
      </w:tr>
      <w:tr>
        <w:trPr>
          <w:trHeight w:val="209"/>
        </w:trPr>
        <w:tc>
          <w:tcPr>
            <w:tcW w:w="6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(20,930)</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(18,137)</w:t>
            </w: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7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38,546</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65,961</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6  Page</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are mainly comprised of selling its computational power used for hashing calculations for the purpose of cryptocurrency mining in multiple jurisdictions as described in Note 23 “Geographical Information”. The Company’s operations are currently located in Canada, the United States, Paraguay, and Argentina. Volta, a wholly-owned subsidiary of the Company, assists the Company in building and maintaining its data centers and provides electrician services to both commercial and residential customers in Quebec, Canada.</w:t>
      </w:r>
    </w:p>
    <w:p>
      <w:pPr>
        <w:spacing w:after="0" w:line="180"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BTC (as defined below).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As described in Note 5, the Company acquired Stronghold Digital Mining, Inc. (“Stronghold”) on March 14, 2025 (the “Stronghold Transaction”). Through the acquisition of Stronghold, the Company now owns and operates two refuse power generation facilities. The Company’s primary fuel source at these facilities is waste which is provided by various third parties. Waste tax credits are earned by the Company by utilizing refuse to generate electricity. The Company either consumes the energy internally to support computational activities related to hashing calculations or sells the energy it produces to the open market (the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7  Page</w:t>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2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Backbone</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Volta</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Backbone Argentina</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Backbone Paraguay</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Backbone Mining</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Backbone Yguazu</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Zunz SA</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BTC</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BVVE</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 and mining-related equipment)</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MW</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Megawatt</w:t>
            </w:r>
          </w:p>
        </w:tc>
      </w:tr>
      <w:tr>
        <w:trPr>
          <w:trHeight w:val="216"/>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CAD</w:t>
            </w:r>
          </w:p>
        </w:tc>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USD</w:t>
            </w:r>
          </w:p>
        </w:tc>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 dollars</w:t>
            </w:r>
          </w:p>
        </w:tc>
      </w:tr>
      <w:tr>
        <w:trPr>
          <w:trHeight w:val="216"/>
        </w:trPr>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2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ARS</w:t>
            </w:r>
          </w:p>
        </w:tc>
        <w:tc>
          <w:tcPr>
            <w:tcW w:w="8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Bitcoin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can impact the recoverability of the Company’s digital assets and property, plant and equipment (“PPE”), resulting in impairment losses being recorded.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cash flows are expected to remain negative until the Company has another significant revenue stream as the proceeds from the BTC sold from its mining operations are classified within investing activities. The Company’s current operating budget and future estimated cash flows indicate that the Company will generate positive cash flow in excess of the Company’s cash commitments, which includes proceeds from the sale of digital assets, within the twelve-month period following the date these interim condensed consolidated financial statements were authorized for issuance (the “twelve-month period”). These analyses are based on BTC market factors including price, difficulty and network hashrate for the twelve-month period.</w:t>
      </w:r>
    </w:p>
    <w:p>
      <w:pPr>
        <w:spacing w:after="0" w:line="183"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sales of its BTC treasury and BTC earned may not be sufficient to fund capital investments to fully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by issuing securities, or if funds from operations and proceeds from sales of the Company’s BTC holdings are negatively impacted by the BTC price, or if the Company is in breach of its covenants, the Company may have difficulty meeting its payment obligations. On April 1, 2025, the Company secured a credit facility for up to $300,000 with Macquarie Equipment Capital, Inc. Refer to Note 26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8  Page</w:t>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as issued by the International Accounting Standards Board (“IFRS Accounting Standards”) applicable to the preparation of interim financial statements, including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These Financial Statements were approved by the Board of Directors (the “Board”) on May 13,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162"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These Financial Statements have been prepared under the same accounting policies used in the audited annual consolidated financial statements for the year ended December 31, 2024, except for the material new accounting policies added during the three months ended March 31, 2025 and the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new accounting policy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cost of an acquisition is measured as the aggregate of the consideration transferred, which is measured at acquisition date at fair value, and the amount of any non-controlling interests in the acquiree. Acquisition-related costs are expensed as incurred and included in general and administrative expenses.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that it has acquired a business when the acquired set of activities and assets include an input and a substantive process that together significantly contribute to the ability to create outputs.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9  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issues warrants which entitle the holder to buy the Company’s common shares at a predetermined exercise price within a certain time frame. The warrants may include a cashless exercise clause which would result in a variable number of shares being issued for a fixed price due to the unknown future price of the shares. The Company does not expect the warrants to be exercised on a cashless basis. Referred to as warrant liability, the Company records these warrants as a financial liability. Upon exercise, the Company records the exercised warrants at fair value immediately before settlement and records the gain or loss through the consolidated statements of profit or loss and comprehensive profit or loss. The Company subsequently measures the outstanding warrants at fair value at each reporting date and records the gain or loss through the consolidated statements of profit or loss and comprehensive profit or loss. Warrants issued which do not include a cashless exercise feature, referred to as equity warrants, are classified as equity instruments. Consideration received on the sale of a share and share purchase warrant is allocated using the fair value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Hosting Revenue</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hosting contracts where it operates mining equipment on behalf of third parties within its facilities. Revenue from hosting contracts is measured as the Company meets its obligation of operating the hosted equipment over time. The Company receives proceeds net of commissions. Revenues are recorded at the gross amount and the commission expense is included in infrastructure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Revenue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as a market participant through the Pennsylvania, New Jersey, Maryland (“PJM”) Interconnection, a Regional Transmission Organization (“RTO”) that coordinates the movement of wholesale electricity. The Company sells energy from its Panther Creek and Scrubgrass generating plants in the open market in the PJM RTO in the real-time, location marginal pricing market. Revenues from the sale of energy are earned as the energy is delivered as a series of distinct units that are substantially the same and have the same pattern of transfer to the customer over time and are, therefore, accounted for as a distinct performance obligation. Revenue from the sale of energy is recognized over time as energy volumes are generated and delivered to the RTO (which is contemporaneous with generation), using the output method based on megawatt hours for measuring progress. The Company applies the “right to invoice” practical expedient in recognizing revenue from the sale of energy. Under this practical expedient, revenue from the sale of energy is recognized based on the invoiced amount which corresponds directly with the value provided to the customer for the Company’s performance obligation completed to date.</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Reactive energy power is provided to maintain a continuous voltage level. Revenue from reactive power is recognized ratably over time as the Company stands ready to provide it if called upon by the PJM 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10  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depreciated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5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BVVE</w:t>
            </w:r>
          </w:p>
        </w:tc>
        <w:tc>
          <w:tcPr>
            <w:tcW w:w="358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Miners</w:t>
            </w:r>
          </w:p>
        </w:tc>
        <w:tc>
          <w:tcPr>
            <w:tcW w:w="3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Mining-related equipment</w:t>
            </w:r>
          </w:p>
        </w:tc>
        <w:tc>
          <w:tcPr>
            <w:tcW w:w="3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shd w:val="clear" w:color="auto" w:fill="CCEEFF"/>
          </w:tcPr>
          <w:p>
            <w:pPr>
              <w:ind w:left="920"/>
              <w:spacing w:after="0" w:line="198" w:lineRule="exact"/>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line="198" w:lineRule="exact"/>
              <w:rPr>
                <w:sz w:val="20"/>
                <w:szCs w:val="20"/>
                <w:color w:val="auto"/>
              </w:rPr>
            </w:pPr>
            <w:r>
              <w:rPr>
                <w:rFonts w:ascii="Times New Roman" w:cs="Times New Roman" w:eastAsia="Times New Roman" w:hAnsi="Times New Roman"/>
                <w:sz w:val="18"/>
                <w:szCs w:val="18"/>
                <w:color w:val="auto"/>
              </w:rPr>
              <w:t>Shorter of the lease term and the expected life of</w:t>
            </w:r>
          </w:p>
        </w:tc>
      </w:tr>
      <w:tr>
        <w:trPr>
          <w:trHeight w:val="234"/>
        </w:trPr>
        <w:tc>
          <w:tcPr>
            <w:tcW w:w="29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the improvement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 to 20 years</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3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Over the lease term or 10 to 30 years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Declining balance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Plants</w:t>
            </w:r>
          </w:p>
        </w:tc>
        <w:tc>
          <w:tcPr>
            <w:tcW w:w="3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Declining balance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3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Declining balance</w:t>
            </w:r>
          </w:p>
        </w:tc>
        <w:tc>
          <w:tcPr>
            <w:tcW w:w="47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(“ROU”) assets are depreciated over the shorter of the lease term and the estimated useful lives of the assets,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6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10"/>
        </w:trPr>
        <w:tc>
          <w:tcPr>
            <w:tcW w:w="2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Leased premises</w:t>
            </w:r>
          </w:p>
        </w:tc>
        <w:tc>
          <w:tcPr>
            <w:tcW w:w="36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4-10 years</w:t>
            </w:r>
          </w:p>
        </w:tc>
      </w:tr>
      <w:tr>
        <w:trPr>
          <w:trHeight w:val="216"/>
        </w:trPr>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3-4 years</w:t>
            </w:r>
          </w:p>
        </w:tc>
      </w:tr>
      <w:tr>
        <w:trPr>
          <w:trHeight w:val="216"/>
        </w:trPr>
        <w:tc>
          <w:tcPr>
            <w:tcW w:w="2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Vehicles and other</w:t>
            </w:r>
          </w:p>
        </w:tc>
        <w:tc>
          <w:tcPr>
            <w:tcW w:w="36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2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BVVE</w:t>
            </w:r>
          </w:p>
        </w:tc>
        <w:tc>
          <w:tcPr>
            <w:tcW w:w="36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Straight-line</w:t>
            </w:r>
          </w:p>
        </w:tc>
        <w:tc>
          <w:tcPr>
            <w:tcW w:w="47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Options and redemption obligation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redemption obligation is recorded for the remaining BTC Redemption Options for which Miners have been shipped, reflecting the Company’s obligation to either redeem the BTC Pledged for cash or use the BTC Pledged for the purchase of the Miners. The redemption obligation amount represents the value of Miners shipped, for which BTC payments were made, and reduced by the value of the BTC redeemed. Refer to Note 7, 9, Note 13, Note 19 and Note 25 for more details.</w:t>
      </w:r>
    </w:p>
    <w:p>
      <w:pPr>
        <w:spacing w:after="0" w:line="18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following amendments to existing standards were adopted with no impact to the Company for its annual period beginning on January 1, 2025:</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11  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standards issued to be adopted at a later date</w:t>
      </w:r>
    </w:p>
    <w:p>
      <w:pPr>
        <w:spacing w:after="0" w:line="227"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2026,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 and IFRS 7</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These amendments also provide guidelines to assess contractual cash flow characteristics of financial assets, which apply to all contingent cash flows, including those arising from environmental, social, and governance (ESG)-linked features.</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spacing w:after="0" w:line="180"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Furthermore, the amendments to IFRS 9 clarify: i) the requirements to account for an extinguishment of a lessee’s lease liability that results in a gain or loss recognized in net income; and ii) the definition of the term “transaction price”.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standards on the Company’s Financial Statements.</w:t>
      </w:r>
    </w:p>
    <w:p>
      <w:pPr>
        <w:spacing w:after="0" w:line="223"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new standard has been issued and is applicable to the Company for its annual period beginning on January 1, 2027,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jc w:val="both"/>
        <w:ind w:left="20" w:hanging="4"/>
        <w:spacing w:after="0" w:line="25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standards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12  Page</w:t>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of comparative figures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comparative figures of the statement of cash flows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the Company changed the presentation of the statements of cash flows and determined that the proceeds from sale of digital assets, which is accounted for as an intangible asset under IAS 38, should be classified as investing activities rather than operating activities. Accordingly, the Company has restated the statement of cash flows for three months ended March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interim consolidated statement of cash flows for the three months ended March 31, 2024</w:t>
      </w:r>
    </w:p>
    <w:p>
      <w:pPr>
        <w:spacing w:after="0" w:line="22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 (as reported)</w:t>
            </w:r>
          </w:p>
        </w:tc>
        <w:tc>
          <w:tcPr>
            <w:tcW w:w="2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Cash flow reclassification</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 (as restated)</w:t>
            </w: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2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49,570</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18,281</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(31,289)</w:t>
            </w:r>
          </w:p>
        </w:tc>
      </w:tr>
      <w:tr>
        <w:trPr>
          <w:trHeight w:val="210"/>
        </w:trPr>
        <w:tc>
          <w:tcPr>
            <w:tcW w:w="49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49,570</w:t>
            </w:r>
          </w:p>
        </w:tc>
      </w:tr>
      <w:tr>
        <w:trPr>
          <w:trHeight w:val="210"/>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(76,554)</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13  Page</w:t>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requires Bitfarms’ management team (“Management”) to undertake judgments, estimates and assumptions about recognition and measurement of assets, liabilities, income and expenses. These estimates and judgments are based on Management’s best knowledge of the relevant events and circumstances and actions the Company may take in the future. The actual results may differ from these assumptions and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2024, except for the following: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business combinations require judgements and estimates to be made at the date of acquisition in relation to determining the relative fair value of the allocation of the purchase consideration over the fair value of the assets. The information necessary to measure the fair values as at the acquisition date requires Management to make certain judgements and estimates about future events, including but not limited to forecasted revenues, operating costs and capital expenditures, future digital currency prices and income tax rates.</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14, 2025 (the “Acquisition Date”), the Company acquired 100% of the issued share capital of Stronghold in a stock-for-stock merger transaction. Under the terms of the merger agreement, each Stronghold shareholder received 2.52 shares of Bitfarms for each Stronghold share they owned. A total of 59,866,852 common shares and 12,893,650 warrants were issued. In addition, the Company paid $51,060 on closing to retire Stronghold’s outstanding loans and other closing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the pre-existing hosting agreements between the Company and Stronghold are effectively settled. A gain of $945 was recognized on the settlement of the Refundable Hosting Deposits. Refer to Note 14 and Note 19 for more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is a vertically integrated power generation and data center company focused on environmental remediation and reclamation services in Pennsylvania, United States. The Stronghold Transaction is aligned with the Company’s strategic objectives to diversify its operations and expand its presence in the United States through vertical integration of power generation and energy arbitrage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14  Page</w:t>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(Continued)</w:t>
            </w: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the purchase price allocation* and the fair value of the net assets acquired are as follows:</w:t>
            </w:r>
          </w:p>
        </w:tc>
        <w:tc>
          <w:tcPr>
            <w:tcW w:w="1600" w:type="dxa"/>
            <w:vAlign w:val="bottom"/>
          </w:tcPr>
          <w:p>
            <w:pPr>
              <w:spacing w:after="0"/>
              <w:rPr>
                <w:sz w:val="24"/>
                <w:szCs w:val="24"/>
                <w:color w:val="auto"/>
              </w:rPr>
            </w:pPr>
          </w:p>
        </w:tc>
        <w:tc>
          <w:tcPr>
            <w:tcW w:w="1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 14,</w:t>
            </w: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7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tcPr>
          <w:p>
            <w:pPr>
              <w:spacing w:after="0"/>
              <w:rPr>
                <w:sz w:val="18"/>
                <w:szCs w:val="18"/>
                <w:color w:val="auto"/>
              </w:rPr>
            </w:pPr>
          </w:p>
        </w:tc>
        <w:tc>
          <w:tcPr>
            <w:tcW w:w="7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425"/>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through repayment of debts</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Reimbursement of Stronghold’s acquisition-related costs</w:t>
            </w:r>
          </w:p>
        </w:tc>
        <w:tc>
          <w:tcPr>
            <w:tcW w:w="16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issued**</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66,452</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11,477</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replacement share-based payment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Settlement of Refundable Hosting Deposits</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14, 19</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15,474</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16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6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(current)</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72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158,289</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17"/>
        </w:trPr>
        <w:tc>
          <w:tcPr>
            <w:tcW w:w="8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net identifiable assets acquired</w:t>
            </w:r>
          </w:p>
        </w:tc>
        <w:tc>
          <w:tcPr>
            <w:tcW w:w="1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0" w:hanging="12"/>
        <w:spacing w:after="0" w:line="261" w:lineRule="auto"/>
        <w:tabs>
          <w:tab w:leader="none" w:pos="156"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purchase price allocation for the acquisition reflects fair value estimates which are subject to change within the measurement period. The primary areas of purchase price allocation that are subject to change relate to the fair values of certain tangible assets, based on their condition. Measurement period adjustments that the Company determines to be material will be applied retrospectively to the period of acquisition in the Company’s consolidated financial statements and, depending on the nature of the adjustments, other periods subsequent to the period of acquisition could also be affected.</w:t>
      </w:r>
    </w:p>
    <w:p>
      <w:pPr>
        <w:spacing w:after="0" w:line="180" w:lineRule="exact"/>
        <w:rPr>
          <w:sz w:val="20"/>
          <w:szCs w:val="20"/>
          <w:color w:val="auto"/>
        </w:rPr>
      </w:pPr>
    </w:p>
    <w:p>
      <w:pPr>
        <w:ind w:left="20" w:right="20" w:hanging="12"/>
        <w:spacing w:after="0" w:line="284" w:lineRule="auto"/>
        <w:tabs>
          <w:tab w:leader="none" w:pos="247"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fair value of the 59,866,852 shares issued as part of the consideration paid for Stronghold was based on the published share price on March 14, 2025 of $1.11 per share. Issuance costs of $196, which were directly attributable to the issuance of the shares, were netted against the deemed proceeds.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acquisition-related costs that were not directly attributable to the issue of shares amounted to $7,081, of which $1,571 were incurred in the three months ended March 31, 2025 and $5,510 were incurred during the year end December 31, 2024. These amounts were included in general and administrative expenses in the consolidated statements of profit or loss and comprehensive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15  Page</w:t>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profit and loss contribution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financial information presents the contributed revenue and profit and loss of the Company as if the closing of the Transaction occurred as of January 1, 2025 (“Proforma”). In addition, the contributed revenue and profit and loss of Stronghold since the Acquisition Date (“Actual Contribution”) are presented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tcPr>
          <w:p>
            <w:pPr>
              <w:jc w:val="center"/>
              <w:ind w:left="6770"/>
              <w:spacing w:after="0"/>
              <w:rPr>
                <w:sz w:val="20"/>
                <w:szCs w:val="20"/>
                <w:color w:val="auto"/>
              </w:rPr>
            </w:pPr>
            <w:r>
              <w:rPr>
                <w:rFonts w:ascii="Times New Roman" w:cs="Times New Roman" w:eastAsia="Times New Roman" w:hAnsi="Times New Roman"/>
                <w:sz w:val="18"/>
                <w:szCs w:val="18"/>
                <w:b w:val="1"/>
                <w:bCs w:val="1"/>
                <w:color w:val="auto"/>
              </w:rPr>
              <w:t>Proforma</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Contribution</w:t>
            </w:r>
          </w:p>
        </w:tc>
      </w:tr>
      <w:tr>
        <w:trPr>
          <w:trHeight w:val="187"/>
        </w:trPr>
        <w:tc>
          <w:tcPr>
            <w:tcW w:w="880" w:type="dxa"/>
            <w:vAlign w:val="bottom"/>
          </w:tcPr>
          <w:p>
            <w:pPr>
              <w:spacing w:after="0"/>
              <w:rPr>
                <w:sz w:val="16"/>
                <w:szCs w:val="16"/>
                <w:color w:val="auto"/>
              </w:rPr>
            </w:pPr>
          </w:p>
        </w:tc>
        <w:tc>
          <w:tcPr>
            <w:tcW w:w="8620" w:type="dxa"/>
            <w:vAlign w:val="bottom"/>
          </w:tcPr>
          <w:p>
            <w:pPr>
              <w:jc w:val="center"/>
              <w:ind w:left="67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From January 1 to</w:t>
            </w:r>
          </w:p>
        </w:tc>
        <w:tc>
          <w:tcPr>
            <w:tcW w:w="1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From March 15 to</w:t>
            </w:r>
          </w:p>
        </w:tc>
      </w:tr>
      <w:tr>
        <w:trPr>
          <w:trHeight w:val="238"/>
        </w:trPr>
        <w:tc>
          <w:tcPr>
            <w:tcW w:w="8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tcPr>
          <w:p>
            <w:pPr>
              <w:jc w:val="center"/>
              <w:ind w:left="67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8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76,448</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r>
      <w:tr>
        <w:trPr>
          <w:trHeight w:val="22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(31,980)</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410"/>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 - cash outflow</w:t>
            </w:r>
          </w:p>
        </w:tc>
        <w:tc>
          <w:tcPr>
            <w:tcW w:w="1740" w:type="dxa"/>
            <w:vAlign w:val="bottom"/>
          </w:tcPr>
          <w:p>
            <w:pPr>
              <w:spacing w:after="0"/>
              <w:rPr>
                <w:sz w:val="24"/>
                <w:szCs w:val="24"/>
                <w:color w:val="auto"/>
              </w:rPr>
            </w:pPr>
          </w:p>
        </w:tc>
      </w:tr>
      <w:tr>
        <w:trPr>
          <w:trHeight w:val="238"/>
        </w:trPr>
        <w:tc>
          <w:tcPr>
            <w:tcW w:w="880" w:type="dxa"/>
            <w:vAlign w:val="bottom"/>
            <w:tcBorders>
              <w:bottom w:val="single" w:sz="8" w:color="auto"/>
            </w:tcBorders>
          </w:tcPr>
          <w:p>
            <w:pPr>
              <w:spacing w:after="0"/>
              <w:rPr>
                <w:sz w:val="20"/>
                <w:szCs w:val="20"/>
                <w:color w:val="auto"/>
              </w:rPr>
            </w:pPr>
          </w:p>
        </w:tc>
        <w:tc>
          <w:tcPr>
            <w:tcW w:w="10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80" w:type="dxa"/>
            <w:vAlign w:val="bottom"/>
            <w:tcBorders>
              <w:bottom w:val="single" w:sz="8" w:color="auto"/>
            </w:tcBorders>
          </w:tcPr>
          <w:p>
            <w:pPr>
              <w:spacing w:after="0"/>
              <w:rPr>
                <w:sz w:val="18"/>
                <w:szCs w:val="18"/>
                <w:color w:val="auto"/>
              </w:rPr>
            </w:pPr>
          </w:p>
        </w:tc>
        <w:tc>
          <w:tcPr>
            <w:tcW w:w="86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outflow, net of cash acquired</w:t>
            </w:r>
          </w:p>
        </w:tc>
        <w:tc>
          <w:tcPr>
            <w:tcW w:w="1740" w:type="dxa"/>
            <w:vAlign w:val="bottom"/>
          </w:tcPr>
          <w:p>
            <w:pPr>
              <w:spacing w:after="0"/>
              <w:rPr>
                <w:sz w:val="18"/>
                <w:szCs w:val="18"/>
                <w:color w:val="auto"/>
              </w:rPr>
            </w:pPr>
          </w:p>
        </w:tc>
      </w:tr>
      <w:tr>
        <w:trPr>
          <w:trHeight w:val="216"/>
        </w:trPr>
        <w:tc>
          <w:tcPr>
            <w:tcW w:w="9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consideration</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51,060</w:t>
            </w:r>
          </w:p>
        </w:tc>
      </w:tr>
      <w:tr>
        <w:trPr>
          <w:trHeight w:val="216"/>
        </w:trPr>
        <w:tc>
          <w:tcPr>
            <w:tcW w:w="95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Less: cash balances acquired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w:t>
            </w:r>
          </w:p>
        </w:tc>
      </w:tr>
      <w:tr>
        <w:trPr>
          <w:trHeight w:val="217"/>
        </w:trPr>
        <w:tc>
          <w:tcPr>
            <w:tcW w:w="9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outflow related to investing activities</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8620" w:type="dxa"/>
            <w:vAlign w:val="bottom"/>
          </w:tcPr>
          <w:p>
            <w:pPr>
              <w:jc w:val="right"/>
              <w:ind w:right="5210"/>
              <w:spacing w:after="0"/>
              <w:rPr>
                <w:sz w:val="20"/>
                <w:szCs w:val="20"/>
                <w:color w:val="auto"/>
              </w:rPr>
            </w:pPr>
            <w:r>
              <w:rPr>
                <w:rFonts w:ascii="Times New Roman" w:cs="Times New Roman" w:eastAsia="Times New Roman" w:hAnsi="Times New Roman"/>
                <w:sz w:val="18"/>
                <w:szCs w:val="18"/>
                <w:b w:val="1"/>
                <w:bCs w:val="1"/>
                <w:color w:val="auto"/>
              </w:rPr>
              <w:t>SALE OF THE YGUAZU MINING SITE</w:t>
            </w:r>
          </w:p>
        </w:tc>
        <w:tc>
          <w:tcPr>
            <w:tcW w:w="17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14, 2025, the Company completed the sale of its 200 MW site in Yguazu, Paraguay to HIVE Digital Technologies Ltd. (“HIVE”) pursuant to a binding letter of Intent (“LOI”) originally signed on January 24, 2025. The transaction involved the sale of the Company’s 100% ownership stake in the Yguazu, Paraguay Bitcoin data center. The total consideration of $63,260 and the transaction details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 14</w:t>
            </w:r>
          </w:p>
        </w:tc>
      </w:tr>
      <w:tr>
        <w:trPr>
          <w:trHeight w:val="210"/>
        </w:trPr>
        <w:tc>
          <w:tcPr>
            <w:tcW w:w="7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5"/>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received in January 2025 upon signing the LOI</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upon closing</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12,038</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over 6 equal monthly payments following the closing date*</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costs assumed by HIVE</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09"/>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63,260</w:t>
            </w:r>
          </w:p>
        </w:tc>
      </w:tr>
      <w:tr>
        <w:trPr>
          <w:trHeight w:val="210"/>
        </w:trPr>
        <w:tc>
          <w:tcPr>
            <w:tcW w:w="7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34,006</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2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18,321</w:t>
            </w:r>
          </w:p>
        </w:tc>
      </w:tr>
      <w:tr>
        <w:trPr>
          <w:trHeight w:val="216"/>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Security deposit for energy</w:t>
            </w: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2,809</w:t>
            </w:r>
          </w:p>
        </w:tc>
      </w:tr>
      <w:tr>
        <w:trPr>
          <w:trHeight w:val="210"/>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transferred</w:t>
            </w:r>
          </w:p>
        </w:tc>
        <w:tc>
          <w:tcPr>
            <w:tcW w:w="25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58,035</w:t>
            </w:r>
          </w:p>
        </w:tc>
      </w:tr>
      <w:tr>
        <w:trPr>
          <w:trHeight w:val="217"/>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2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5,225</w:t>
            </w:r>
          </w:p>
        </w:tc>
      </w:tr>
    </w:tbl>
    <w:p>
      <w:pPr>
        <w:spacing w:after="0" w:line="196" w:lineRule="exact"/>
        <w:rPr>
          <w:sz w:val="20"/>
          <w:szCs w:val="20"/>
          <w:color w:val="auto"/>
        </w:rPr>
      </w:pPr>
    </w:p>
    <w:p>
      <w:pPr>
        <w:ind w:left="20" w:right="20" w:firstLine="3"/>
        <w:spacing w:after="0" w:line="284" w:lineRule="auto"/>
        <w:tabs>
          <w:tab w:leader="none" w:pos="158"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During the three months ended March 31, 2025, the Company recorded an allowance of $822 in Net financial income in the consolidated statements of profit or loss and comprehensive profit or loss, for a net receivable from the disposal of Yguazu Mining site of $30,178. The receivable is interest-free.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Following the receipt of the closing calculation, the purchaser has a 45-day period to object which has not yet 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16  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months ended March 31, 2025 and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Quantity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restricted digital assets and digital assets</w:t>
            </w:r>
          </w:p>
        </w:tc>
        <w:tc>
          <w:tcPr>
            <w:tcW w:w="1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1,285</w:t>
            </w:r>
          </w:p>
        </w:tc>
        <w:tc>
          <w:tcPr>
            <w:tcW w:w="16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120,124</w:t>
            </w:r>
          </w:p>
        </w:tc>
        <w:tc>
          <w:tcPr>
            <w:tcW w:w="1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as of January 1,</w:t>
            </w: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804</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33,971</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693</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64,075</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943</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49,423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revenue received in BTC</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571</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earned, not received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(812)</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(37,263)</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(941)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services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(5,178)</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4,748</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11,063</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(23,033)</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12,655</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including restricted digital assets as of March 31,</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1,492</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123,232</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806</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57,542</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restricted digital assets as of March 31,***</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(29,120)</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as of March 31,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1,139</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94,112</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806</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57,542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8"/>
        <w:spacing w:after="0" w:line="267" w:lineRule="auto"/>
        <w:tabs>
          <w:tab w:leader="none" w:pos="1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estimates the fair value of BTC earned on a daily basis as the quantity of cryptocurrency received multiplied by the price quoted on Coinbase Prime on the day it was received. Management considers the prices quoted on Coinbase Prime to be a level 1 input under IFRS 13, Fair Value Measurement.</w:t>
      </w:r>
    </w:p>
    <w:p>
      <w:pPr>
        <w:spacing w:after="0" w:line="173" w:lineRule="exact"/>
        <w:rPr>
          <w:sz w:val="20"/>
          <w:szCs w:val="20"/>
          <w:color w:val="auto"/>
        </w:rPr>
      </w:pPr>
    </w:p>
    <w:p>
      <w:pPr>
        <w:jc w:val="both"/>
        <w:ind w:left="20" w:hanging="12"/>
        <w:spacing w:after="0" w:line="261" w:lineRule="auto"/>
        <w:tabs>
          <w:tab w:leader="none" w:pos="249"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portion of the realized gain on disposition of digital assets and the change in unrealized gain (loss) on revaluation of digital assets is presented in other comprehensive income after reversing previously recorded revaluation loss on digital assets in the statement of profit or loss. For the three months ended March 31, 2025, a loss of $13,421, net of $4,864 of deferred income tax recovery, was presented in other comprehensive income (three months ended March 31, 2024: a gain of $17,433, net of $6,285 of deferred income tax expense).</w:t>
      </w:r>
    </w:p>
    <w:p>
      <w:pPr>
        <w:spacing w:after="0" w:line="179" w:lineRule="exact"/>
        <w:rPr>
          <w:rFonts w:ascii="Times New Roman" w:cs="Times New Roman" w:eastAsia="Times New Roman" w:hAnsi="Times New Roman"/>
          <w:sz w:val="18"/>
          <w:szCs w:val="18"/>
          <w:i w:val="1"/>
          <w:iCs w:val="1"/>
          <w:color w:val="auto"/>
        </w:rPr>
      </w:pPr>
    </w:p>
    <w:p>
      <w:pPr>
        <w:jc w:val="both"/>
        <w:ind w:left="20" w:hanging="12"/>
        <w:spacing w:after="0" w:line="261" w:lineRule="auto"/>
        <w:tabs>
          <w:tab w:leader="none" w:pos="327"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digital assets comprises of i) 293 BTC for the BTC payment (“BTC Pledged”) to a third party as a deposit of Miners presented as restricted digital assets. As the Company has the right to redeem the BTC Pledged, the ability of the third party to control the asset is limited, and the BTC Pledged does not meet the definition of a sale. Refer to Note 9, 13 and 19 for more details; and ii) 60 BTC held by a financial institution in connection with BTC selling contracts. Refer to Note 9 for more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Options and redemption obligation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redemption obligation was recorded for the remaining BTC Redemption Options for which Miners have been shipped, reflecting the Company’s obligation to either redeem the BTC Pledged for cash or use the BTC Pledged for the purchase of the Miners. As of March 31, 2025, the redemption obligation amounted to $20,073, which represented the value of Miners delivered, for which BTC payments were made, and reduced by the value of the BTC redeemed.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redemption obligation was recorded as of December 31, 2024, as the Miners ordered, for which the deposit payment in BTC was made, had not yet been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17  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5"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Borders>
              <w:top w:val="single" w:sz="8" w:color="auto"/>
              <w:bottom w:val="single" w:sz="8" w:color="auto"/>
            </w:tcBorders>
          </w:tcPr>
          <w:p>
            <w:pPr>
              <w:spacing w:after="0"/>
              <w:rPr>
                <w:sz w:val="18"/>
                <w:szCs w:val="18"/>
                <w:color w:val="auto"/>
              </w:rPr>
            </w:pPr>
          </w:p>
        </w:tc>
        <w:tc>
          <w:tcPr>
            <w:tcW w:w="41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limestone and fuel oil*</w:t>
            </w:r>
          </w:p>
        </w:tc>
        <w:tc>
          <w:tcPr>
            <w:tcW w:w="4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2,617</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Electronic and networking components</w:t>
            </w:r>
          </w:p>
        </w:tc>
        <w:tc>
          <w:tcPr>
            <w:tcW w:w="4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2,269</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17"/>
        </w:trPr>
        <w:tc>
          <w:tcPr>
            <w:tcW w:w="5940" w:type="dxa"/>
            <w:vAlign w:val="bottom"/>
            <w:tcBorders>
              <w:bottom w:val="single" w:sz="8" w:color="auto"/>
            </w:tcBorders>
            <w:shd w:val="clear" w:color="auto" w:fill="CCEEFF"/>
          </w:tcPr>
          <w:p>
            <w:pPr>
              <w:spacing w:after="0"/>
              <w:rPr>
                <w:sz w:val="18"/>
                <w:szCs w:val="18"/>
                <w:color w:val="auto"/>
              </w:rPr>
            </w:pPr>
          </w:p>
        </w:tc>
        <w:tc>
          <w:tcPr>
            <w:tcW w:w="41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4,886</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On the Acquisition Date, additions from the business combination amounted to $3,269 for inventories. Refer to Note 5 for more details.</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and selling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The Company also entered into contracts and earned premiums by agreeing to sell BTC if the price reached specific targets. The Company did not apply hedge accounting to these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Starting November 2024, the Company entered into purchase orders of Miners with a supplier which allows the Company to pay for the Miners in cash, BTC or a combination of both. In the event that the Company elects to pay using BTC (BTC Pledged, as defined in Note 7) either full or partial, the Company has the option to redeem the BTC Pledged at the price originally pledged in four quarterly installments (“BTC Installments”) within 12 months after the redemption period starts. The redemption period starts when the Miners are shipped. If the Company elects not to redeem one of the BTC Installments, the Company forfeits the right to redeem the remaining BTC Installments. The right to redeem the BTC (“BTC Redemption Option”) meets the definition of an embedded derivative.</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2024, the Company paid for the Miners ordered using 351 BTC valued at $33,200, i.e. 351 BTC Pledged. On initial recognition, the Company recorded derivative assets of $1,349 with a corresponding reduction in long-term deposit and equipment prepayments as the Miners were not yet shipped. On January 30, 2025, the Company exercised its option to redeem the first installment of the BTC Pledged and redeemed 87 BTC for $8,308.</w:t>
      </w:r>
    </w:p>
    <w:p>
      <w:pPr>
        <w:spacing w:after="0" w:line="176"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On March 12, 2025, an exchange agreement (“2025 Miners Swap Order”) was entered into to return 4,160 Bitmain T21 Miners. In consideration for the returned products, Bitmain provided the Company with a $9,484 credit. Simultaneously, the Company placed another purchase order for 3,660 Bitmain S21+ Miners at a purchase price of $11,858. The Company has the option to pay the net amount of $2,374 in cash or in BTC. On March 13, 2025, the Company paid the net $2,374 in BTC which can be redeemed on a quarterly basis, i.e. 29 BTC Pledged. On initial recognition, the Company recorded derivative assets of $393 with a corresponding reduction in long-term deposit and equipment prepayments as the Miners had not yet been shipped.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Note 13, Note 19 and Note 25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18  Page</w:t>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 xml:space="preserve">DERIVATIVE ASSETS AND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derivatives and reconciles the fair value measurement (Level 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14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BTC</w:t>
            </w: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color w:val="auto"/>
                <w:w w:val="96"/>
              </w:rPr>
              <w:t>BTC</w:t>
            </w: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7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BTC option and selling</w:t>
            </w: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Redemption</w:t>
            </w:r>
          </w:p>
        </w:tc>
        <w:tc>
          <w:tcPr>
            <w:tcW w:w="26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BTC option and selling</w:t>
            </w:r>
          </w:p>
        </w:tc>
        <w:tc>
          <w:tcPr>
            <w:tcW w:w="0" w:type="dxa"/>
            <w:vAlign w:val="bottom"/>
          </w:tcPr>
          <w:p>
            <w:pPr>
              <w:spacing w:after="0"/>
              <w:rPr>
                <w:sz w:val="1"/>
                <w:szCs w:val="1"/>
                <w:color w:val="auto"/>
              </w:rPr>
            </w:pPr>
          </w:p>
        </w:tc>
      </w:tr>
      <w:tr>
        <w:trPr>
          <w:trHeight w:val="238"/>
        </w:trPr>
        <w:tc>
          <w:tcPr>
            <w:tcW w:w="3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72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Option</w:t>
            </w:r>
          </w:p>
        </w:tc>
        <w:tc>
          <w:tcPr>
            <w:tcW w:w="260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contracts</w:t>
            </w: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14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3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3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2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color w:val="auto"/>
                <w:w w:val="99"/>
              </w:rPr>
              <w:t>Derivative</w:t>
            </w:r>
          </w:p>
        </w:tc>
        <w:tc>
          <w:tcPr>
            <w:tcW w:w="14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color w:val="auto"/>
                <w:w w:val="99"/>
              </w:rPr>
              <w:t>Derivative</w:t>
            </w:r>
          </w:p>
        </w:tc>
        <w:tc>
          <w:tcPr>
            <w:tcW w:w="12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color w:val="auto"/>
              </w:rPr>
              <w:t>Derivative</w:t>
            </w:r>
          </w:p>
        </w:tc>
        <w:tc>
          <w:tcPr>
            <w:tcW w:w="0" w:type="dxa"/>
            <w:vAlign w:val="bottom"/>
          </w:tcPr>
          <w:p>
            <w:pPr>
              <w:spacing w:after="0"/>
              <w:rPr>
                <w:sz w:val="1"/>
                <w:szCs w:val="1"/>
                <w:color w:val="auto"/>
              </w:rPr>
            </w:pPr>
          </w:p>
        </w:tc>
      </w:tr>
      <w:tr>
        <w:trPr>
          <w:trHeight w:val="238"/>
        </w:trPr>
        <w:tc>
          <w:tcPr>
            <w:tcW w:w="3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Assets</w:t>
            </w: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3,418</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1,281</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Remeasurement recognized in statement</w:t>
            </w:r>
          </w:p>
        </w:tc>
        <w:tc>
          <w:tcPr>
            <w:tcW w:w="14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(2,165)</w:t>
            </w: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(3,291)</w:t>
            </w:r>
          </w:p>
        </w:tc>
        <w:tc>
          <w:tcPr>
            <w:tcW w:w="1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1,742</w:t>
            </w: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profit or loss</w:t>
            </w:r>
          </w:p>
        </w:tc>
        <w:tc>
          <w:tcPr>
            <w:tcW w:w="142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15,871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27,265</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2,790</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13,610</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recognition</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393</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1,349</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(23,295)</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(5,177)</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(30,762)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1,646</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679</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(773)</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3,418</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 assets</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2,325</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3,418</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(773)</w:t>
            </w:r>
          </w:p>
        </w:tc>
        <w:tc>
          <w:tcPr>
            <w:tcW w:w="1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income in the consolidated statements of profit or loss and comprehensive profit or loss:</w:t>
      </w:r>
    </w:p>
    <w:p>
      <w:pPr>
        <w:ind w:left="86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(loss) on BTC options and selling contracts derivatives</w:t>
            </w:r>
          </w:p>
        </w:tc>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3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(6,338)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on settled contracts</w:t>
            </w:r>
          </w:p>
        </w:tc>
        <w:tc>
          <w:tcPr>
            <w:tcW w:w="3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4,789</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r>
      <w:tr>
        <w:trPr>
          <w:trHeight w:val="210"/>
        </w:trPr>
        <w:tc>
          <w:tcPr>
            <w:tcW w:w="698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(1,549)</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(loss) on BTC Redemption Option</w:t>
            </w:r>
          </w:p>
        </w:tc>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w:t>
            </w:r>
          </w:p>
        </w:tc>
        <w:tc>
          <w:tcPr>
            <w:tcW w:w="3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(3,180)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on settled options</w:t>
            </w:r>
          </w:p>
        </w:tc>
        <w:tc>
          <w:tcPr>
            <w:tcW w:w="3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1,015</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8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(2,165)</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gain (loss) (Note 22)</w:t>
            </w:r>
          </w:p>
        </w:tc>
        <w:tc>
          <w:tcPr>
            <w:tcW w:w="3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(3,714)</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19  Page</w:t>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assets held for sale* consisted of the following:</w:t>
      </w:r>
    </w:p>
    <w:p>
      <w:pPr>
        <w:spacing w:after="0" w:line="221"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Borders>
              <w:top w:val="single" w:sz="8" w:color="auto"/>
              <w:bottom w:val="single" w:sz="8" w:color="auto"/>
            </w:tcBorders>
          </w:tcPr>
          <w:p>
            <w:pPr>
              <w:spacing w:after="0"/>
              <w:rPr>
                <w:sz w:val="18"/>
                <w:szCs w:val="18"/>
                <w:color w:val="auto"/>
              </w:rPr>
            </w:pPr>
          </w:p>
        </w:tc>
        <w:tc>
          <w:tcPr>
            <w:tcW w:w="3640" w:type="dxa"/>
            <w:vAlign w:val="bottom"/>
            <w:tcBorders>
              <w:top w:val="single" w:sz="8" w:color="auto"/>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3640" w:type="dxa"/>
            <w:vAlign w:val="bottom"/>
            <w:shd w:val="clear" w:color="auto" w:fill="CCEEFF"/>
          </w:tcPr>
          <w:p>
            <w:pPr>
              <w:ind w:left="2800"/>
              <w:spacing w:after="0"/>
              <w:rPr>
                <w:sz w:val="20"/>
                <w:szCs w:val="20"/>
                <w:color w:val="auto"/>
              </w:rPr>
            </w:pPr>
            <w:r>
              <w:rPr>
                <w:rFonts w:ascii="Times New Roman" w:cs="Times New Roman" w:eastAsia="Times New Roman" w:hAnsi="Times New Roman"/>
                <w:sz w:val="18"/>
                <w:szCs w:val="18"/>
                <w:b w:val="1"/>
                <w:bCs w:val="1"/>
                <w:color w:val="auto"/>
              </w:rPr>
              <w:t>i.</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4,942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r>
      <w:tr>
        <w:trPr>
          <w:trHeight w:val="216"/>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36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666</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r>
      <w:tr>
        <w:trPr>
          <w:trHeight w:val="217"/>
        </w:trPr>
        <w:tc>
          <w:tcPr>
            <w:tcW w:w="492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5,608</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5,923</w:t>
            </w:r>
          </w:p>
        </w:tc>
      </w:tr>
    </w:tbl>
    <w:p>
      <w:pPr>
        <w:spacing w:after="0" w:line="196" w:lineRule="exact"/>
        <w:rPr>
          <w:sz w:val="20"/>
          <w:szCs w:val="20"/>
          <w:color w:val="auto"/>
        </w:rPr>
      </w:pPr>
    </w:p>
    <w:p>
      <w:pPr>
        <w:jc w:val="both"/>
        <w:ind w:left="20" w:firstLine="3"/>
        <w:spacing w:after="0" w:line="261" w:lineRule="auto"/>
        <w:tabs>
          <w:tab w:leader="none" w:pos="153" w:val="left"/>
        </w:tabs>
        <w:numPr>
          <w:ilvl w:val="1"/>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Assets held for sale were measured at the lower of their carrying amount and fair value less costs to sell at the time of the reclassification. The fair value of the asset was determined using the latest sale approach, which is based on recent sales price concluded by the Company. It is a level 3 measurement under the fair value hierarchy and is a non-recurring measurement. The key assumption used by Management to determine the fair value is the most recent amount invoiced to a third party for a Miner sold.</w:t>
      </w:r>
    </w:p>
    <w:p>
      <w:pPr>
        <w:spacing w:after="0" w:line="177"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Miners held for sale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MicroBT</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WhatsMiner M30,</w:t>
            </w:r>
          </w:p>
        </w:tc>
        <w:tc>
          <w:tcPr>
            <w:tcW w:w="16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M31 &amp; M50</w:t>
            </w:r>
          </w:p>
        </w:tc>
        <w:tc>
          <w:tcPr>
            <w:tcW w:w="16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WhatsMiner</w:t>
            </w:r>
          </w:p>
        </w:tc>
        <w:tc>
          <w:tcPr>
            <w:tcW w:w="1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Gain/(loss)</w:t>
            </w:r>
          </w:p>
        </w:tc>
      </w:tr>
      <w:tr>
        <w:trPr>
          <w:trHeight w:val="238"/>
        </w:trPr>
        <w:tc>
          <w:tcPr>
            <w:tcW w:w="2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Miners</w:t>
            </w:r>
          </w:p>
        </w:tc>
        <w:tc>
          <w:tcPr>
            <w:tcW w:w="7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M20S Miners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of sale</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on sale</w:t>
            </w:r>
          </w:p>
        </w:tc>
      </w:tr>
      <w:tr>
        <w:trPr>
          <w:trHeight w:val="210"/>
        </w:trPr>
        <w:tc>
          <w:tcPr>
            <w:tcW w:w="2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Qty</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Qty</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Qty</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Qty</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731</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w:t>
            </w:r>
          </w:p>
        </w:tc>
        <w:tc>
          <w:tcPr>
            <w:tcW w:w="1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1,031</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7,696</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1,363</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7,696</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7,696</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1,363</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473</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8,169</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30,606</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6,565</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2,609</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822</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33,215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(1,140)</w:t>
            </w: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(1,140)</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37,162</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7,677</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473</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2,609</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822</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40,244</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277</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5,786</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1,587</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6,063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(4,620)</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(1,022)</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(3,120)</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32,819</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3,597</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8,395</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2,109</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41,214</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1,447</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1,447</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(9,339)</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(1,026)</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(399)</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(9,738)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24,927</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2,752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7,996</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2,054</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32,923</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7,673</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2,739</w:t>
            </w: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7,673</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(11,177)</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(1,283)</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(11,177)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r>
        <w:trPr>
          <w:trHeight w:val="216"/>
        </w:trPr>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Impairment (Note 11)</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(1,320)</w:t>
            </w: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7"/>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2,888</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7,996</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2,054</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29,419</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4,942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20  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impairment loss in the consolidated statements of profit or loss and comprehensive profit or loss:</w:t>
      </w:r>
    </w:p>
    <w:p>
      <w:pPr>
        <w:spacing w:after="0" w:line="2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4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Equipment and construction</w:t>
            </w:r>
          </w:p>
        </w:tc>
        <w:tc>
          <w:tcPr>
            <w:tcW w:w="1400" w:type="dxa"/>
            <w:vAlign w:val="bottom"/>
            <w:tcBorders>
              <w:top w:val="single" w:sz="8" w:color="auto"/>
            </w:tcBorders>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Assets held for</w:t>
            </w:r>
          </w:p>
        </w:tc>
        <w:tc>
          <w:tcPr>
            <w:tcW w:w="1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ROU assets</w:t>
            </w:r>
          </w:p>
        </w:tc>
        <w:tc>
          <w:tcPr>
            <w:tcW w:w="2020" w:type="dxa"/>
            <w:vAlign w:val="bottom"/>
            <w:tcBorders>
              <w:top w:val="single" w:sz="8" w:color="auto"/>
            </w:tcBorders>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Property, plant and</w:t>
            </w:r>
          </w:p>
        </w:tc>
        <w:tc>
          <w:tcPr>
            <w:tcW w:w="100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4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prepayments</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w:t>
            </w:r>
          </w:p>
        </w:tc>
        <w:tc>
          <w:tcPr>
            <w:tcW w:w="1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000" w:type="dxa"/>
            <w:vAlign w:val="bottom"/>
            <w:tcBorders>
              <w:bottom w:val="single" w:sz="8" w:color="auto"/>
            </w:tcBorders>
          </w:tcPr>
          <w:p>
            <w:pPr>
              <w:spacing w:after="0"/>
              <w:rPr>
                <w:sz w:val="21"/>
                <w:szCs w:val="21"/>
                <w:color w:val="auto"/>
              </w:rPr>
            </w:pPr>
          </w:p>
        </w:tc>
      </w:tr>
      <w:tr>
        <w:trPr>
          <w:trHeight w:val="216"/>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Argentina CGU</w:t>
            </w:r>
          </w:p>
        </w:tc>
        <w:tc>
          <w:tcPr>
            <w:tcW w:w="3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15,576</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15,910</w:t>
            </w:r>
          </w:p>
        </w:tc>
      </w:tr>
      <w:tr>
        <w:trPr>
          <w:trHeight w:val="216"/>
        </w:trPr>
        <w:tc>
          <w:tcPr>
            <w:tcW w:w="2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Miners held for sale</w:t>
            </w:r>
          </w:p>
        </w:tc>
        <w:tc>
          <w:tcPr>
            <w:tcW w:w="3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1,320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1,320</w:t>
            </w:r>
          </w:p>
        </w:tc>
      </w:tr>
      <w:tr>
        <w:trPr>
          <w:trHeight w:val="217"/>
        </w:trPr>
        <w:tc>
          <w:tcPr>
            <w:tcW w:w="244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15,576</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17,230</w:t>
            </w:r>
          </w:p>
        </w:tc>
      </w:tr>
    </w:tbl>
    <w:p>
      <w:pPr>
        <w:spacing w:after="0" w:line="198"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as a result of the decline of the Company’s market capitalization and BTC prices, the Company performed evaluations of the recoverable amount of the assets for operating cryptocurrency mining facilities in Canada, United States, Argentina and Paraguay separately. The Company also observed an increase in gas prices which affects the Company’s cost of energy in Argentina. The recoverable amount for the Argentina cash generating unit (“CGU”) was calculated using the value in use model, which was determined to be lower than its carrying amount. Based on its calculation, the Company determined that an impairment loss should be recorded on its Argentina CGU in the amount of $15,910 during the first quarter of 2025.</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the following assumptions would result in further impairment on the Argentina CGU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Borders>
              <w:top w:val="single" w:sz="8" w:color="auto"/>
              <w:bottom w:val="single" w:sz="8" w:color="auto"/>
            </w:tcBorders>
          </w:tcPr>
          <w:p>
            <w:pPr>
              <w:spacing w:after="0"/>
              <w:rPr>
                <w:sz w:val="19"/>
                <w:szCs w:val="19"/>
                <w:color w:val="auto"/>
              </w:rPr>
            </w:pPr>
          </w:p>
        </w:tc>
        <w:tc>
          <w:tcPr>
            <w:tcW w:w="5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 in impairment loss</w:t>
            </w: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decrease of 5% of revenue</w:t>
            </w:r>
          </w:p>
        </w:tc>
        <w:tc>
          <w:tcPr>
            <w:tcW w:w="5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An increase of 5% in the discount rate</w:t>
            </w:r>
          </w:p>
        </w:tc>
        <w:tc>
          <w:tcPr>
            <w:tcW w:w="5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w:t>
            </w: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 increase of 5% in energy prices</w:t>
            </w:r>
          </w:p>
        </w:tc>
        <w:tc>
          <w:tcPr>
            <w:tcW w:w="5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21  Page</w:t>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 xml:space="preserve">IMPAIRMENT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assumptions used in the value in use calculation for the Argentina CGU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Two optimistic and two pessimistic scenarios and one status quo</w:t>
            </w:r>
          </w:p>
        </w:tc>
        <w:tc>
          <w:tcPr>
            <w:tcW w:w="4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weighted average daily revenue per Terahash used in</w:t>
            </w:r>
          </w:p>
        </w:tc>
      </w:tr>
      <w:tr>
        <w:trPr>
          <w:trHeight w:val="216"/>
        </w:trPr>
        <w:tc>
          <w:tcPr>
            <w:tcW w:w="15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scenario, each with an estimated future revenue per Terahash, were</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value in use calculation was $0.05/Terahash</w:t>
            </w:r>
          </w:p>
        </w:tc>
      </w:tr>
      <w:tr>
        <w:trPr>
          <w:trHeight w:val="216"/>
        </w:trPr>
        <w:tc>
          <w:tcPr>
            <w:tcW w:w="15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used to project revenues and associated cash flows from</w:t>
            </w:r>
          </w:p>
        </w:tc>
        <w:tc>
          <w:tcPr>
            <w:tcW w:w="44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cryptocurrency mining. Management assigned probabilities to each</w:t>
            </w:r>
          </w:p>
        </w:tc>
        <w:tc>
          <w:tcPr>
            <w:tcW w:w="4460" w:type="dxa"/>
            <w:vAlign w:val="bottom"/>
          </w:tcPr>
          <w:p>
            <w:pPr>
              <w:spacing w:after="0"/>
              <w:rPr>
                <w:sz w:val="18"/>
                <w:szCs w:val="18"/>
                <w:color w:val="auto"/>
              </w:rPr>
            </w:pPr>
          </w:p>
        </w:tc>
      </w:tr>
      <w:tr>
        <w:trPr>
          <w:trHeight w:val="234"/>
        </w:trPr>
        <w:tc>
          <w:tcPr>
            <w:tcW w:w="154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scenario to calculate weighted average expected outcomes.</w:t>
            </w:r>
          </w:p>
        </w:tc>
        <w:tc>
          <w:tcPr>
            <w:tcW w:w="4460" w:type="dxa"/>
            <w:vAlign w:val="bottom"/>
            <w:tcBorders>
              <w:bottom w:val="single" w:sz="8" w:color="auto"/>
            </w:tcBorders>
          </w:tcPr>
          <w:p>
            <w:pPr>
              <w:spacing w:after="0"/>
              <w:rPr>
                <w:sz w:val="20"/>
                <w:szCs w:val="20"/>
                <w:color w:val="auto"/>
              </w:rPr>
            </w:pPr>
          </w:p>
        </w:tc>
      </w:tr>
      <w:tr>
        <w:trPr>
          <w:trHeight w:val="187"/>
        </w:trPr>
        <w:tc>
          <w:tcPr>
            <w:tcW w:w="15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Discount rate and</w:t>
            </w:r>
          </w:p>
        </w:tc>
        <w:tc>
          <w:tcPr>
            <w:tcW w:w="52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color w:val="auto"/>
              </w:rPr>
              <w:t>The discount rate reflects Management’s assumptions regarding the</w:t>
            </w:r>
          </w:p>
        </w:tc>
        <w:tc>
          <w:tcPr>
            <w:tcW w:w="446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color w:val="auto"/>
              </w:rPr>
              <w:t>The value in use of the CGU was determined based on the</w:t>
            </w:r>
          </w:p>
        </w:tc>
      </w:tr>
      <w:tr>
        <w:trPr>
          <w:trHeight w:val="220"/>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 specific risk. The pre-tax discount rate used was estimated with</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 value of the expected cash flows over a four-year</w:t>
            </w:r>
          </w:p>
        </w:tc>
      </w:tr>
      <w:tr>
        <w:trPr>
          <w:trHeight w:val="216"/>
        </w:trPr>
        <w:tc>
          <w:tcPr>
            <w:tcW w:w="15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some of the risk already being implicitly reflected through</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period discounted at an annual pre-tax rate of 30% in</w:t>
            </w:r>
          </w:p>
        </w:tc>
      </w:tr>
      <w:tr>
        <w:trPr>
          <w:trHeight w:val="216"/>
        </w:trPr>
        <w:tc>
          <w:tcPr>
            <w:tcW w:w="15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allocation of probabilities to the various scenarios</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varying scenarios</w:t>
            </w:r>
          </w:p>
        </w:tc>
      </w:tr>
      <w:tr>
        <w:trPr>
          <w:trHeight w:val="234"/>
        </w:trPr>
        <w:tc>
          <w:tcPr>
            <w:tcW w:w="154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included in the revenue calculation.</w:t>
            </w:r>
          </w:p>
        </w:tc>
        <w:tc>
          <w:tcPr>
            <w:tcW w:w="4460" w:type="dxa"/>
            <w:vAlign w:val="bottom"/>
            <w:tcBorders>
              <w:bottom w:val="single" w:sz="8" w:color="auto"/>
            </w:tcBorders>
          </w:tcPr>
          <w:p>
            <w:pPr>
              <w:spacing w:after="0"/>
              <w:rPr>
                <w:sz w:val="20"/>
                <w:szCs w:val="20"/>
                <w:color w:val="auto"/>
              </w:rPr>
            </w:pPr>
          </w:p>
        </w:tc>
      </w:tr>
      <w:tr>
        <w:trPr>
          <w:trHeight w:val="191"/>
        </w:trPr>
        <w:tc>
          <w:tcPr>
            <w:tcW w:w="15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Energy prices</w:t>
            </w:r>
          </w:p>
        </w:tc>
        <w:tc>
          <w:tcPr>
            <w:tcW w:w="52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Management estimated that energy prices for the duration of the</w:t>
            </w:r>
          </w:p>
        </w:tc>
        <w:tc>
          <w:tcPr>
            <w:tcW w:w="44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$0.05 per kilowatt hour</w:t>
            </w:r>
          </w:p>
        </w:tc>
      </w:tr>
      <w:tr>
        <w:trPr>
          <w:trHeight w:val="234"/>
        </w:trPr>
        <w:tc>
          <w:tcPr>
            <w:tcW w:w="154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forecasted years will be approximately:</w:t>
            </w:r>
          </w:p>
        </w:tc>
        <w:tc>
          <w:tcPr>
            <w:tcW w:w="4460" w:type="dxa"/>
            <w:vAlign w:val="bottom"/>
            <w:tcBorders>
              <w:bottom w:val="single" w:sz="8" w:color="auto"/>
            </w:tcBorders>
          </w:tcPr>
          <w:p>
            <w:pPr>
              <w:spacing w:after="0"/>
              <w:rPr>
                <w:sz w:val="20"/>
                <w:szCs w:val="20"/>
                <w:color w:val="auto"/>
              </w:rPr>
            </w:pPr>
          </w:p>
        </w:tc>
      </w:tr>
      <w:tr>
        <w:trPr>
          <w:trHeight w:val="191"/>
        </w:trPr>
        <w:tc>
          <w:tcPr>
            <w:tcW w:w="15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Terminal values</w:t>
            </w:r>
          </w:p>
        </w:tc>
        <w:tc>
          <w:tcPr>
            <w:tcW w:w="52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Management estimated the terminal value of the Miners included in</w:t>
            </w:r>
          </w:p>
        </w:tc>
        <w:tc>
          <w:tcPr>
            <w:tcW w:w="44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Approximately 1 year</w:t>
            </w:r>
          </w:p>
        </w:tc>
      </w:tr>
      <w:tr>
        <w:trPr>
          <w:trHeight w:val="216"/>
        </w:trPr>
        <w:tc>
          <w:tcPr>
            <w:tcW w:w="15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CGU for the purposes of the impairment testing to be derived</w:t>
            </w:r>
          </w:p>
        </w:tc>
        <w:tc>
          <w:tcPr>
            <w:tcW w:w="44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the Miners direct margin applied to the ending hashrate for a</w:t>
            </w:r>
          </w:p>
        </w:tc>
        <w:tc>
          <w:tcPr>
            <w:tcW w:w="4460" w:type="dxa"/>
            <w:vAlign w:val="bottom"/>
          </w:tcPr>
          <w:p>
            <w:pPr>
              <w:spacing w:after="0"/>
              <w:rPr>
                <w:sz w:val="18"/>
                <w:szCs w:val="18"/>
                <w:color w:val="auto"/>
              </w:rPr>
            </w:pPr>
          </w:p>
        </w:tc>
      </w:tr>
      <w:tr>
        <w:trPr>
          <w:trHeight w:val="234"/>
        </w:trPr>
        <w:tc>
          <w:tcPr>
            <w:tcW w:w="154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period of:</w:t>
            </w:r>
          </w:p>
        </w:tc>
        <w:tc>
          <w:tcPr>
            <w:tcW w:w="4460" w:type="dxa"/>
            <w:vAlign w:val="bottom"/>
            <w:tcBorders>
              <w:bottom w:val="single" w:sz="8" w:color="auto"/>
            </w:tcBorders>
          </w:tcPr>
          <w:p>
            <w:pPr>
              <w:spacing w:after="0"/>
              <w:rPr>
                <w:sz w:val="20"/>
                <w:szCs w:val="20"/>
                <w:color w:val="auto"/>
              </w:rPr>
            </w:pPr>
          </w:p>
        </w:tc>
      </w:tr>
    </w:tbl>
    <w:p>
      <w:pPr>
        <w:spacing w:after="0" w:line="196" w:lineRule="exact"/>
        <w:rPr>
          <w:sz w:val="20"/>
          <w:szCs w:val="20"/>
          <w:color w:val="auto"/>
        </w:rPr>
      </w:pPr>
    </w:p>
    <w:p>
      <w:pPr>
        <w:ind w:left="160" w:hanging="137"/>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BTC price and BTC network difficulty that can lead to changes in expected revenues were considered in the various scenarios listed above.</w:t>
      </w:r>
    </w:p>
    <w:p>
      <w:pPr>
        <w:spacing w:after="0" w:line="227"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Refer to the discussion in Note 26 - Subsequent events (Argentina Operations), the outcome of which may result in further impairment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22  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PROPERTY, PLANT AND EQUIPMENT</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0"/>
        </w:trPr>
        <w:tc>
          <w:tcPr>
            <w:tcW w:w="3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Machinery</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3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BVVE</w:t>
            </w: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plants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425,447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34,426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59,827</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1,748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521,448</w:t>
            </w: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77,783</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2,980</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81,309</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through business combination</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39,490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92,228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18,376</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580</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1,678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158,289</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(18,395)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(34,006)</w:t>
            </w:r>
          </w:p>
        </w:tc>
      </w:tr>
      <w:tr>
        <w:trPr>
          <w:trHeight w:val="216"/>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(31,974)</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(31,974)</w:t>
            </w:r>
          </w:p>
        </w:tc>
      </w:tr>
      <w:tr>
        <w:trPr>
          <w:trHeight w:val="210"/>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492,351</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25,190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92,228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18,376</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63,387</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3,534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695,066</w:t>
            </w:r>
          </w:p>
        </w:tc>
      </w:tr>
      <w:tr>
        <w:trPr>
          <w:trHeight w:val="209"/>
        </w:trPr>
        <w:tc>
          <w:tcPr>
            <w:tcW w:w="3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141,878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29,377</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172,923</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22, 24</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26,722</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1,406</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28,591</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(29,214)</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(29,214)</w:t>
            </w:r>
          </w:p>
        </w:tc>
      </w:tr>
      <w:tr>
        <w:trPr>
          <w:trHeight w:val="216"/>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8,380</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7,162</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15,576</w:t>
            </w: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147,766</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992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37,945</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890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187,876</w:t>
            </w:r>
          </w:p>
        </w:tc>
      </w:tr>
      <w:tr>
        <w:trPr>
          <w:trHeight w:val="209"/>
        </w:trPr>
        <w:tc>
          <w:tcPr>
            <w:tcW w:w="3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7"/>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 as of March 31, 2025</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344,585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24,198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18,121</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25,442</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2,644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507,190</w:t>
            </w:r>
          </w:p>
        </w:tc>
      </w:tr>
      <w:tr>
        <w:trPr>
          <w:trHeight w:val="216"/>
        </w:trPr>
        <w:tc>
          <w:tcPr>
            <w:tcW w:w="3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210"/>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354,803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5,740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50,728</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1,262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412,533</w:t>
            </w: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294,311</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29,114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10,228</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334,182</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(208,471)</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(208,471)</w:t>
            </w: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discount rate in asset retirement</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9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r>
      <w:tr>
        <w:trPr>
          <w:trHeight w:val="210"/>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425,447</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34,426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59,827</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1,748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521,448</w:t>
            </w:r>
          </w:p>
        </w:tc>
      </w:tr>
      <w:tr>
        <w:trPr>
          <w:trHeight w:val="210"/>
        </w:trPr>
        <w:tc>
          <w:tcPr>
            <w:tcW w:w="3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199,794</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25,656</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226,521</w:t>
            </w: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22, 24</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141,219</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4,166</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depreciation</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22, 24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(197,199)</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(197,199)</w:t>
            </w:r>
          </w:p>
        </w:tc>
      </w:tr>
      <w:tr>
        <w:trPr>
          <w:trHeight w:val="216"/>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on deposits transferred to PPE</w:t>
            </w: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6,750</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141,878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29,377</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172,923</w:t>
            </w:r>
          </w:p>
        </w:tc>
      </w:tr>
      <w:tr>
        <w:trPr>
          <w:trHeight w:val="210"/>
        </w:trPr>
        <w:tc>
          <w:tcPr>
            <w:tcW w:w="3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6"/>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as of December 31, 2024</w:t>
            </w:r>
          </w:p>
        </w:tc>
        <w:tc>
          <w:tcPr>
            <w:tcW w:w="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283,569</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33,607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30,450</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23  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not subject to depreciation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property, plant and equipment that are not yet placed into service amounted to $12,928 and are not yet subject to depreciation.</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Through the sale of the Yguazu Mining Site, the Company sold $34,006 of property, plant and equipment to HIVE. Refer to Note 6 for more details.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LONG-TERM DEPOSITS AND EQUIPMENT PREPAYMENTS</w:t>
      </w:r>
    </w:p>
    <w:p>
      <w:pPr>
        <w:spacing w:after="0" w:line="225"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40" w:type="dxa"/>
            <w:vAlign w:val="bottom"/>
            <w:tcBorders>
              <w:top w:val="single" w:sz="8" w:color="auto"/>
              <w:bottom w:val="single" w:sz="8" w:color="auto"/>
            </w:tcBorders>
          </w:tcPr>
          <w:p>
            <w:pPr>
              <w:spacing w:after="0"/>
              <w:rPr>
                <w:sz w:val="18"/>
                <w:szCs w:val="18"/>
                <w:color w:val="auto"/>
              </w:rPr>
            </w:pPr>
          </w:p>
        </w:tc>
        <w:tc>
          <w:tcPr>
            <w:tcW w:w="38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38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8,376</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4,513</w:t>
            </w:r>
          </w:p>
        </w:tc>
      </w:tr>
      <w:tr>
        <w:trPr>
          <w:trHeight w:val="21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3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4,536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51,854</w:t>
            </w:r>
          </w:p>
        </w:tc>
      </w:tr>
      <w:tr>
        <w:trPr>
          <w:trHeight w:val="216"/>
        </w:trPr>
        <w:tc>
          <w:tcPr>
            <w:tcW w:w="6240" w:type="dxa"/>
            <w:vAlign w:val="bottom"/>
            <w:tcBorders>
              <w:bottom w:val="single" w:sz="8" w:color="auto"/>
            </w:tcBorders>
            <w:shd w:val="clear" w:color="auto" w:fill="CCEEFF"/>
          </w:tcPr>
          <w:p>
            <w:pPr>
              <w:spacing w:after="0"/>
              <w:rPr>
                <w:sz w:val="18"/>
                <w:szCs w:val="18"/>
                <w:color w:val="auto"/>
              </w:rPr>
            </w:pPr>
          </w:p>
        </w:tc>
        <w:tc>
          <w:tcPr>
            <w:tcW w:w="38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12,912</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56,367</w:t>
            </w:r>
          </w:p>
        </w:tc>
      </w:tr>
    </w:tbl>
    <w:p>
      <w:pPr>
        <w:ind w:left="20" w:hanging="4"/>
        <w:spacing w:after="0" w:line="260" w:lineRule="auto"/>
        <w:rPr>
          <w:sz w:val="20"/>
          <w:szCs w:val="20"/>
          <w:color w:val="auto"/>
        </w:rPr>
      </w:pPr>
      <w:r>
        <w:rPr>
          <w:rFonts w:ascii="Times New Roman" w:cs="Times New Roman" w:eastAsia="Times New Roman" w:hAnsi="Times New Roman"/>
          <w:sz w:val="18"/>
          <w:szCs w:val="18"/>
          <w:i w:val="1"/>
          <w:iCs w:val="1"/>
          <w:color w:val="auto"/>
        </w:rPr>
        <w:t>*Following the sale of the Yguazu Mining Site, the Company sold $18,321 of long-term deposits and equipment prepayments to HIVE. Refer to Note 6 for more details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p>
      <w:pPr>
        <w:spacing w:after="0" w:line="9"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8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3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34,791</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3280" w:type="dxa"/>
            <w:vAlign w:val="bottom"/>
          </w:tcPr>
          <w:p>
            <w:pPr>
              <w:spacing w:after="0"/>
              <w:rPr>
                <w:sz w:val="18"/>
                <w:szCs w:val="18"/>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3,042</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3,499</w:t>
            </w:r>
          </w:p>
        </w:tc>
      </w:tr>
      <w:tr>
        <w:trPr>
          <w:trHeight w:val="216"/>
        </w:trPr>
        <w:tc>
          <w:tcPr>
            <w:tcW w:w="5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3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1,494</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13,564</w:t>
            </w:r>
          </w:p>
        </w:tc>
      </w:tr>
      <w:tr>
        <w:trPr>
          <w:trHeight w:val="232"/>
        </w:trPr>
        <w:tc>
          <w:tcPr>
            <w:tcW w:w="5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4,536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60" w:hanging="137"/>
        <w:spacing w:after="0"/>
        <w:tabs>
          <w:tab w:leader="none" w:pos="160" w:val="left"/>
        </w:tabs>
        <w:numPr>
          <w:ilvl w:val="1"/>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Deposits for construction work and materials mainly related to the Argentina, Paraguay and United States expansions.</w:t>
      </w:r>
    </w:p>
    <w:p>
      <w:pPr>
        <w:spacing w:after="0" w:line="209" w:lineRule="exact"/>
        <w:rPr>
          <w:rFonts w:ascii="Times New Roman" w:cs="Times New Roman" w:eastAsia="Times New Roman" w:hAnsi="Times New Roman"/>
          <w:sz w:val="18"/>
          <w:szCs w:val="18"/>
          <w:i w:val="1"/>
          <w:iCs w:val="1"/>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2024 Purchase Order</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March 31, 2025, the deposit balance for the March 2024 Purchase Order is detailed as follows:</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jc w:val="right"/>
        <w:ind w:right="10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Value ($)</w:t>
      </w:r>
      <w:r>
        <w:rPr>
          <w:sz w:val="20"/>
          <w:szCs w:val="20"/>
          <w:color w:val="auto"/>
        </w:rPr>
        <w:tab/>
      </w:r>
      <w:r>
        <w:rPr>
          <w:rFonts w:ascii="Times New Roman" w:cs="Times New Roman" w:eastAsia="Times New Roman" w:hAnsi="Times New Roman"/>
          <w:sz w:val="17"/>
          <w:szCs w:val="17"/>
          <w:b w:val="1"/>
          <w:bCs w:val="1"/>
          <w:color w:val="auto"/>
        </w:rPr>
        <w:t>Quantity of Miners ordered (received or in transit)*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Non-refundable deposit on the March 2024 Purchase Order</w:t>
            </w:r>
          </w:p>
        </w:tc>
        <w:tc>
          <w:tcPr>
            <w:tcW w:w="3500" w:type="dxa"/>
            <w:vAlign w:val="bottom"/>
            <w:tcBorders>
              <w:top w:val="single" w:sz="8" w:color="auto"/>
            </w:tcBorders>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69,234</w:t>
            </w:r>
          </w:p>
        </w:tc>
        <w:tc>
          <w:tcPr>
            <w:tcW w:w="2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25,583</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Bitmain T21 Miners received or in transit</w:t>
            </w:r>
          </w:p>
        </w:tc>
        <w:tc>
          <w:tcPr>
            <w:tcW w:w="350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(17,108)</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(6,664)</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S21</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received</w:t>
            </w:r>
          </w:p>
        </w:tc>
        <w:tc>
          <w:tcPr>
            <w:tcW w:w="3500" w:type="dxa"/>
            <w:vAlign w:val="bottom"/>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(13,608)</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(3,975)</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Bitmain S21</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Hydro Miners received or in transit</w:t>
            </w:r>
          </w:p>
        </w:tc>
        <w:tc>
          <w:tcPr>
            <w:tcW w:w="350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(4,338)</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S21</w:t>
            </w: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Miners received</w:t>
            </w:r>
          </w:p>
        </w:tc>
        <w:tc>
          <w:tcPr>
            <w:tcW w:w="3500" w:type="dxa"/>
            <w:vAlign w:val="bottom"/>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(34,180)</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(6,723)</w:t>
            </w:r>
          </w:p>
        </w:tc>
      </w:tr>
      <w:tr>
        <w:trPr>
          <w:trHeight w:val="216"/>
        </w:trPr>
        <w:tc>
          <w:tcPr>
            <w:tcW w:w="5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S21 received unrelated to deposits (unpaid Miners)</w:t>
            </w:r>
          </w:p>
        </w:tc>
        <w:tc>
          <w:tcPr>
            <w:tcW w:w="350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(6,384)</w:t>
            </w:r>
          </w:p>
        </w:tc>
      </w:tr>
      <w:tr>
        <w:trPr>
          <w:trHeight w:val="217"/>
        </w:trPr>
        <w:tc>
          <w:tcPr>
            <w:tcW w:w="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440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1,075</w:t>
            </w:r>
          </w:p>
        </w:tc>
      </w:tr>
    </w:tbl>
    <w:p>
      <w:pPr>
        <w:ind w:left="20" w:firstLine="3"/>
        <w:spacing w:after="0" w:line="250" w:lineRule="auto"/>
        <w:tabs>
          <w:tab w:leader="none" w:pos="162"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hashrate from the Miners received corresponds to the total hashrate specified in the initial agreements. The quantity of Miners received may vary based on the individual specifications of each Miner.</w:t>
      </w:r>
    </w:p>
    <w:p>
      <w:pPr>
        <w:ind w:left="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Remaining miners to be received that were paid with BTC Pledged and were not included in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24  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 xml:space="preserve">LONG-TERM DEPOSITS AND EQUIPMENT PREPAYMENTS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ordered 19,369 Bitmain T21 Miners, 3,975 Bitmain S21 Miners and 762 Bitmain S21 Hydro Miners (collectively defined as the “March 2024 Purchase Order”) for $51,285, $13,608 and $4,338, respectively, with deliveries scheduled from April 2024 to November 2024. In November 2024, the Company amended the March 2024 Purchase Order and upgraded 12,853 Bitmain T21 Miners to 12,853 S21 Pro Miners for $22,654. The amendment had an embedded derivative for the BTC Redemption Option, as described in Note 9, which was initially recognized at a fair value of $1,349, reducing the Company’s Long-term deposits and equipment prepayments. As of March 31, 2025, the remaining deposit amount related to the BTC Redemption Option is not significant.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REFUNDABLE DEPOSITS</w:t>
            </w:r>
          </w:p>
        </w:tc>
        <w:tc>
          <w:tcPr>
            <w:tcW w:w="2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5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3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2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5,005</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2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ii.</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14,216</w:t>
            </w:r>
          </w:p>
        </w:tc>
      </w:tr>
      <w:tr>
        <w:trPr>
          <w:trHeight w:val="216"/>
        </w:trPr>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3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5,355</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bl>
    <w:p>
      <w:pPr>
        <w:spacing w:after="0" w:line="19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Security deposits for energy</w:t>
      </w:r>
    </w:p>
    <w:p>
      <w:pPr>
        <w:spacing w:after="0" w:line="2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security deposits for energy consumption related to the operational Paso Pe and in-construction Yguazu data centers in Paraguay, for which the undiscounted amounts represented $5,931 and nil, respectively, as of March 31, 2025 (December 31, 2024: $5,931 and $3,379, respectively), as the latter was disposed on March 14, 2025. Refer to Note 6.</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Refundable Hosting Deposits</w:t>
      </w:r>
    </w:p>
    <w:p>
      <w:pPr>
        <w:spacing w:after="0" w:line="29" w:lineRule="exact"/>
        <w:rPr>
          <w:sz w:val="20"/>
          <w:szCs w:val="20"/>
          <w:color w:val="auto"/>
        </w:rPr>
      </w:pPr>
    </w:p>
    <w:p>
      <w:pPr>
        <w:jc w:val="both"/>
        <w:ind w:left="20" w:hanging="4"/>
        <w:spacing w:after="0" w:line="251" w:lineRule="auto"/>
        <w:rPr>
          <w:sz w:val="20"/>
          <w:szCs w:val="20"/>
          <w:color w:val="auto"/>
        </w:rPr>
      </w:pPr>
      <w:r>
        <w:rPr>
          <w:rFonts w:ascii="Times New Roman" w:cs="Times New Roman" w:eastAsia="Times New Roman" w:hAnsi="Times New Roman"/>
          <w:sz w:val="18"/>
          <w:szCs w:val="18"/>
          <w:color w:val="auto"/>
        </w:rPr>
        <w:t>In September 2024 and in October 2024, the Company entered into two Miner hosting agreements (the “Panther Creek Hosting Agreement” and the “Scrubgrass Hosting Agreement”) with Stronghold which commenced on October 1, 2024 and November 1, 2024, respectively. In connection with the execution of these two Miner Hosting Agreements, the Company made two deposits of $7,800 with Stronghold (the “Panther Creek Refundable Deposit” and “Scrubgrass Refundable Deposit”, collectively, the “Refundable Hosting Deposits”). The Refundable Hosting Deposits bear an annual interest rate at Secured Overnight Financing Rate (“SOFR”) + 1% (the “Annual Interest Rate”). The Refundable Hosting Deposits were initially planned to be repaid in full to the Company within one business day from the end of the initial term expiring on December 31, 2025. Following the acquisition of Stronghold on March 14, 2025, the Panther Creek Hosting Agreement and Scrubgrass Hosting Agreement were terminated, settling the Refundable Hosting Deposits. Refer to Note 19 for more details on the financial instruments details.</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TRADE PAYABLES AND ACCRUED LIABILITIES</w:t>
      </w:r>
    </w:p>
    <w:p>
      <w:pPr>
        <w:spacing w:after="0" w:line="225"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0" w:type="dxa"/>
            <w:vAlign w:val="bottom"/>
            <w:tcBorders>
              <w:top w:val="single" w:sz="8" w:color="auto"/>
              <w:bottom w:val="single" w:sz="8" w:color="auto"/>
            </w:tcBorders>
          </w:tcPr>
          <w:p>
            <w:pPr>
              <w:spacing w:after="0"/>
              <w:rPr>
                <w:sz w:val="18"/>
                <w:szCs w:val="18"/>
                <w:color w:val="auto"/>
              </w:rPr>
            </w:pPr>
          </w:p>
        </w:tc>
        <w:tc>
          <w:tcPr>
            <w:tcW w:w="38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8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44,087</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8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8,153</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3,736</w:t>
            </w: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option and selling contracts payable</w:t>
            </w:r>
          </w:p>
        </w:tc>
        <w:tc>
          <w:tcPr>
            <w:tcW w:w="38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5,640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62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57,880</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25,894</w:t>
            </w:r>
          </w:p>
        </w:tc>
      </w:tr>
    </w:tbl>
    <w:p>
      <w:pPr>
        <w:spacing w:after="0" w:line="196"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the Acquisition Date, additions from the business combination amounted to $20,804 for trade accounts payable and accrued liabilities. Refer to Note</w:t>
      </w:r>
    </w:p>
    <w:p>
      <w:pPr>
        <w:spacing w:after="0" w:line="29"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5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25  Page</w:t>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WARRANT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warrant liabilities relating to the 2023 private placements described below was $2,396 as of March 31, 2025 (as of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22,222,223 warrants and 3,000,000 broker warrants to purchase common shares (the “2023 private placement”).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recognized in Net financial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Details of the outstanding warrant liabilities are as follows:</w:t>
            </w:r>
          </w:p>
        </w:tc>
        <w:tc>
          <w:tcPr>
            <w:tcW w:w="1900" w:type="dxa"/>
            <w:vAlign w:val="bottom"/>
          </w:tcPr>
          <w:p>
            <w:pPr>
              <w:spacing w:after="0"/>
              <w:rPr>
                <w:sz w:val="20"/>
                <w:szCs w:val="20"/>
                <w:color w:val="auto"/>
              </w:rPr>
            </w:pPr>
          </w:p>
        </w:tc>
        <w:tc>
          <w:tcPr>
            <w:tcW w:w="15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5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3440" w:type="dxa"/>
            <w:vAlign w:val="bottom"/>
            <w:gridSpan w:val="2"/>
          </w:tcPr>
          <w:p>
            <w:pPr>
              <w:jc w:val="right"/>
              <w:ind w:right="150"/>
              <w:spacing w:after="0" w:line="188" w:lineRule="exact"/>
              <w:rPr>
                <w:sz w:val="20"/>
                <w:szCs w:val="20"/>
                <w:color w:val="auto"/>
              </w:rPr>
            </w:pPr>
            <w:r>
              <w:rPr>
                <w:rFonts w:ascii="Times New Roman" w:cs="Times New Roman" w:eastAsia="Times New Roman" w:hAnsi="Times New Roman"/>
                <w:sz w:val="18"/>
                <w:szCs w:val="18"/>
                <w:i w:val="1"/>
                <w:iCs w:val="1"/>
                <w:color w:val="auto"/>
              </w:rPr>
              <w:t>three-month period</w:t>
            </w:r>
          </w:p>
        </w:tc>
        <w:tc>
          <w:tcPr>
            <w:tcW w:w="252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i w:val="1"/>
                <w:iCs w:val="1"/>
                <w:color w:val="auto"/>
              </w:rPr>
              <w:t>twelve-month period</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38"/>
        </w:trPr>
        <w:tc>
          <w:tcPr>
            <w:tcW w:w="5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35,105,390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(5,111,111)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(19,152,797)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7"/>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balance as of period end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10,841,482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March 31, 2025, was 1.7 years (December 31, 2024: 1.9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warrants and broker warrants</w:t>
      </w:r>
    </w:p>
    <w:p>
      <w:pPr>
        <w:spacing w:after="0" w:line="31"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top w:val="single" w:sz="8" w:color="auto"/>
            </w:tcBorders>
            <w:gridSpan w:val="3"/>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4.27%</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9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84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5"/>
              </w:rPr>
              <w:t>1.89</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2.13</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5"/>
              </w:rPr>
              <w:t>1.17</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0.22</w:t>
            </w:r>
          </w:p>
        </w:tc>
        <w:tc>
          <w:tcPr>
            <w:tcW w:w="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0.74</w:t>
            </w:r>
          </w:p>
        </w:tc>
      </w:tr>
      <w:tr>
        <w:trPr>
          <w:trHeight w:val="223"/>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(exercised) outstanding</w:t>
            </w:r>
          </w:p>
        </w:tc>
        <w:tc>
          <w:tcPr>
            <w:tcW w:w="2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10,841,482</w:t>
            </w: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10,841,482</w:t>
            </w:r>
          </w:p>
        </w:tc>
      </w:tr>
      <w:tr>
        <w:trPr>
          <w:trHeight w:val="432"/>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Refer to Note 18 for equity warrant details.</w:t>
            </w: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9"/>
        </w:trPr>
        <w:tc>
          <w:tcPr>
            <w:tcW w:w="58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16"/>
        </w:trPr>
        <w:tc>
          <w:tcPr>
            <w:tcW w:w="5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w:t>
            </w:r>
          </w:p>
        </w:tc>
        <w:tc>
          <w:tcPr>
            <w:tcW w:w="9360" w:type="dxa"/>
            <w:vAlign w:val="bottom"/>
          </w:tcPr>
          <w:p>
            <w:pPr>
              <w:jc w:val="right"/>
              <w:ind w:right="785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940" w:type="dxa"/>
            <w:vAlign w:val="bottom"/>
          </w:tcPr>
          <w:p>
            <w:pPr>
              <w:spacing w:after="0"/>
              <w:rPr>
                <w:sz w:val="20"/>
                <w:szCs w:val="20"/>
                <w:color w:val="auto"/>
              </w:rPr>
            </w:pPr>
          </w:p>
        </w:tc>
      </w:tr>
      <w:tr>
        <w:trPr>
          <w:trHeight w:val="410"/>
        </w:trPr>
        <w:tc>
          <w:tcPr>
            <w:tcW w:w="10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tc>
        <w:tc>
          <w:tcPr>
            <w:tcW w:w="940" w:type="dxa"/>
            <w:vAlign w:val="bottom"/>
          </w:tcPr>
          <w:p>
            <w:pPr>
              <w:spacing w:after="0"/>
              <w:rPr>
                <w:sz w:val="24"/>
                <w:szCs w:val="24"/>
                <w:color w:val="auto"/>
              </w:rPr>
            </w:pPr>
          </w:p>
        </w:tc>
      </w:tr>
      <w:tr>
        <w:trPr>
          <w:trHeight w:val="238"/>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940" w:type="dxa"/>
            <w:vAlign w:val="bottom"/>
            <w:tcBorders>
              <w:bottom w:val="single" w:sz="8" w:color="auto"/>
            </w:tcBorders>
          </w:tcPr>
          <w:p>
            <w:pPr>
              <w:spacing w:after="0"/>
              <w:rPr>
                <w:sz w:val="18"/>
                <w:szCs w:val="18"/>
                <w:color w:val="auto"/>
              </w:rPr>
            </w:pPr>
          </w:p>
        </w:tc>
        <w:tc>
          <w:tcPr>
            <w:tcW w:w="9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tax (expense) recovery:</w:t>
            </w:r>
          </w:p>
        </w:tc>
        <w:tc>
          <w:tcPr>
            <w:tcW w:w="94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9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(763)</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9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Borders>
              <w:bottom w:val="single" w:sz="8" w:color="auto"/>
            </w:tcBorders>
            <w:shd w:val="clear" w:color="auto" w:fill="CCEEFF"/>
          </w:tcPr>
          <w:p>
            <w:pPr>
              <w:spacing w:after="0"/>
              <w:rPr>
                <w:sz w:val="18"/>
                <w:szCs w:val="18"/>
                <w:color w:val="auto"/>
              </w:rPr>
            </w:pPr>
          </w:p>
        </w:tc>
        <w:tc>
          <w:tcPr>
            <w:tcW w:w="93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(763)</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recovery (expense):</w:t>
            </w:r>
          </w:p>
        </w:tc>
        <w:tc>
          <w:tcPr>
            <w:tcW w:w="94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9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(4,863)</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93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40" w:type="dxa"/>
            <w:vAlign w:val="bottom"/>
            <w:tcBorders>
              <w:bottom w:val="single" w:sz="8" w:color="auto"/>
            </w:tcBorders>
          </w:tcPr>
          <w:p>
            <w:pPr>
              <w:spacing w:after="0"/>
              <w:rPr>
                <w:sz w:val="18"/>
                <w:szCs w:val="18"/>
                <w:color w:val="auto"/>
              </w:rPr>
            </w:pPr>
          </w:p>
        </w:tc>
        <w:tc>
          <w:tcPr>
            <w:tcW w:w="9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(4,863)</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940" w:type="dxa"/>
            <w:vAlign w:val="bottom"/>
            <w:tcBorders>
              <w:bottom w:val="single" w:sz="8" w:color="auto"/>
            </w:tcBorders>
            <w:shd w:val="clear" w:color="auto" w:fill="CCEEFF"/>
          </w:tcPr>
          <w:p>
            <w:pPr>
              <w:spacing w:after="0"/>
              <w:rPr>
                <w:sz w:val="18"/>
                <w:szCs w:val="18"/>
                <w:color w:val="auto"/>
              </w:rPr>
            </w:pPr>
          </w:p>
        </w:tc>
        <w:tc>
          <w:tcPr>
            <w:tcW w:w="93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(5,626)</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and are fully paid which are as follows:</w:t>
      </w:r>
    </w:p>
    <w:p>
      <w:pPr>
        <w:spacing w:after="0" w:line="20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26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479,332,885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334,153,330</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Issuance through at-the market equity offering program</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i.</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14,444,643</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16,997,285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through business combination</w:t>
            </w:r>
          </w:p>
        </w:tc>
        <w:tc>
          <w:tcPr>
            <w:tcW w:w="264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5</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59,866,852</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 liabilities</w:t>
            </w:r>
          </w:p>
        </w:tc>
        <w:tc>
          <w:tcPr>
            <w:tcW w:w="2640" w:type="dxa"/>
            <w:vAlign w:val="bottom"/>
            <w:tcBorders>
              <w:bottom w:val="single" w:sz="8" w:color="auto"/>
            </w:tcBorders>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5,111,111</w:t>
            </w:r>
          </w:p>
        </w:tc>
      </w:tr>
      <w:tr>
        <w:trPr>
          <w:trHeight w:val="216"/>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March 31,</w:t>
            </w:r>
          </w:p>
        </w:tc>
        <w:tc>
          <w:tcPr>
            <w:tcW w:w="2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553,644,380</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356,291,726</w:t>
            </w:r>
          </w:p>
        </w:tc>
      </w:tr>
    </w:tbl>
    <w:p>
      <w:pPr>
        <w:spacing w:after="0" w:line="19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an ATM Program on March 11, 2024 (the “2024 ATM Program”), pursuant to which the Company may, at its discretion and from time-to-time, sell common shares of the Company, resulting in the Company receiving aggregate gross proceeds of up to $375,000. During the three months ended March 31, 2025, the Company issued 14,444,643 common shares in exchange for gross proceeds of $24,386 at an average share price of approximately $1.69. The Company received net proceeds of $23,608 after paying commissions of $732 to the sales agent and $47 in other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27  Page</w:t>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14, 2025, the Company issued 12,893,650 warrants at an average exercise price of $1.30 as part of the consideration paid to acquire Stronghold. The total value was $11,477 using the Black-Scholes valuation model. Refer to Note 5. The warrants are convertible for a fixed number of common shares of the Company, which are classified as equity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model and weighted average inputs below were used in determining the values of the warrants at initial recognition: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5040" w:type="dxa"/>
            <w:vAlign w:val="bottom"/>
            <w:tcBorders>
              <w:top w:val="single" w:sz="8" w:color="auto"/>
              <w:bottom w:val="single" w:sz="8" w:color="auto"/>
            </w:tcBorders>
            <w:gridSpan w:val="3"/>
          </w:tcPr>
          <w:p>
            <w:pPr>
              <w:ind w:left="3700"/>
              <w:spacing w:after="0"/>
              <w:rPr>
                <w:sz w:val="20"/>
                <w:szCs w:val="20"/>
                <w:color w:val="auto"/>
              </w:rPr>
            </w:pPr>
            <w:r>
              <w:rPr>
                <w:rFonts w:ascii="Times New Roman" w:cs="Times New Roman" w:eastAsia="Times New Roman" w:hAnsi="Times New Roman"/>
                <w:sz w:val="18"/>
                <w:szCs w:val="18"/>
                <w:b w:val="1"/>
                <w:bCs w:val="1"/>
                <w:color w:val="auto"/>
              </w:rPr>
              <w:t>March 14, 2025</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45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45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45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4.15%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456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5"/>
              </w:rPr>
              <w:t>5.96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456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1.11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456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5"/>
              </w:rPr>
              <w:t>1.30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456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0.89</w:t>
            </w:r>
          </w:p>
        </w:tc>
      </w:tr>
      <w:tr>
        <w:trPr>
          <w:trHeight w:val="22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issued</w:t>
            </w:r>
          </w:p>
        </w:tc>
        <w:tc>
          <w:tcPr>
            <w:tcW w:w="5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12,893,650</w:t>
            </w:r>
          </w:p>
        </w:tc>
      </w:tr>
      <w:tr>
        <w:trPr>
          <w:trHeight w:val="439"/>
        </w:trPr>
        <w:tc>
          <w:tcPr>
            <w:tcW w:w="62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16"/>
        </w:trPr>
        <w:tc>
          <w:tcPr>
            <w:tcW w:w="6200" w:type="dxa"/>
            <w:vAlign w:val="bottom"/>
          </w:tcPr>
          <w:p>
            <w:pPr>
              <w:spacing w:after="0"/>
              <w:rPr>
                <w:sz w:val="18"/>
                <w:szCs w:val="18"/>
                <w:color w:val="auto"/>
              </w:rPr>
            </w:pPr>
          </w:p>
        </w:tc>
        <w:tc>
          <w:tcPr>
            <w:tcW w:w="456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9"/>
              </w:rPr>
              <w:t>28</w:t>
            </w:r>
          </w:p>
        </w:tc>
        <w:tc>
          <w:tcPr>
            <w:tcW w:w="8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categories and fair value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58"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6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Level 1</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38,546</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59,542</w:t>
            </w: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Level 3</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2,680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6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Level 3</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1,638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2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5,005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26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14,216</w:t>
            </w: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refundable deposits</w:t>
            </w:r>
          </w:p>
        </w:tc>
        <w:tc>
          <w:tcPr>
            <w:tcW w:w="2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Level 3</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350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from disposal of business</w:t>
            </w:r>
          </w:p>
        </w:tc>
        <w:tc>
          <w:tcPr>
            <w:tcW w:w="26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Level 3</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30,178</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6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2,325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r>
      <w:tr>
        <w:trPr>
          <w:trHeight w:val="209"/>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6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80,722</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87,562</w:t>
            </w:r>
          </w:p>
        </w:tc>
      </w:tr>
      <w:tr>
        <w:trPr>
          <w:trHeight w:val="210"/>
        </w:trPr>
        <w:tc>
          <w:tcPr>
            <w:tcW w:w="58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Level 3</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49,727</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22,158</w:t>
            </w: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obligation</w:t>
            </w:r>
          </w:p>
        </w:tc>
        <w:tc>
          <w:tcPr>
            <w:tcW w:w="26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Level 3</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20,073</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6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2,435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58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6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773</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2,396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10"/>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6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75,404</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31,875</w:t>
            </w:r>
          </w:p>
        </w:tc>
      </w:tr>
      <w:tr>
        <w:trPr>
          <w:trHeight w:val="210"/>
        </w:trPr>
        <w:tc>
          <w:tcPr>
            <w:tcW w:w="58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6"/>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6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5,318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55,687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trade receivables, other receivables, security deposits for energy, Refundable Hosting Deposits, other refundable deposits, receivable from disposal of business, trade payables and accrued liabilities, redemption obligations and long-term debt presented in the table above are a reasonable approximation of their fair value due to their short-term maturity or they are valued using the income approach valuation technique.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2023 private placements are classified as financial liabilities at fair value through profit or loss with the change in fair value recorded to Net financial income. The fair value measurement is categorized as Level 2 in the fair value hierarchy, is a recurring measurement and is calculated using a Black-Scholes pricing model at each reporting date. Refer to Note 16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29  Page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fair value of derivatives is categorized as Level 2 in the fair value hierarchy and is presented under derivative assets and liabilities in the consolidated statements of financial position. Their fair values are a recurring measurement. Refer to Note 9 for more details.</w:t>
      </w:r>
    </w:p>
    <w:p>
      <w:pPr>
        <w:spacing w:after="0" w:line="17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BTC option and selling contracts (derivatives)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tab/>
        <w:t>BTC Redemption Option (embedded derivative)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purchase order agreements explained in Note 9 provide the Company with the option to redeem the BTC Pledged at a market price determined when the BTC was first pledged (“Agreed BTC Price”). The right to redeem the BTC Pledged meets the definition of an embedded derivative as the derivative that is embedded in the non-financial contract is not closely related to the host contract. Its fair value is determined using a combination of the Monte Carlo simulation model to simulate the future price of BTC using probability factors and the Black-Scholes Model to estimate the value of each BTC Redemption Option. At each reporting date, the fair value is determined by multiplying the number of redeemable BTC pledged by the present value of the difference between the Agreed BTC Price and the simulated spot price of BTC while considering the likelihood of exercising the quarterly installments, with the change in fair value recorded to Net 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30  Page</w:t>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deposits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refundable deposits are measured at amortized cost using the effective interest rate (“EIR”) method and are classified as Level 2 according to the Company’s fair value hierarchy. Their fair values are a recurring measurement. The valuation technique used is the income approach (discounted future cash flows). Refer to Note 14 for more details.</w:t>
      </w:r>
    </w:p>
    <w:p>
      <w:pPr>
        <w:spacing w:after="0" w:line="18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Refundable Hosting Deposits</w:t>
      </w:r>
    </w:p>
    <w:p>
      <w:pPr>
        <w:spacing w:after="0" w:line="29" w:lineRule="exact"/>
        <w:rPr>
          <w:sz w:val="20"/>
          <w:szCs w:val="20"/>
          <w:color w:val="auto"/>
        </w:rPr>
      </w:pPr>
    </w:p>
    <w:p>
      <w:pPr>
        <w:jc w:val="both"/>
        <w:ind w:left="20" w:right="20" w:hanging="4"/>
        <w:spacing w:after="0" w:line="255" w:lineRule="auto"/>
        <w:rPr>
          <w:sz w:val="20"/>
          <w:szCs w:val="20"/>
          <w:color w:val="auto"/>
        </w:rPr>
      </w:pPr>
      <w:r>
        <w:rPr>
          <w:rFonts w:ascii="Times New Roman" w:cs="Times New Roman" w:eastAsia="Times New Roman" w:hAnsi="Times New Roman"/>
          <w:sz w:val="18"/>
          <w:szCs w:val="18"/>
          <w:color w:val="auto"/>
        </w:rPr>
        <w:t>The Refundable Hosting Deposits are accounted for as financial assets and recorded at fair value on initial recognition based on the contractual right to receive only each refundable hosting deposit plus interest at the end of the term. Following the acquisition of Stronghold on March 14, 2025, the Panther Creek and the Scrubgrass Hosting Agreements were terminated, settling the Refundable Hosting Deposits.</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Security deposits for energy</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Its EIR is 6% over an approximately three-year period. Following the disposal of the Yguazu Mining site, the deposits related to this project were derecognized.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movement in the refundable deposits: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Refundable</w:t>
            </w:r>
          </w:p>
        </w:tc>
        <w:tc>
          <w:tcPr>
            <w:tcW w:w="15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deposits for</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Panther Creek</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Scrubgrass</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277</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7,800</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7,800</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15,600</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9,034</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24,634</w:t>
            </w:r>
          </w:p>
        </w:tc>
      </w:tr>
      <w:tr>
        <w:trPr>
          <w:trHeight w:val="243"/>
        </w:trPr>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loss on recognition</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(675)</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(933)</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(1,571)</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7"/>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at initial recognition</w:t>
            </w: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7,125</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7,542</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14,667</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7,740</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22,407</w:t>
            </w: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261</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364</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ECLs</w:t>
            </w:r>
          </w:p>
        </w:tc>
        <w:tc>
          <w:tcPr>
            <w:tcW w:w="1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(409)</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(406)</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(815)</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6"/>
        </w:trPr>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6,977</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7,239</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14,216</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7,740</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Addition from business combination</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187</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313</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74</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603</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342</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945</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945</w:t>
            </w:r>
          </w:p>
        </w:tc>
      </w:tr>
      <w:tr>
        <w:trPr>
          <w:trHeight w:val="216"/>
        </w:trPr>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(7,767)</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(7,707)</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(15,474)</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(2,809)</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(18,283)</w:t>
            </w:r>
          </w:p>
        </w:tc>
      </w:tr>
      <w:tr>
        <w:trPr>
          <w:trHeight w:val="244"/>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5,005</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31  Page</w:t>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three months ended March 31, 2025, would have totaled 4,858,178 (three months ended March 31, 2024: 16,034,675).</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share-based payment expense related to stock options (“Options”) and restricted stock units (“RSU”) for employees, directors, consultants and former employees received was as follows:</w:t>
      </w: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Borders>
              <w:top w:val="single" w:sz="8" w:color="auto"/>
              <w:bottom w:val="single" w:sz="8" w:color="auto"/>
            </w:tcBorders>
          </w:tcPr>
          <w:p>
            <w:pPr>
              <w:spacing w:after="0"/>
              <w:rPr>
                <w:sz w:val="18"/>
                <w:szCs w:val="18"/>
                <w:color w:val="auto"/>
              </w:rPr>
            </w:pPr>
          </w:p>
        </w:tc>
        <w:tc>
          <w:tcPr>
            <w:tcW w:w="4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4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4,437</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the Board approved Options grants to purchase 540,000 common shares in accordance with the Long-Term Incentive Plan (the “LTIP Plan”) adopted on May 18, 2021 (three months ended March 31, 2024: nil common shares). All Options issued according to the LTIP Plan become exercisable when they vest and can be exercised for a maximum period of 5 years from the date of the grant. In addition, the Company granted 302 Options to certain employees of Stronghold as part of the business combination described in Note 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20" w:type="dxa"/>
            <w:vAlign w:val="bottom"/>
            <w:tcBorders>
              <w:bottom w:val="single" w:sz="8" w:color="auto"/>
            </w:tcBorders>
          </w:tcPr>
          <w:p>
            <w:pPr>
              <w:spacing w:after="0"/>
              <w:rPr>
                <w:sz w:val="18"/>
                <w:szCs w:val="18"/>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3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620" w:type="dxa"/>
            <w:vAlign w:val="bottom"/>
          </w:tcPr>
          <w:p>
            <w:pPr>
              <w:spacing w:after="0"/>
              <w:rPr>
                <w:sz w:val="16"/>
                <w:szCs w:val="16"/>
                <w:color w:val="auto"/>
              </w:rPr>
            </w:pPr>
          </w:p>
        </w:tc>
        <w:tc>
          <w:tcPr>
            <w:tcW w:w="18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30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($CAD)</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Number of Options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Exercise Price ($CAD)</w:t>
            </w:r>
          </w:p>
        </w:tc>
      </w:tr>
      <w:tr>
        <w:trPr>
          <w:trHeight w:val="21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26,865,764</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20,939,387</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540,302</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2.27</w:t>
            </w: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(57,500)</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(12,500)</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3.03</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2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27,336,066</w:t>
            </w: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2.63</w:t>
            </w: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20,804,387</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7"/>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March 31,</w:t>
            </w:r>
          </w:p>
        </w:tc>
        <w:tc>
          <w:tcPr>
            <w:tcW w:w="2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2,113,900</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0.54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9,911,000</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outstanding Options as of March 31, 2025 was 3.5 years (March 31, 2024: 3.8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32  Page</w:t>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 xml:space="preserve">SHARE-BASED 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inputs used to value the stock option grants using the Black-Scholes model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5000" w:type="dxa"/>
            <w:vAlign w:val="bottom"/>
            <w:tcBorders>
              <w:top w:val="single" w:sz="8" w:color="auto"/>
              <w:bottom w:val="single" w:sz="8" w:color="auto"/>
            </w:tcBorders>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rPr>
              <w:t>January 10, 2025</w:t>
            </w: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9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39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9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394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39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39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39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RSUs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80" w:type="dxa"/>
            <w:vAlign w:val="bottom"/>
            <w:tcBorders>
              <w:bottom w:val="single" w:sz="8" w:color="auto"/>
            </w:tcBorders>
          </w:tcPr>
          <w:p>
            <w:pPr>
              <w:spacing w:after="0"/>
              <w:rPr>
                <w:sz w:val="18"/>
                <w:szCs w:val="18"/>
                <w:color w:val="auto"/>
              </w:rPr>
            </w:pPr>
          </w:p>
        </w:tc>
      </w:tr>
      <w:tr>
        <w:trPr>
          <w:trHeight w:val="209"/>
        </w:trPr>
        <w:tc>
          <w:tcPr>
            <w:tcW w:w="34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3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440" w:type="dxa"/>
            <w:vAlign w:val="bottom"/>
          </w:tcPr>
          <w:p>
            <w:pPr>
              <w:spacing w:after="0"/>
              <w:rPr>
                <w:sz w:val="16"/>
                <w:szCs w:val="16"/>
                <w:color w:val="auto"/>
              </w:rPr>
            </w:pPr>
          </w:p>
        </w:tc>
        <w:tc>
          <w:tcPr>
            <w:tcW w:w="16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34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Grant Price ($CAD)</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Number of RSUs</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Grant Price ($CAD)</w:t>
            </w:r>
          </w:p>
        </w:tc>
      </w:tr>
      <w:tr>
        <w:trPr>
          <w:trHeight w:val="210"/>
        </w:trPr>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897,666</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3.61</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624,998</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10"/>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1,890,000</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2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2,787,666</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2.24</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799,998</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1,890,000 RSUs to certain employees and executive Management of Stronghold as part of the business combination described in Note 5. 1,631,700 RSUs were fully vested upon grant and 258,300 RSUs vest approximately 17% every 3 months. The fair value of the RSUs is based on the Company’s share price at the date of grant.</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Board approved the grant of 175,000 RSUs to certain members of senior Management which vest 50% approximately one month from the grant date and an additional 25% every 6 months.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 awards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following the Stronghold transaction, the Company entered into a stock award agreement as well as a consulting agreement with a former executive management of Stronghold and granted 1,542,320 share awards. The share awards shall fully vest in September 2025, subject to continued provision of services through this date. Notwithstanding the forgoing, the share awards can be accelerated and fully vested if certain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33  Page</w:t>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6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3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64,863</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49,423</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3320" w:type="dxa"/>
            <w:vAlign w:val="bottom"/>
          </w:tcPr>
          <w:p>
            <w:pPr>
              <w:spacing w:after="0"/>
              <w:rPr>
                <w:sz w:val="18"/>
                <w:szCs w:val="18"/>
                <w:color w:val="auto"/>
              </w:rPr>
            </w:pP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571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3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1,094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Energy sales</w:t>
            </w:r>
          </w:p>
        </w:tc>
        <w:tc>
          <w:tcPr>
            <w:tcW w:w="3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320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26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50,317</w:t>
            </w:r>
          </w:p>
        </w:tc>
      </w:tr>
      <w:tr>
        <w:trPr>
          <w:trHeight w:val="432"/>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52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52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3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(25,408)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(38,977)</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3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(7,735)</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3320" w:type="dxa"/>
            <w:vAlign w:val="bottom"/>
          </w:tcPr>
          <w:p>
            <w:pPr>
              <w:spacing w:after="0"/>
              <w:rPr>
                <w:sz w:val="18"/>
                <w:szCs w:val="18"/>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(3,677)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43"/>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3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16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(877)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43"/>
        </w:trPr>
        <w:tc>
          <w:tcPr>
            <w:tcW w:w="52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(67,390)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(60,999)</w:t>
            </w:r>
          </w:p>
        </w:tc>
      </w:tr>
    </w:tbl>
    <w:p>
      <w:pPr>
        <w:spacing w:after="0" w:line="194"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2025, the cost of electrical component inventory and waste, limestone and fuel oil recognized as an expense and included in cost of revenues was $678 (three months ended March 31, 2024: $526).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34  Page</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ADDITIONAL DETAILS TO THE STATEMENT OF PROFIT OR LOSS AND COMPREHENSIVE PROFIT OR LOSS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0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(6,170)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(4,437)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(5,687)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880" w:type="dxa"/>
            <w:vAlign w:val="bottom"/>
          </w:tcPr>
          <w:p>
            <w:pPr>
              <w:spacing w:after="0"/>
              <w:rPr>
                <w:sz w:val="18"/>
                <w:szCs w:val="18"/>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(3,104)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(470)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Telecom hosting and telecommunications</w:t>
            </w:r>
          </w:p>
        </w:tc>
        <w:tc>
          <w:tcPr>
            <w:tcW w:w="2880" w:type="dxa"/>
            <w:vAlign w:val="bottom"/>
          </w:tcPr>
          <w:p>
            <w:pPr>
              <w:spacing w:after="0"/>
              <w:rPr>
                <w:sz w:val="18"/>
                <w:szCs w:val="18"/>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8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7"/>
        </w:trPr>
        <w:tc>
          <w:tcPr>
            <w:tcW w:w="57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(13,196)</w:t>
            </w:r>
          </w:p>
        </w:tc>
      </w:tr>
      <w:tr>
        <w:trPr>
          <w:trHeight w:val="432"/>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2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57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57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warrants</w:t>
            </w:r>
          </w:p>
        </w:tc>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5,618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9,040</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28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(3,714)</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Refundable Hosting Deposits</w:t>
            </w:r>
          </w:p>
        </w:tc>
        <w:tc>
          <w:tcPr>
            <w:tcW w:w="2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14, 19</w:t>
            </w:r>
          </w:p>
        </w:tc>
        <w:tc>
          <w:tcPr>
            <w:tcW w:w="1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945</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28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w:t>
            </w: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950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2880" w:type="dxa"/>
            <w:vAlign w:val="bottom"/>
          </w:tcPr>
          <w:p>
            <w:pPr>
              <w:spacing w:after="0"/>
              <w:rPr>
                <w:sz w:val="18"/>
                <w:szCs w:val="18"/>
                <w:color w:val="auto"/>
              </w:rPr>
            </w:pP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(645)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28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28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(1,272)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570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2,110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11,443</w:t>
            </w:r>
          </w:p>
        </w:tc>
      </w:tr>
    </w:tbl>
    <w:p>
      <w:pPr>
        <w:spacing w:after="0" w:line="19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funded its expansion in Argentina through the acquisition of marketable securities and the in-kind contribution of those securities to the Company’s subsidiary in Argentina. The subsequent disposition of those marketable securities in exchange for ARS gave rise to a gain as the amount received in ARS exceeded the amount of ARS the Company would have received from a direct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35  Page</w:t>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one operating segment which meets the definition of a reportable segment, cryptocurrency Mining, which is the operation of data centers that support the validation and verification of transactions on the BTC blockchain, earning cryptocurrency for providing these services, as described in 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Borders>
              <w:top w:val="single" w:sz="8" w:color="auto"/>
              <w:bottom w:val="single" w:sz="8" w:color="auto"/>
            </w:tcBorders>
          </w:tcPr>
          <w:p>
            <w:pPr>
              <w:spacing w:after="0"/>
              <w:rPr>
                <w:sz w:val="18"/>
                <w:szCs w:val="18"/>
                <w:color w:val="auto"/>
              </w:rPr>
            </w:pPr>
          </w:p>
        </w:tc>
        <w:tc>
          <w:tcPr>
            <w:tcW w:w="4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9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29,778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32,138</w:t>
            </w:r>
          </w:p>
        </w:tc>
      </w:tr>
      <w:tr>
        <w:trPr>
          <w:trHeight w:val="216"/>
        </w:trPr>
        <w:tc>
          <w:tcPr>
            <w:tcW w:w="5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18,101</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4,887</w:t>
            </w:r>
          </w:p>
        </w:tc>
      </w:tr>
      <w:tr>
        <w:trPr>
          <w:trHeight w:val="210"/>
        </w:trPr>
        <w:tc>
          <w:tcPr>
            <w:tcW w:w="5240" w:type="dxa"/>
            <w:vAlign w:val="bottom"/>
            <w:shd w:val="clear" w:color="auto" w:fill="CCEEFF"/>
          </w:tcPr>
          <w:p>
            <w:pPr>
              <w:spacing w:after="0"/>
              <w:rPr>
                <w:sz w:val="18"/>
                <w:szCs w:val="18"/>
                <w:color w:val="auto"/>
              </w:rPr>
            </w:pPr>
          </w:p>
        </w:tc>
        <w:tc>
          <w:tcPr>
            <w:tcW w:w="4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47,879</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37,025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9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4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12,014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1,716</w:t>
            </w:r>
          </w:p>
        </w:tc>
      </w:tr>
      <w:tr>
        <w:trPr>
          <w:trHeight w:val="216"/>
        </w:trPr>
        <w:tc>
          <w:tcPr>
            <w:tcW w:w="5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4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6,955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11,576</w:t>
            </w:r>
          </w:p>
        </w:tc>
      </w:tr>
      <w:tr>
        <w:trPr>
          <w:trHeight w:val="210"/>
        </w:trPr>
        <w:tc>
          <w:tcPr>
            <w:tcW w:w="5240" w:type="dxa"/>
            <w:vAlign w:val="bottom"/>
            <w:tcBorders>
              <w:bottom w:val="single" w:sz="8" w:color="auto"/>
            </w:tcBorders>
            <w:shd w:val="clear" w:color="auto" w:fill="CCEEFF"/>
          </w:tcPr>
          <w:p>
            <w:pPr>
              <w:spacing w:after="0"/>
              <w:rPr>
                <w:sz w:val="18"/>
                <w:szCs w:val="18"/>
                <w:color w:val="auto"/>
              </w:rPr>
            </w:pPr>
          </w:p>
        </w:tc>
        <w:tc>
          <w:tcPr>
            <w:tcW w:w="49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18,969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13,292</w:t>
            </w:r>
          </w:p>
        </w:tc>
      </w:tr>
      <w:tr>
        <w:trPr>
          <w:trHeight w:val="21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Global total</w:t>
            </w:r>
          </w:p>
        </w:tc>
        <w:tc>
          <w:tcPr>
            <w:tcW w:w="4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50,317</w:t>
            </w: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are presented based on the geographical contribution of computational power used for hashing calculations (measured by hashrate) or sales to external customers. During the years ended March 31, 2025 and 2024, the Company earned 97% and 98% of its revenues, respectively, from one Mining pool operator. The Company has the ability to switch Mining Pools or to mine independently at any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and other non-current assets</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net book value of property, plant and equipment and other non-current assets (excluding financial assets and deferred tax assets) by country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25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Total non-</w:t>
            </w: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Total non-</w:t>
            </w:r>
          </w:p>
        </w:tc>
      </w:tr>
      <w:tr>
        <w:trPr>
          <w:trHeight w:val="238"/>
        </w:trPr>
        <w:tc>
          <w:tcPr>
            <w:tcW w:w="2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PPE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PPE</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current assets</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104,909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17,286</w:t>
            </w: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122,195</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117,615</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54,291</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171,906</w:t>
            </w:r>
          </w:p>
        </w:tc>
      </w:tr>
      <w:tr>
        <w:trPr>
          <w:trHeight w:val="216"/>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291,591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20,744</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312,335</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62,854</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15,491</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78,345</w:t>
            </w:r>
          </w:p>
        </w:tc>
      </w:tr>
      <w:tr>
        <w:trPr>
          <w:trHeight w:val="210"/>
        </w:trPr>
        <w:tc>
          <w:tcPr>
            <w:tcW w:w="250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396,500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38,030</w:t>
            </w: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434,530</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180,469</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69,782</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250,251</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73,286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74,703</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112,452</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12,594</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125,046</w:t>
            </w:r>
          </w:p>
        </w:tc>
      </w:tr>
      <w:tr>
        <w:trPr>
          <w:trHeight w:val="216"/>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37,404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38,151</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55,604</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1,050</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56,654</w:t>
            </w:r>
          </w:p>
        </w:tc>
      </w:tr>
      <w:tr>
        <w:trPr>
          <w:trHeight w:val="210"/>
        </w:trPr>
        <w:tc>
          <w:tcPr>
            <w:tcW w:w="250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110,690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168,056</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13,644</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181,700</w:t>
            </w:r>
          </w:p>
        </w:tc>
      </w:tr>
      <w:tr>
        <w:trPr>
          <w:trHeight w:val="216"/>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Global Total</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507,190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40,194</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547,384</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348,525</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83,426</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36  Page</w:t>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ADDITIONAL DETAILS TO THE STATEMENTS OF CASH FLOWS</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6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trade receivables, net</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702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3,608</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(429)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deposits</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11,234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payables and accrued liabilities</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12,719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non-current liabilities</w:t>
            </w:r>
          </w:p>
        </w:tc>
        <w:tc>
          <w:tcPr>
            <w:tcW w:w="2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139</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27,785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9"/>
        </w:trPr>
        <w:tc>
          <w:tcPr>
            <w:tcW w:w="8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warrants and RSUs in connection with the acquisition of Stronghold</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78,161</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ROU assets and related lease liabilities</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PPE financed by short-term credit</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2,416</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3,142</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PPE</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40,357</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26,717</w:t>
            </w:r>
          </w:p>
        </w:tc>
      </w:tr>
      <w:tr>
        <w:trPr>
          <w:trHeight w:val="216"/>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Computational power revenue and its related service expense</w:t>
            </w:r>
          </w:p>
        </w:tc>
        <w:tc>
          <w:tcPr>
            <w:tcW w:w="2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788</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28,591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38,103</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936</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17"/>
        </w:trPr>
        <w:tc>
          <w:tcPr>
            <w:tcW w:w="81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29,693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38,977</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COMMITMENTS, CONTINGENT LIABILITY AND LAWSUITS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Contingent liability</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w:t>
      </w:r>
    </w:p>
    <w:p>
      <w:pPr>
        <w:spacing w:after="0" w:line="18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37  Page</w:t>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 xml:space="preserve">COMMITMENTS, CONTINGENT LIABILITY AND LAWSUITS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jc w:val="both"/>
        <w:ind w:left="20" w:hanging="9"/>
        <w:spacing w:after="0" w:line="260" w:lineRule="auto"/>
        <w:rPr>
          <w:sz w:val="20"/>
          <w:szCs w:val="20"/>
          <w:color w:val="auto"/>
        </w:rPr>
      </w:pPr>
      <w:r>
        <w:rPr>
          <w:rFonts w:ascii="Times New Roman" w:cs="Times New Roman" w:eastAsia="Times New Roman" w:hAnsi="Times New Roman"/>
          <w:sz w:val="18"/>
          <w:szCs w:val="18"/>
          <w:color w:val="auto"/>
        </w:rPr>
        <w:t>As of March 31, 2025, in relation to the March 2024 Purchase Order, the Company is committed to purchase 1,075 S21 Pro Miners yet to be delivered, for which BTC was pledged.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relation to the 2025 Miners Swap Order, the Company is committed to return 4,160 Bitmain T21 Miners and to purchase 3,660 Bitmain S21+ Miners. In consideration for the returned products, the Company will receive a $9,484 credit refund that will be applied against the purchase price of $11,858. On March 13, 2025, the Company paid the net $2,374 in BTC.</w:t>
      </w:r>
    </w:p>
    <w:p>
      <w:pPr>
        <w:spacing w:after="0" w:line="176"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total remaining payment exposure obligations in connection with the Miner purchase orders were $27,296 for 293 BTC Pledged that can be redeemed in installments. Of the potential obligation of $27,296, $20,073 was recorded as redemption obligation in the consolidated statements of financial position as the Miners were shipped.</w:t>
      </w:r>
    </w:p>
    <w:p>
      <w:pPr>
        <w:spacing w:after="0" w:line="176"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The Company is not obligated to redeem all or any of the BTC installments. If the Company elects not to redeem one of the BTC Installments, the Company forfeits the right to redeem the remaining BTC Installments. In January 2025 and April 2025, the Company exercised the first and second BTC Installment relating to the March 2024 Purchase Order, respectively. Refer to Note 7 and Note 9 for more details.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09"/>
        </w:trPr>
        <w:tc>
          <w:tcPr>
            <w:tcW w:w="55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500" w:type="dxa"/>
            <w:vAlign w:val="bottom"/>
          </w:tcPr>
          <w:p>
            <w:pPr>
              <w:spacing w:after="0"/>
              <w:rPr>
                <w:sz w:val="18"/>
                <w:szCs w:val="18"/>
                <w:color w:val="auto"/>
              </w:rPr>
            </w:pPr>
          </w:p>
        </w:tc>
        <w:tc>
          <w:tcPr>
            <w:tcW w:w="3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Quantity of Restricted BTC</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Potential Obligation</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Purchase Order and March 2024 Purchase Order</w:t>
            </w:r>
          </w:p>
        </w:tc>
        <w:tc>
          <w:tcPr>
            <w:tcW w:w="3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351</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BTC*</w:t>
            </w:r>
          </w:p>
        </w:tc>
        <w:tc>
          <w:tcPr>
            <w:tcW w:w="3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(8,308)</w:t>
            </w:r>
          </w:p>
        </w:tc>
      </w:tr>
      <w:tr>
        <w:trPr>
          <w:trHeight w:val="216"/>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Swap Order</w:t>
            </w:r>
          </w:p>
        </w:tc>
        <w:tc>
          <w:tcPr>
            <w:tcW w:w="3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2,374</w:t>
            </w:r>
          </w:p>
        </w:tc>
      </w:tr>
      <w:tr>
        <w:trPr>
          <w:trHeight w:val="232"/>
        </w:trPr>
        <w:tc>
          <w:tcPr>
            <w:tcW w:w="5500" w:type="dxa"/>
            <w:vAlign w:val="bottom"/>
          </w:tcPr>
          <w:p>
            <w:pPr>
              <w:spacing w:after="0"/>
              <w:rPr>
                <w:sz w:val="20"/>
                <w:szCs w:val="20"/>
                <w:color w:val="auto"/>
              </w:rPr>
            </w:pPr>
          </w:p>
        </w:tc>
        <w:tc>
          <w:tcPr>
            <w:tcW w:w="3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293</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The redemption of BTC in April 2025 for the second BTC installment is not included.</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Lawsuits</w:t>
      </w:r>
    </w:p>
    <w:p>
      <w:pPr>
        <w:spacing w:after="0" w:line="31"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Borders>
              <w:top w:val="single" w:sz="8" w:color="auto"/>
              <w:bottom w:val="single" w:sz="8" w:color="auto"/>
            </w:tcBorders>
          </w:tcPr>
          <w:p>
            <w:pPr>
              <w:spacing w:after="0"/>
              <w:rPr>
                <w:sz w:val="18"/>
                <w:szCs w:val="18"/>
                <w:color w:val="auto"/>
              </w:rPr>
            </w:pPr>
          </w:p>
        </w:tc>
        <w:tc>
          <w:tcPr>
            <w:tcW w:w="3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 Matters</w:t>
            </w:r>
          </w:p>
        </w:tc>
        <w:tc>
          <w:tcPr>
            <w:tcW w:w="3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i.</w:t>
            </w:r>
          </w:p>
        </w:tc>
        <w:tc>
          <w:tcPr>
            <w:tcW w:w="16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Shareholder Securities Lawsuit</w:t>
            </w:r>
          </w:p>
        </w:tc>
        <w:tc>
          <w:tcPr>
            <w:tcW w:w="3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ii.</w:t>
            </w: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settlement accruals</w:t>
            </w:r>
          </w:p>
        </w:tc>
        <w:tc>
          <w:tcPr>
            <w:tcW w:w="3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2,881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8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discounting</w:t>
            </w:r>
          </w:p>
        </w:tc>
        <w:tc>
          <w:tcPr>
            <w:tcW w:w="3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(117)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3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1,773</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undiscounted legal settlement accruals amounted to $2,881 as of March 31, 2025. The current portion and the non-current portion were recorded in accounts payable and accrued liabilities and in other non-current liabilities, respectively, in the consolidated statements of financial position (December 31, 2024: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38  Page</w:t>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 xml:space="preserve">COMMITMENTS, CONTINGENT LIABILITY AND LAWSUITS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Federal Energy Regulatory Commission (“FERC”)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May 11, 2022, the Division of Investigations of the FERC Office of Enforcement (“OE”) informed the Company that the OE was conducting a non-public preliminary investigation concerning Scrubgrass’ compliance with various aspects of the PJM tariff.</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30, 2025, the Federal Energy Regulatory Commission (the “Commission”) approved a Stipulation and Settlement Agreement between the OE and Scrubgrass (the “Settlement Agreement”). Pursuant to the Settlement Agreement, Scrubgrass agreed to: (a) disgorge to PJM $679 in capacity revenues received during the relevant period; (b) pay a civil penalty of $741 for a total, including (a), of $1,420 to the United States Treasury; and (c) provide compliance training to relevant personnel and compliance monitoring reports. Scrubgrass is to pay the settlement amount over a period of three years. In the first year, Scrubgrass is to pay a lump sum of $355, which Scrubgrass paid in February of 2025. In the second and third years, Scrubgrass shall make 8 payments of $133 on a calendar quarter basis. For a period of five years following the effective date of the Settlement Agreement, Scrubgrass is to provide annual compliance training focused primarily on the applicable tariff and related rules, regulations, and requirements applicable to operating generators, to all personnel whose job responsibilities relate to the generators’ participation in Commission jurisdictional markets. As of March 31, 2025, the settlement accrual was $1,065 and represents the 8 installment payments.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Shareholder Securities Lawsuit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Stronghold, and certain of its former directors, officers and underwriters were named in a putative class action complaint filed in the United States District Court for the Southern District of New York (Winter v. Stronghold Digital Mining, Case No. 1:22-cv-3088).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2024, the District Court issued an Order granting Preliminary Approval of the Class Action Settlement, Approving Form and Manner of Notice, and Setting Date for Hearing on Final Approval of Settlement. The Company agreed to pay $4,750 in cash and 25 BTC. On January 15, 2025, $2,500 was covered by the Company’s insurance providers and Stronghold paid the remaining $2,250 into escrow. One BTC will be paid monthly for two years. The cash value of each Bitcoin is expected to be calculated monthly according to a price set by the Nasdaq Bitcoin reference price index. As of March 31, 2025, the settlement accrual was $1,816 and represents the value of the remaining 22 BTC to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39  Page</w:t>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tab/>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2025, the Company signed a credit facility for up to $300,000 (the “Credit Facility”) with Macquarie Equipment Capital, Inc. (“Macquarie”). The initial draw for $50,000 (“Initial Tranche”) will be used for project development soft costs of the Panther Creek data center and other general corporate purposes. The remaining $250,000 (“Second Tranche”) will be drawable as the Company achieves specific development milestones at the Panther Creek location and secured at the project level at which time the Initial Tranche will be rolled into the project facility. The facility expires two years from the closing date and incurs an annual interest rate of 8%.</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Initial Tranche, Macquarie received warrants for the purchase of $5,000 in shares of the Company. Under the loan agreement, up to $125,000 having been drawn under the Second Tranche for the Panther Creek development, Macquarie will receive additional warrants equal to 10% of the amount drawn under the Credit Facility.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Facility for the Initial Tranche includes various covenants for the Company and its subsidiaries including restrictions on dispositions, dividends, the incurrence of debt and liens, material changes in the nature of its business, related party transactions and investments.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financial and non-financial covenants. As of May 13, 2025, the Company was not in breach of any of its Credit Facility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options of BTC</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30, 2025, the Company exercised its option to redeem the second installment of the BTC Pledged in relation to the purchase of Miners under the March 2024 purchase order. The Company redeemed 87 BTC for $8,308. See Note 7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40  Page</w:t>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r>
      <w:r>
        <w:rPr>
          <w:sz w:val="20"/>
          <w:szCs w:val="20"/>
          <w:color w:val="auto"/>
        </w:rPr>
        <w:tab/>
      </w: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 Operations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30 2025, the Company was informed that its electricity supplier at Rio Cuarto, Argentina, Generación Mediterránea S.A. (“GMSA”), appointed local and international financial advisors to conduct a process with their creditors regarding the restructuring of all its financial debt, but confirmed that the Company would be able to continue consuming power at the Rio Cuarto site. GMSA is currently negotiating with its commercial suppliers. On May 12, 2025, the Company was informed by GMSA that, effective immediately, they were halting the supply of electricity to the Company’s Rio Cuarto, Argentina facility until further notice. At this stage, there is uncertainty around the potential resumption of the supply of electricity and the timing thereof. This event has necessitated a pause in the Company’s cryptocurrency Mining activities in Argentina and, unless resolved, may significantly impact the operations in that country. The Company is evaluating all of its options for its Argentina operations. The impact of this subsequent event is considered a non-adjusting subsequent event and not factored into the Company’s impairment analysis discussed in Note 11.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Action Lawsuit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9, 2025, a purported shareholder filed a putative class action complaint in the United States District Court for the Eastern District of New York, in a case titled Olympio v. Bitfarms Ltd., Benjamin Gagnon, Jeffrey Lucas, and Geoff Morphy, case no 1:25-cv-02630, alleging violations of Sections 10(b) and 20(a) of the Securities Exchange Act of 1934 and Rule 10b-5, promulgated thereunder. The lawsuit alleges that the Company, its current CEO, its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Company cannot predict the duration or outcome of this lawsuit at this time. As a result, the Company is unable to estimate the reasonably possible loss or range of reasonably possible loss arising from this lawsuit. The Company intends to vigorously defend itself in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41  Page</w:t>
      </w:r>
    </w:p>
    <w:p>
      <w:pPr>
        <w:sectPr>
          <w:pgSz w:w="11900" w:h="16838" w:orient="portrait"/>
          <w:cols w:equalWidth="0" w:num="1">
            <w:col w:w="11240"/>
          </w:cols>
          <w:pgMar w:left="320" w:top="900" w:right="339" w:bottom="1440" w:gutter="0" w:footer="0" w:header="0"/>
        </w:sectPr>
      </w:pPr>
    </w:p>
    <w:bookmarkStart w:id="44" w:name="page45"/>
    <w:bookmarkEnd w:id="44"/>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3440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Highlights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First Quarter 2025 Financial Results and Operational Highlights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5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Production and Mining Operations</w:t>
            </w:r>
          </w:p>
        </w:tc>
        <w:tc>
          <w:tcPr>
            <w:tcW w:w="7760" w:type="dxa"/>
            <w:vAlign w:val="bottom"/>
            <w:tcBorders>
              <w:bottom w:val="single" w:sz="8" w:color="CCEEFF"/>
              <w:right w:val="single" w:sz="8" w:color="CCEEFF"/>
            </w:tcBorders>
            <w:gridSpan w:val="7"/>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Performance</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Non-IFRS and Other Financial Measures and Ratios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37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6500" w:type="dxa"/>
            <w:vAlign w:val="bottom"/>
            <w:tcBorders>
              <w:top w:val="single" w:sz="8" w:color="CCEEFF"/>
            </w:tcBorders>
            <w:gridSpan w:val="5"/>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3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Position</w:t>
            </w:r>
          </w:p>
        </w:tc>
        <w:tc>
          <w:tcPr>
            <w:tcW w:w="8960" w:type="dxa"/>
            <w:vAlign w:val="bottom"/>
            <w:tcBorders>
              <w:bottom w:val="single" w:sz="8" w:color="CCEEFF"/>
              <w:right w:val="single" w:sz="8" w:color="CCEEFF"/>
            </w:tcBorders>
            <w:gridSpan w:val="21"/>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9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8340" w:type="dxa"/>
            <w:vAlign w:val="bottom"/>
            <w:tcBorders>
              <w:top w:val="single" w:sz="8" w:color="CCEEFF"/>
            </w:tcBorders>
            <w:gridSpan w:val="12"/>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31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7160" w:type="dxa"/>
            <w:vAlign w:val="bottom"/>
            <w:tcBorders>
              <w:top w:val="single" w:sz="8" w:color="CCEEFF"/>
            </w:tcBorders>
            <w:gridSpan w:val="6"/>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60" w:type="dxa"/>
            <w:vAlign w:val="bottom"/>
            <w:tcBorders>
              <w:bottom w:val="single" w:sz="8" w:color="CCEEFF"/>
              <w:right w:val="single" w:sz="8" w:color="CCEEFF"/>
            </w:tcBorders>
            <w:gridSpan w:val="23"/>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Accounting Policy Information and New Accounting Policies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508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180" w:type="dxa"/>
            <w:vAlign w:val="bottom"/>
            <w:tcBorders>
              <w:top w:val="single" w:sz="8" w:color="CCEEFF"/>
            </w:tcBorders>
            <w:gridSpan w:val="2"/>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5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Non-IFRS and Other Financial Measures and Ratios</w:t>
            </w:r>
          </w:p>
        </w:tc>
        <w:tc>
          <w:tcPr>
            <w:tcW w:w="4460" w:type="dxa"/>
            <w:vAlign w:val="bottom"/>
            <w:tcBorders>
              <w:bottom w:val="single" w:sz="8" w:color="CCEEFF"/>
              <w:right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26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8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4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260" w:type="dxa"/>
            <w:vAlign w:val="bottom"/>
            <w:tcBorders>
              <w:right w:val="single" w:sz="8" w:color="auto"/>
            </w:tcBorders>
            <w:gridSpan w:val="25"/>
          </w:tcPr>
          <w:p>
            <w:pPr>
              <w:ind w:left="101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May 13, 2025. This MD&amp;A should be read in conjunction with the Company’s unaudited interim condensed consolidated financial statements for the three months ended March 31, 2025 and its accompanying notes (the “Financial Statements”), the Company’s 2024 audited annual consolidated financial statements and its accompanying notes (the “2024 Annual Financial Statements”) and the Company’s Annual Information Form dated March 26, 2025 (the “2024 AIF”), which are available on SEDAR+ at www.sedarplus.ca and EDGAR at www.sec.gov/edgar.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as issued by the International Accounting Standards Board (“IFRS Accounting Standards”) applicable to the preparation of interim financial statements, including IAS 34, Interim Financial Reporting. The Company’s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non-IFRS financial measures and ratios in assessing operating performance. Non-IFRS financial measures and ratios may exclude the impact of certain items and are used internally when analyzing operating performance. Refer to Section 9 - </w:t>
      </w:r>
      <w:r>
        <w:rPr>
          <w:rFonts w:ascii="Times New Roman" w:cs="Times New Roman" w:eastAsia="Times New Roman" w:hAnsi="Times New Roman"/>
          <w:sz w:val="18"/>
          <w:szCs w:val="18"/>
          <w:i w:val="1"/>
          <w:iCs w:val="1"/>
          <w:color w:val="auto"/>
        </w:rPr>
        <w:t>Non-IFRS and Other Financial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 information.</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2024, dated March 26, 2025 and to Section 22 -</w:t>
      </w:r>
      <w:r>
        <w:rPr>
          <w:rFonts w:ascii="Times New Roman" w:cs="Times New Roman" w:eastAsia="Times New Roman" w:hAnsi="Times New Roman"/>
          <w:sz w:val="18"/>
          <w:szCs w:val="18"/>
          <w:i w:val="1"/>
          <w:iCs w:val="1"/>
          <w:color w:val="auto"/>
        </w:rPr>
        <w:t xml:space="preserve"> 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 Company’s business and industry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46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5"/>
        </w:trPr>
        <w:tc>
          <w:tcPr>
            <w:tcW w:w="1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Q1 2025</w:t>
            </w:r>
          </w:p>
        </w:tc>
        <w:tc>
          <w:tcPr>
            <w:tcW w:w="9460" w:type="dxa"/>
            <w:vAlign w:val="bottom"/>
          </w:tcPr>
          <w:p>
            <w:pPr>
              <w:ind w:left="1160"/>
              <w:spacing w:after="0" w:line="205" w:lineRule="exact"/>
              <w:rPr>
                <w:sz w:val="20"/>
                <w:szCs w:val="20"/>
                <w:color w:val="auto"/>
              </w:rPr>
            </w:pPr>
            <w:r>
              <w:rPr>
                <w:rFonts w:ascii="Times New Roman" w:cs="Times New Roman" w:eastAsia="Times New Roman" w:hAnsi="Times New Roman"/>
                <w:sz w:val="18"/>
                <w:szCs w:val="18"/>
                <w:color w:val="auto"/>
              </w:rPr>
              <w:t>Three months ended March 31, 2025</w:t>
            </w:r>
          </w:p>
        </w:tc>
      </w:tr>
      <w:tr>
        <w:trPr>
          <w:trHeight w:val="255"/>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Q1 2024</w:t>
            </w:r>
          </w:p>
        </w:tc>
        <w:tc>
          <w:tcPr>
            <w:tcW w:w="94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Three months ended March 31,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  Page</w:t>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energy and compute infrastructure company. Bitfarms primarily operates vertically integrated Bitcoin data centers with primarily in-house management and company-owned electrical engineering, installation service, and multiple onsite technical repair centers.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Financial Statements, the Company acquired Stronghold Digital Mining, Inc. (“Stronghold”) on March 14, 2025 (the “Stronghold Transaction”). Through the acquisition of Stronghold, the Company now owns and operates two refuse power generation facilities. Both facilities qualify as an “Alternative Energy System” under Pennsylvania, United States law because refuse is classified as a Tier II Alternative Energy Source (large-scale hydropower is also classified in this tier). The Company sells its electricity into the Pennsylvania, New Jersey, Maryland (“PJM”) Interconnection Merchant Market under a professional services agreement with Customized Energy Solutions, Ltd. The Company’s primary fuel source at these facilities is waste which is provided by various third parties. Waste tax credits are earned by the Company by utilizing refuse to generate electricity. The Company either consumes the energy internally to support computational activities related to hashing calculations or sells the energy it produces to the open market (the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  Page</w:t>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COMPANY OVERVIEW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currently has 15 operating Bitcoin data centers situated in four countries: Canada, the United States, Paraguay and Argentina, powered by long-term competitively priced power contracts.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Energized capacity as</w:t>
            </w:r>
          </w:p>
        </w:tc>
        <w:tc>
          <w:tcPr>
            <w:tcW w:w="22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Contracted capacity as</w:t>
            </w:r>
          </w:p>
        </w:tc>
      </w:tr>
      <w:tr>
        <w:trPr>
          <w:trHeight w:val="238"/>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of May 13, 2025</w:t>
            </w: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 May 13, 2025</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8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4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 MW</w:t>
            </w:r>
          </w:p>
        </w:tc>
        <w:tc>
          <w:tcPr>
            <w:tcW w:w="2200" w:type="dxa"/>
            <w:vAlign w:val="bottom"/>
            <w:shd w:val="clear" w:color="auto" w:fill="CCEEFF"/>
          </w:tcPr>
          <w:p>
            <w:pPr>
              <w:ind w:left="1280"/>
              <w:spacing w:after="0" w:line="284" w:lineRule="exact"/>
              <w:rPr>
                <w:sz w:val="20"/>
                <w:szCs w:val="20"/>
                <w:color w:val="auto"/>
              </w:rPr>
            </w:pPr>
            <w:r>
              <w:rPr>
                <w:rFonts w:ascii="Times New Roman" w:cs="Times New Roman" w:eastAsia="Times New Roman" w:hAnsi="Times New Roman"/>
                <w:sz w:val="18"/>
                <w:szCs w:val="18"/>
                <w:color w:val="auto"/>
              </w:rPr>
              <w:t>180 MW</w:t>
            </w:r>
            <w:r>
              <w:rPr>
                <w:rFonts w:ascii="Times New Roman" w:cs="Times New Roman" w:eastAsia="Times New Roman" w:hAnsi="Times New Roman"/>
                <w:sz w:val="29"/>
                <w:szCs w:val="29"/>
                <w:color w:val="auto"/>
                <w:vertAlign w:val="superscript"/>
              </w:rPr>
              <w:t>1</w:t>
            </w:r>
          </w:p>
        </w:tc>
      </w:tr>
      <w:tr>
        <w:trPr>
          <w:trHeight w:val="283"/>
        </w:trPr>
        <w:tc>
          <w:tcPr>
            <w:tcW w:w="4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 MW</w:t>
            </w:r>
          </w:p>
        </w:tc>
        <w:tc>
          <w:tcPr>
            <w:tcW w:w="2200" w:type="dxa"/>
            <w:vAlign w:val="bottom"/>
            <w:tcBorders>
              <w:bottom w:val="single" w:sz="8" w:color="auto"/>
            </w:tcBorders>
          </w:tcPr>
          <w:p>
            <w:pPr>
              <w:ind w:left="1280"/>
              <w:spacing w:after="0" w:line="284" w:lineRule="exact"/>
              <w:rPr>
                <w:sz w:val="20"/>
                <w:szCs w:val="20"/>
                <w:color w:val="auto"/>
              </w:rPr>
            </w:pPr>
            <w:r>
              <w:rPr>
                <w:rFonts w:ascii="Times New Roman" w:cs="Times New Roman" w:eastAsia="Times New Roman" w:hAnsi="Times New Roman"/>
                <w:sz w:val="18"/>
                <w:szCs w:val="18"/>
                <w:color w:val="auto"/>
                <w:w w:val="96"/>
              </w:rPr>
              <w:t>438 MW</w:t>
            </w:r>
            <w:r>
              <w:rPr>
                <w:rFonts w:ascii="Times New Roman" w:cs="Times New Roman" w:eastAsia="Times New Roman" w:hAnsi="Times New Roman"/>
                <w:sz w:val="29"/>
                <w:szCs w:val="29"/>
                <w:color w:val="auto"/>
                <w:w w:val="96"/>
                <w:vertAlign w:val="superscript"/>
              </w:rPr>
              <w:t>2, 3</w:t>
            </w:r>
          </w:p>
        </w:tc>
      </w:tr>
      <w:tr>
        <w:trPr>
          <w:trHeight w:val="210"/>
        </w:trPr>
        <w:tc>
          <w:tcPr>
            <w:tcW w:w="4180" w:type="dxa"/>
            <w:vAlign w:val="bottom"/>
            <w:shd w:val="clear" w:color="auto" w:fill="CCEEFF"/>
          </w:tcPr>
          <w:p>
            <w:pPr>
              <w:spacing w:after="0"/>
              <w:rPr>
                <w:sz w:val="18"/>
                <w:szCs w:val="18"/>
                <w:color w:val="auto"/>
              </w:rPr>
            </w:pPr>
          </w:p>
        </w:tc>
        <w:tc>
          <w:tcPr>
            <w:tcW w:w="4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323 MW</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618 MW</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4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 MW</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 MW</w:t>
            </w:r>
          </w:p>
        </w:tc>
      </w:tr>
      <w:tr>
        <w:trPr>
          <w:trHeight w:val="257"/>
        </w:trPr>
        <w:tc>
          <w:tcPr>
            <w:tcW w:w="4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58 MW</w:t>
            </w:r>
          </w:p>
        </w:tc>
        <w:tc>
          <w:tcPr>
            <w:tcW w:w="2200" w:type="dxa"/>
            <w:vAlign w:val="bottom"/>
            <w:tcBorders>
              <w:bottom w:val="single" w:sz="8" w:color="auto"/>
            </w:tcBorders>
          </w:tcPr>
          <w:p>
            <w:pPr>
              <w:ind w:left="1280"/>
              <w:spacing w:after="0" w:line="256" w:lineRule="exact"/>
              <w:rPr>
                <w:sz w:val="20"/>
                <w:szCs w:val="20"/>
                <w:color w:val="auto"/>
              </w:rPr>
            </w:pPr>
            <w:r>
              <w:rPr>
                <w:rFonts w:ascii="Times New Roman" w:cs="Times New Roman" w:eastAsia="Times New Roman" w:hAnsi="Times New Roman"/>
                <w:sz w:val="18"/>
                <w:szCs w:val="18"/>
                <w:color w:val="auto"/>
              </w:rPr>
              <w:t>210 MW</w:t>
            </w:r>
            <w:r>
              <w:rPr>
                <w:rFonts w:ascii="Times New Roman" w:cs="Times New Roman" w:eastAsia="Times New Roman" w:hAnsi="Times New Roman"/>
                <w:sz w:val="29"/>
                <w:szCs w:val="29"/>
                <w:color w:val="auto"/>
                <w:vertAlign w:val="superscript"/>
              </w:rPr>
              <w:t>4</w:t>
            </w:r>
          </w:p>
        </w:tc>
      </w:tr>
      <w:tr>
        <w:trPr>
          <w:trHeight w:val="209"/>
        </w:trPr>
        <w:tc>
          <w:tcPr>
            <w:tcW w:w="4180" w:type="dxa"/>
            <w:vAlign w:val="bottom"/>
            <w:tcBorders>
              <w:bottom w:val="single" w:sz="8" w:color="auto"/>
            </w:tcBorders>
            <w:shd w:val="clear" w:color="auto" w:fill="CCEEFF"/>
          </w:tcPr>
          <w:p>
            <w:pPr>
              <w:spacing w:after="0"/>
              <w:rPr>
                <w:sz w:val="18"/>
                <w:szCs w:val="18"/>
                <w:color w:val="auto"/>
              </w:rPr>
            </w:pPr>
          </w:p>
        </w:tc>
        <w:tc>
          <w:tcPr>
            <w:tcW w:w="4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 MW</w:t>
            </w:r>
          </w:p>
        </w:tc>
        <w:tc>
          <w:tcPr>
            <w:tcW w:w="2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290 MW</w:t>
            </w:r>
          </w:p>
        </w:tc>
      </w:tr>
      <w:tr>
        <w:trPr>
          <w:trHeight w:val="21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461 MW</w:t>
            </w: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908 MW</w:t>
            </w:r>
          </w:p>
        </w:tc>
      </w:tr>
    </w:tbl>
    <w:p>
      <w:pPr>
        <w:spacing w:after="0" w:line="200" w:lineRule="exact"/>
        <w:rPr>
          <w:sz w:val="20"/>
          <w:szCs w:val="20"/>
          <w:color w:val="auto"/>
        </w:rPr>
      </w:pPr>
    </w:p>
    <w:p>
      <w:pPr>
        <w:spacing w:after="0" w:line="227" w:lineRule="exact"/>
        <w:rPr>
          <w:sz w:val="20"/>
          <w:szCs w:val="20"/>
          <w:color w:val="auto"/>
        </w:rPr>
      </w:pPr>
    </w:p>
    <w:p>
      <w:pPr>
        <w:ind w:left="200" w:hanging="192"/>
        <w:spacing w:after="0" w:line="195" w:lineRule="auto"/>
        <w:tabs>
          <w:tab w:leader="none" w:pos="20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Canada, but does not currently have a development plan for those 10 MW of power. Bitfarms is continuing its efforts to search for economically viable properties for the available 10 MW of hydro-electricity.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0" w:hanging="192"/>
        <w:spacing w:after="0" w:line="181" w:lineRule="auto"/>
        <w:tabs>
          <w:tab w:leader="none" w:pos="20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Refer to Section 6 - </w:t>
      </w:r>
      <w:r>
        <w:rPr>
          <w:rFonts w:ascii="Times New Roman" w:cs="Times New Roman" w:eastAsia="Times New Roman" w:hAnsi="Times New Roman"/>
          <w:sz w:val="15"/>
          <w:szCs w:val="15"/>
          <w:i w:val="1"/>
          <w:iCs w:val="1"/>
          <w:color w:val="auto"/>
        </w:rPr>
        <w:t>Expansion Projects</w:t>
      </w:r>
      <w:r>
        <w:rPr>
          <w:rFonts w:ascii="Times New Roman" w:cs="Times New Roman" w:eastAsia="Times New Roman" w:hAnsi="Times New Roman"/>
          <w:sz w:val="15"/>
          <w:szCs w:val="15"/>
          <w:color w:val="auto"/>
        </w:rPr>
        <w:t xml:space="preserve"> for details on the timing of the remaining MW not yet operational.</w:t>
      </w:r>
    </w:p>
    <w:p>
      <w:pPr>
        <w:ind w:left="200" w:hanging="192"/>
        <w:spacing w:after="0" w:line="181" w:lineRule="auto"/>
        <w:tabs>
          <w:tab w:leader="none" w:pos="20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a hosting contract to operate 21 MW of Miners on behalf of a third party at the Panther Creek Bitcoin data center.</w:t>
      </w:r>
    </w:p>
    <w:p>
      <w:pPr>
        <w:spacing w:after="0" w:line="2" w:lineRule="exact"/>
        <w:rPr>
          <w:sz w:val="20"/>
          <w:szCs w:val="20"/>
          <w:color w:val="auto"/>
        </w:rPr>
      </w:pPr>
    </w:p>
    <w:p>
      <w:pPr>
        <w:jc w:val="both"/>
        <w:ind w:left="200" w:hanging="192"/>
        <w:spacing w:after="0" w:line="225" w:lineRule="auto"/>
        <w:tabs>
          <w:tab w:leader="none" w:pos="20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Company retains the option, subject to the receipt of additional government approvals, to expand the Rio Cuarto operation to the full contracted amount of 210 MW. However, on May 12, 2025, the Company was informed by GMSA that it will be halting until further notice the supply of electricity to the Company’s Rio Cuarto, Argentina facility. At this stage, the Company does not have certainty of the timing for when normal supply of electricity will resume, or whether it will resume at all, and the Company is evaluating all of its options for the Argentina operations including, but not limited to, discontinuing operations at Rio Cuarto, Argentina if normal operations cannot resume in the near term. Refer to Section 19 - </w:t>
      </w:r>
      <w:r>
        <w:rPr>
          <w:rFonts w:ascii="Times New Roman" w:cs="Times New Roman" w:eastAsia="Times New Roman" w:hAnsi="Times New Roman"/>
          <w:sz w:val="18"/>
          <w:szCs w:val="18"/>
          <w:i w:val="1"/>
          <w:iCs w:val="1"/>
          <w:color w:val="auto"/>
        </w:rPr>
        <w:t>Risk Factors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operations in Rio Cuarto have been suspended due to a halt in its supply of electrical power)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Page</w:t>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p>
      <w:pPr>
        <w:spacing w:after="0" w:line="239"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4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50,317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4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(10,682)</w:t>
            </w:r>
          </w:p>
        </w:tc>
      </w:tr>
      <w:tr>
        <w:trPr>
          <w:trHeight w:val="256"/>
        </w:trPr>
        <w:tc>
          <w:tcPr>
            <w:tcW w:w="5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44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(32,359)</w:t>
            </w:r>
          </w:p>
        </w:tc>
        <w:tc>
          <w:tcPr>
            <w:tcW w:w="4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(23,708)</w:t>
            </w:r>
          </w:p>
        </w:tc>
      </w:tr>
      <w:tr>
        <w:trPr>
          <w:trHeight w:val="270"/>
        </w:trPr>
        <w:tc>
          <w:tcPr>
            <w:tcW w:w="566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448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(35,875)</w:t>
            </w:r>
          </w:p>
        </w:tc>
        <w:tc>
          <w:tcPr>
            <w:tcW w:w="4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(5,980)</w:t>
            </w:r>
          </w:p>
        </w:tc>
      </w:tr>
      <w:tr>
        <w:trPr>
          <w:trHeight w:val="229"/>
        </w:trPr>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r>
      <w:tr>
        <w:trPr>
          <w:trHeight w:val="250"/>
        </w:trPr>
        <w:tc>
          <w:tcPr>
            <w:tcW w:w="566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(2)</w:t>
            </w:r>
          </w:p>
        </w:tc>
        <w:tc>
          <w:tcPr>
            <w:tcW w:w="4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28,043</w:t>
            </w:r>
          </w:p>
        </w:tc>
        <w:tc>
          <w:tcPr>
            <w:tcW w:w="4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31,340</w:t>
            </w:r>
          </w:p>
        </w:tc>
      </w:tr>
      <w:tr>
        <w:trPr>
          <w:trHeight w:val="257"/>
        </w:trPr>
        <w:tc>
          <w:tcPr>
            <w:tcW w:w="5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44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5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4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15,086</w:t>
            </w:r>
          </w:p>
        </w:tc>
        <w:tc>
          <w:tcPr>
            <w:tcW w:w="480" w:type="dxa"/>
            <w:vAlign w:val="bottom"/>
          </w:tcPr>
          <w:p>
            <w:pPr>
              <w:spacing w:after="0"/>
              <w:rPr>
                <w:sz w:val="22"/>
                <w:szCs w:val="22"/>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23,324</w:t>
            </w:r>
          </w:p>
        </w:tc>
      </w:tr>
      <w:tr>
        <w:trPr>
          <w:trHeight w:val="270"/>
        </w:trPr>
        <w:tc>
          <w:tcPr>
            <w:tcW w:w="566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448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53"/>
        </w:trPr>
        <w:tc>
          <w:tcPr>
            <w:tcW w:w="56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6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777,003</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4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73,489</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30,445</w:t>
            </w:r>
          </w:p>
        </w:tc>
      </w:tr>
      <w:tr>
        <w:trPr>
          <w:trHeight w:val="223"/>
        </w:trPr>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4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1,915</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left="200" w:hanging="192"/>
        <w:spacing w:after="0" w:line="187" w:lineRule="auto"/>
        <w:tabs>
          <w:tab w:leader="none" w:pos="20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  Page</w:t>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FIRST QUARTER 2025 FINANCIAL RESULTS AND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$66.8 million;</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3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of $28.0 million (43% Gross Mining margin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p>
    <w:p>
      <w:pPr>
        <w:ind w:left="340" w:hanging="332"/>
        <w:spacing w:after="0" w:line="191" w:lineRule="auto"/>
        <w:tabs>
          <w:tab w:leader="none" w:pos="340"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$15.1 million (23% Adjusted EBITDA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w:t>
      </w:r>
    </w:p>
    <w:p>
      <w:pPr>
        <w:ind w:left="340" w:hanging="332"/>
        <w:spacing w:after="0" w:line="182"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color w:val="auto"/>
        </w:rPr>
        <w:t>Gross loss of $0.5 million (Gross margin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of negative 1%) including non-cash depreciation and amortization expense of $29.7 million, operating loss of $32.4 million (Operating margin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of negative 48%) including an impairment loss of $17.2 million, and net loss of $35.9 million; and</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loss of $15.9 million on Argentina CGU, as a result of macroeconomic and mining economic events.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31" w:lineRule="exact"/>
        <w:rPr>
          <w:sz w:val="20"/>
          <w:szCs w:val="20"/>
          <w:color w:val="auto"/>
        </w:rPr>
      </w:pPr>
    </w:p>
    <w:p>
      <w:pPr>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under Management from 12.8 EH/s at December 31, 2024 to 19.5 EH/s at March 31, 2025, an increase of 52%, through the acquisition of Stronghold, which contributed 2.9 EH/s, and the installation of approximately 21,000 more efficient Miners;</w:t>
      </w:r>
    </w:p>
    <w:p>
      <w:pPr>
        <w:ind w:left="340" w:right="20" w:hanging="332"/>
        <w:spacing w:after="0" w:line="182" w:lineRule="auto"/>
        <w:tabs>
          <w:tab w:leader="none" w:pos="340"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693 BTC at an average direct cost of $47,800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$72,300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and received 6 BTC through hosting revenue;</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1,492 BTC valued at approximately $123.2 million as of March 31,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428 BTC at an average price of $87,100 per BTC for total proceeds of $37.3 million, a portion of which was used to pay capital expenditures to support the Company’s growth and efficiency improvement objectives; and</w:t>
      </w: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One realized and unrealized loss of $1.5 million on BTC option and selling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w:t>
      </w:r>
    </w:p>
    <w:p>
      <w:pPr>
        <w:spacing w:after="0" w:line="31" w:lineRule="exact"/>
        <w:rPr>
          <w:sz w:val="20"/>
          <w:szCs w:val="20"/>
          <w:color w:val="auto"/>
        </w:rPr>
      </w:pPr>
    </w:p>
    <w:p>
      <w:pPr>
        <w:jc w:val="both"/>
        <w:ind w:left="340" w:hanging="332"/>
        <w:spacing w:after="0" w:line="255"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Stronghold for total consideration of $144.7 million, which provides up to 307 MW of additional power capacity to the Company’s operations and 648 MW of long-term power applications that the Company believes are well suited for HPC/AI, Bitcoin Mining and energy trading.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Engaged strategic partners to accelerate HPC/AI development (refer to Section 6b - </w:t>
      </w:r>
      <w:r>
        <w:rPr>
          <w:rFonts w:ascii="Times New Roman" w:cs="Times New Roman" w:eastAsia="Times New Roman" w:hAnsi="Times New Roman"/>
          <w:sz w:val="18"/>
          <w:szCs w:val="18"/>
          <w:i w:val="1"/>
          <w:iCs w:val="1"/>
          <w:color w:val="auto"/>
        </w:rPr>
        <w:t>Expansion Projects (Development of HPC/AI Business)</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exchange agreements to return 4,160 Bitmain T21 Miners and purchase 3,660 Bitmain S21+ Miners (“2025 Miners Swap”) for a net payment of $2.4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strategic sale of the Yguazu Mining Site for total consideration of $63.3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$23.6 million in net proceeds through the Company’s 2024 at-the-market equity offering program (“2024 ATM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Craig Hibbard to Senior Vice-President of Infrastructure;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James Bond to Senior Vice-President of HPC/AI.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3"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left="200" w:hanging="192"/>
        <w:spacing w:after="0" w:line="187" w:lineRule="auto"/>
        <w:tabs>
          <w:tab w:leader="none" w:pos="20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Page</w:t>
      </w:r>
    </w:p>
    <w:p>
      <w:pPr>
        <w:sectPr>
          <w:pgSz w:w="11900" w:h="16838" w:orient="portrait"/>
          <w:cols w:equalWidth="0" w:num="1">
            <w:col w:w="11240"/>
          </w:cols>
          <w:pgMar w:left="320" w:top="2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7420" w:firstLine="8"/>
        <w:spacing w:after="0" w:line="508"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Borders>
              <w:top w:val="single" w:sz="8" w:color="auto"/>
              <w:bottom w:val="single" w:sz="8" w:color="auto"/>
            </w:tcBorders>
          </w:tcPr>
          <w:p>
            <w:pPr>
              <w:spacing w:after="0"/>
              <w:rPr>
                <w:sz w:val="19"/>
                <w:szCs w:val="19"/>
                <w:color w:val="auto"/>
              </w:rPr>
            </w:pPr>
          </w:p>
        </w:tc>
        <w:tc>
          <w:tcPr>
            <w:tcW w:w="34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693</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943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through hosting revenue</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34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Q1 2025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Q1 2024</w:t>
      </w:r>
    </w:p>
    <w:p>
      <w:pPr>
        <w:spacing w:after="0" w:line="31" w:lineRule="exact"/>
        <w:rPr>
          <w:sz w:val="20"/>
          <w:szCs w:val="20"/>
          <w:color w:val="auto"/>
        </w:rPr>
      </w:pPr>
    </w:p>
    <w:p>
      <w:pPr>
        <w:jc w:val="both"/>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693 BTC earned in Q1 2025, compared to 943 BTC earned in Q1 2024, representing a decrease of 27% as a result of reduced Block Rewards following the April 2024 halving event and a 44% increase in average Network Difficulty, partially offset by an increase in Hashrate from the Company’s expansions and upgrades to its Miner fleet with additional and higher efficiency Miners;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to 19 Watts/TH on March 31, 2025 compared to 34 Watts/TH on March 31, 2024, as a result of the Company upgrading its fleet with more efficient Miners. This improvement resulted in a 20 average Watts/Average TH efficiency during Q1 2025, compared to 35 average Watts/Average TH efficiency during Q1 2024, representing an improvement of 43%.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March 31,  As of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38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19.5</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38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19</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energized capacity (MW) **</w:t>
            </w:r>
          </w:p>
        </w:tc>
        <w:tc>
          <w:tcPr>
            <w:tcW w:w="38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461</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Watts represents the energy consumption of deployed Miners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21 MW operated on behalf of a third party through a hosting contract at the Panther Creek Bitcoin data center (as of March 31, 2024: nil)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March 31, 2025 v. as of December 31, 2024</w:t>
      </w:r>
    </w:p>
    <w:p>
      <w:pPr>
        <w:spacing w:after="0" w:line="31" w:lineRule="exact"/>
        <w:rPr>
          <w:sz w:val="20"/>
          <w:szCs w:val="20"/>
          <w:color w:val="auto"/>
        </w:rPr>
      </w:pP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EH/s online as of March 31, 2025, compared to 12.8 EH/s online as of December 31, 2024, an increase of 52%, as a result of the Company’s expansion in United States, including the acquisition of Stronghold, as well as the upgrade of its Miner fleet with higher efficiency Miners;</w:t>
      </w:r>
    </w:p>
    <w:p>
      <w:pPr>
        <w:ind w:left="660" w:right="2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energy efficiency of 19 Watts/TH on March 31, 2025 compared to 21 Watts/TH on December 31, 2024, an improvement of 10% as a result of the Company upgrading its fleet with more efficient Miners; and</w:t>
      </w:r>
    </w:p>
    <w:p>
      <w:pPr>
        <w:jc w:val="both"/>
        <w:ind w:left="660" w:hanging="328"/>
        <w:spacing w:after="0" w:line="255"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 MW energized capacity as of March 31, 2025, compared to 394 MW energized capacity as of December 31, 2024, an increase of 17%, mainly due to the acquisition of Stronghold (resulting in an additional 44 MW, including 21 MW used for a hosting contract with a third party), and the installation of miners in Sharon, United States and Baie-Comeau,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  Page</w:t>
      </w:r>
    </w:p>
    <w:p>
      <w:pPr>
        <w:sectPr>
          <w:pgSz w:w="11900" w:h="16838" w:orient="portrait"/>
          <w:cols w:equalWidth="0" w:num="1">
            <w:col w:w="11240"/>
          </w:cols>
          <w:pgMar w:left="320" w:top="2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EXPANSION PROJECTS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describes its expansion plans below under the sections entitled “United States Expansion”, “Paraguay Expansion”, and “Canada Expansion”.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expansion projects do not include updates from 2024 or earlier.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operated 19.5 EH/s under Management across its facilities, an increase of 6.7 EH/s, or 52%, compared to December 31, 2024. The increase is attributed to the installation of additional Miners mainly in the United States, the acquisition of the operations of Stronghold in Pennsylvania, United States (which included assumption of Stronghold’s existing hosting agreement with a third party); and the Company upgrading its overall fleet with more efficient Miners.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its expansion projects and the investment in its fleet upgrade, the Company achieved its first 2025 targets of 18 EH/s operational and 19 w/TH installed and is executing towards its target of 21 EH/s by June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prudently explore further opportunities to expand its infrastructure and improve its Mining hardware to increase the Company’s Hashrate and Miner efficiency and to monetize the Company’s infrastructure to create long-term value for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cost and supply of Bitcoin Mining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The Company’s expansion plans rely on a consistent supply of electricity at cost-effective rates;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 Risks)</w:t>
      </w:r>
      <w:r>
        <w:rPr>
          <w:rFonts w:ascii="Times New Roman" w:cs="Times New Roman" w:eastAsia="Times New Roman" w:hAnsi="Times New Roman"/>
          <w:sz w:val="18"/>
          <w:szCs w:val="18"/>
          <w:color w:val="auto"/>
        </w:rPr>
        <w:t xml:space="preserve"> of the MD&amp;A for the year ended December 31, 2024, dated March 26, 2025 for further details, including a description of these and other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Upgrade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fleet upgrade plan described below underpinned the Company’s 2024 expansion strategy. Securing additional Miners was anticipated to benefit the Company by capitalizing on elevated Bitcoin prices and drive rapid and meaningful improvements across three key operating metrics: Hashrate, energy efficiency and operating costs per 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  Page</w:t>
      </w:r>
    </w:p>
    <w:p>
      <w:pPr>
        <w:sectPr>
          <w:pgSz w:w="11900" w:h="16838" w:orient="portrait"/>
          <w:cols w:equalWidth="0" w:num="1">
            <w:col w:w="11240"/>
          </w:cols>
          <w:pgMar w:left="320" w:top="2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Fleet Upgrade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status of the latest Miner orders as of May 13,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1</w:t>
            </w:r>
          </w:p>
        </w:tc>
        <w:tc>
          <w:tcPr>
            <w:tcW w:w="16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60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Hashrate (EH/s)</w:t>
            </w:r>
            <w:r>
              <w:rPr>
                <w:rFonts w:ascii="Times New Roman" w:cs="Times New Roman" w:eastAsia="Times New Roman" w:hAnsi="Times New Roman"/>
                <w:sz w:val="29"/>
                <w:szCs w:val="29"/>
                <w:b w:val="1"/>
                <w:bCs w:val="1"/>
                <w:color w:val="auto"/>
                <w:vertAlign w:val="superscript"/>
              </w:rPr>
              <w:t>2</w:t>
            </w:r>
          </w:p>
        </w:tc>
        <w:tc>
          <w:tcPr>
            <w:tcW w:w="12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3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Energized</w:t>
            </w:r>
          </w:p>
        </w:tc>
        <w:tc>
          <w:tcPr>
            <w:tcW w:w="16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Q4</w:t>
            </w:r>
          </w:p>
        </w:tc>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Order</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35,898</w:t>
            </w:r>
          </w:p>
        </w:tc>
        <w:tc>
          <w:tcPr>
            <w:tcW w:w="1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6.8</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Q1</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(amended Q4 2024)</w:t>
            </w: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Option</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22,234</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22,234</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(amended Q4 2024)</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6,000</w:t>
            </w:r>
          </w:p>
        </w:tc>
        <w:tc>
          <w:tcPr>
            <w:tcW w:w="1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 Pro</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6,000</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28,234</w:t>
            </w:r>
          </w:p>
        </w:tc>
        <w:tc>
          <w:tcPr>
            <w:tcW w:w="1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28,234</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5.6</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(amended Q4 2024)</w:t>
            </w:r>
          </w:p>
        </w:tc>
        <w:tc>
          <w:tcPr>
            <w:tcW w:w="1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March 2024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6,475</w:t>
            </w:r>
          </w:p>
        </w:tc>
        <w:tc>
          <w:tcPr>
            <w:tcW w:w="1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3,736</w:t>
            </w: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0.7</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2,739</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Order</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12,700</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Bitmain S21 Pro</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9,820</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2,880</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(amended Q4 2024)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3,975</w:t>
            </w:r>
          </w:p>
        </w:tc>
        <w:tc>
          <w:tcPr>
            <w:tcW w:w="1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762</w:t>
            </w:r>
          </w:p>
        </w:tc>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Bitmain S21 hydro</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762</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0.3</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23,912</w:t>
            </w:r>
          </w:p>
        </w:tc>
        <w:tc>
          <w:tcPr>
            <w:tcW w:w="16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18,293</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5,619</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Q1</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Miners Swap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(4,160)</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3,440</w:t>
            </w:r>
          </w:p>
        </w:tc>
        <w:tc>
          <w:tcPr>
            <w:tcW w:w="1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 Plus</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3,058</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3,058</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(3,778)</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87,324</w:t>
            </w:r>
          </w:p>
        </w:tc>
        <w:tc>
          <w:tcPr>
            <w:tcW w:w="16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85,483</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hanging="192"/>
        <w:spacing w:after="0" w:line="195" w:lineRule="auto"/>
        <w:tabs>
          <w:tab w:leader="none" w:pos="20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total Hashrate from the Miners received corresponds to the total Hashrate specified in the initial agreements. The quantity of Miners received may vary based on the individual Hashrate specifications of each Miner.</w:t>
      </w:r>
    </w:p>
    <w:p>
      <w:pPr>
        <w:ind w:left="200" w:hanging="192"/>
        <w:spacing w:after="0" w:line="181" w:lineRule="auto"/>
        <w:tabs>
          <w:tab w:leader="none" w:pos="200" w:val="left"/>
        </w:tabs>
        <w:numPr>
          <w:ilvl w:val="0"/>
          <w:numId w:val="4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Hashrate is based on the average Miner specifications stated in the purchase agreements and the Company’s actual realized Hashrate may differ.</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2025, in connection with the Purchase Order, an exchange agreement was signed to return 4,160 Bitmain T21 Miners. In consideration for the returned Miners, Bitmain will refund the Company with a $9.5 million credit. Simultaneously, the Company placed another purchase order (’’2025 Miners Swap’’) for 3,660 Bitmain S21+ Miners at a purchase price of $11.9 million. On March 13, 2025, the net $2.4 million obligation was paid in BTC that can be repurchased in four quarterly installments at a predetermined price.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March 2024 Purchase Order, combined with the Purchase Order and Purchase Option, enabled the Company to reach 19.5 EH/s operating capacity and 19 w/TH efficiency in Q1 2025. The Company intends to continue liquidating older Miners to offset the cost of the capital expenditure. During Q1 2025, the Company sold 11,177 older generation Miners to third parties for approximately $1.6 million. Refer to Note 10 to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Stronghold and Yguazu data centers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Stronghold Transaction and the Yguazu Sale (as defined below) enabled the Company to rebalance its portfolio of MW to approximately 70% in North America and 30% outside of North America and is expected to reduce the Company’s average energy costs per kWh by up to 10%. Proceeds from the transaction will be reinvested towards its 1.1 GW growth pipeline as part of the Company’s planned United States expansion for BTC and HPC/AI infrastructure, which marks a significant milestone in the Company’s transition from an international Bitcoin miner to a North American energy and compute infrastructure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10  Page</w:t>
      </w:r>
    </w:p>
    <w:p>
      <w:pPr>
        <w:sectPr>
          <w:pgSz w:w="11900" w:h="16838" w:orient="portrait"/>
          <w:cols w:equalWidth="0" w:num="1">
            <w:col w:w="11240"/>
          </w:cols>
          <w:pgMar w:left="320" w:top="2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HPC/AI Business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the Company engaged two separate consultants in HPC/AI, Appleby Strategy Group (“ASG”) and World Wide Technology (“WWT”), to conduct formal evaluations of the Company’s data centers and energy assets for potential partial or total conversion to HPC/AI. In parallel, ASG and WWT will conduct feasibility assessments, data center engineering, site map planning, construction budgeting, and help build accelerated sales and development strategies. Combined, they will support the building of the Company’s operational capabilities and market the Company’s sites to potential HPC/AI customers.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2025, phase 1 feasibility assessments from WWT were provided to the Company and confirmed the suitability of all US sites and most Canadian sites for potential conversion to HPC/AI.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Stronghold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14, 2025, the Company acquired Stronghold in a stock-for-stock merger transaction (the “Transaction”). The Transaction was unanimously approved by the Board of Directors of both companies and was approved by shareholders representing a majority of the outstanding shares of Stronghold on February 27, 2025.</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shareholders received 2.52 shares of Bitfarms for each share of Stronghold they own. The Company issued 59,866,852 common shares and 12,893,650 warrants in connection with the consummation of the Merger. In addition, the Company paid $51.1 million on closing to retire Stronghold’s outstanding loans and other closing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Stronghold Transaction added up to 307 MW of power capacity, with an additional 648 MW of incremental potential power capacity, for a total of 955 MW of potential power capacity, to the Company’s operations and is aligned with the Company’s strategic objectives to diversify its operations and expand its presence in the United States through vertical integration of power generation and energy arbitrage capabilities. This transaction solidifies Bitfarms’ standing in the Bitcoin Mining sector and positions it well for expansion into the HPC/AI sector with two strategically located facilities with energy infrastructure and expansion capacity.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approximately 14,500 S21 Pro Bitmain Miners were installed at the Scrubgrass and Panther Creek facilities. Following the closing of the Stronghold Transaction on March 14, 2025, the Panther Creek Hosting Agreement and Scrubgrass Hosting Agreement were terminated, settling the $15.6 million Refundable Hosting Deposits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2025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the Company energized 12 MW at the Sharon data center located in Sharon, Pennsylvania, United States, after installing 3,300 Miners. The Company is in the registration process for participation in Economic Demand Response and other grid support programs offered in the deregulated PJM market. Participation in these programs includes both demand response and energy arbitrage strategies that the Company plans to develop in the coming months across its PJM portfolio under Bitfarms’ energy program. This program will be critical to maximizing the value of its PJM assets through more effective control of energy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  Page</w:t>
      </w:r>
    </w:p>
    <w:p>
      <w:pPr>
        <w:sectPr>
          <w:pgSz w:w="11900" w:h="16838" w:orient="portrait"/>
          <w:cols w:equalWidth="0" w:num="1">
            <w:col w:w="11240"/>
          </w:cols>
          <w:pgMar w:left="320" w:top="2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Sharon 2025 update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Through profit sharing plans from future hosting agreements and/or through proprietary compute power dedicated to BTC, the Mining operations are expected to increase the online Hashrate under management up to 1.6 EH/s. Fully energized for computing power dedicated to Bitcoin Mining, the site could support over 7.0 EH/s with current generation Miners. The cost of developing the 110 MW Bitcoin data center for computational power and the installation of the high voltage lines is estimated to range from $50.0 million to $60.0 million. A concurrent evaluation of developing all or a portion of the site for HPC/AI is in exploratory stages and may impact estimated capital expenditures and the increase in online Hashrate.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Position as of March 31, 2025</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the Company had placed deposits of $2.2 million with suppliers for construction costs and for electrical components. As of March 31, 2025, property, plant and equipment (“PPE”) included $12.8 million related to the Sharon data center for facility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State 2025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completed the upgrade of a portion of its current fleet of Miners in Washington during February 2025 with new T21 Miners. The Washington location is also being evaluated for potential conversion to HPC/AI due to its strategic location near a data center cluster.</w:t>
      </w:r>
    </w:p>
    <w:p>
      <w:pPr>
        <w:spacing w:after="0" w:line="177"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position as of March 31, 2025</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March 31, 2025, the Company had placed deposits of $0.1 million with suppliers for construction costs and for electrical components. As of March 31, 2025, PPE included $28.2 million related to the Paso Pe data center for warehouse construction and infrastructure equipment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Yguazu data center 2025 update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January 24, 2025, the Company announced that it had entered into a binding letter of intent to sell its 200 MW site in Yguazu, Paraguay to HIVE Digital Technologies Ltd. (“HIVE”) (the “Yguazu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14, 2025, the Yguazu Sale closed. HIVE purchased from Bitfarms its 100% ownership stake of its Yguazu, Paraguay BTC data center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 receivable from its Yguazu, Paraguay subsidiary, Zunz SA (“Backbone Yguazu”), for $63.3 million, with Bitfarms receiving:</w:t>
      </w:r>
    </w:p>
    <w:p>
      <w:pPr>
        <w:spacing w:after="0" w:line="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of advance payment made in January 2025 upon signing the letter of intent;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upon the closing of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in equal installments over 6 months following the closing;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other costs assumed by HIVE.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6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  Page</w:t>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2025 update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energy provider energized the additional 11 MW, increasing the Baie-Comeau data center total to 22 MW.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March 31,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$11.6 million of PPE at the Baie-Comeau data center, including infrastructure equipment that was repurposed from other data centers.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FINANCIAL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&amp; Operational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r>
      <w:tr>
        <w:trPr>
          <w:trHeight w:val="20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50,317</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16,531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(67,390)</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(60,999)</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(6,391)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(542)</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(10,682)</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10,140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7"/>
        </w:trPr>
        <w:tc>
          <w:tcPr>
            <w:tcW w:w="560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(20,173)</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(13,196)</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(6,977)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disposition of property, plant and equipment and deposits</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5,586</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170</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5,416</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(17,230)</w:t>
            </w:r>
          </w:p>
        </w:tc>
        <w:tc>
          <w:tcPr>
            <w:tcW w:w="1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(17,230)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(23,708)</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(8,651)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6"/>
        </w:trPr>
        <w:tc>
          <w:tcPr>
            <w:tcW w:w="560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2,110</w:t>
            </w:r>
          </w:p>
        </w:tc>
        <w:tc>
          <w:tcPr>
            <w:tcW w:w="1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11,443</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(9,333)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(30,249)</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(12,265)</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(17,984)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(5,626)</w:t>
            </w:r>
          </w:p>
        </w:tc>
        <w:tc>
          <w:tcPr>
            <w:tcW w:w="1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6,285</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(11,911)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7"/>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(35,875)</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(5,980)</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(29,895)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(in U.S. dollars)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(0.07)</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(0.02)</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(13,421)</w:t>
            </w:r>
          </w:p>
        </w:tc>
        <w:tc>
          <w:tcPr>
            <w:tcW w:w="1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17,433</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(30,854)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7"/>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(49,296)</w:t>
            </w:r>
          </w:p>
        </w:tc>
        <w:tc>
          <w:tcPr>
            <w:tcW w:w="1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11,453</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(60,749)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5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7"/>
        </w:trPr>
        <w:tc>
          <w:tcPr>
            <w:tcW w:w="5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28,043</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31,340</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(3,297)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6"/>
        </w:trPr>
        <w:tc>
          <w:tcPr>
            <w:tcW w:w="5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15,086</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23,324</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(8,238)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560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130"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0" w:hanging="192"/>
        <w:spacing w:after="0" w:line="187" w:lineRule="auto"/>
        <w:tabs>
          <w:tab w:leader="none" w:pos="20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  Page</w:t>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2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4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4"/>
                <w:szCs w:val="24"/>
                <w:color w:val="auto"/>
              </w:rPr>
            </w:pPr>
          </w:p>
        </w:tc>
      </w:tr>
      <w:tr>
        <w:trPr>
          <w:trHeight w:val="223"/>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2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64,863</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49,423</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15,440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571</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2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1,094</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894</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Energy sales</w:t>
            </w:r>
          </w:p>
        </w:tc>
        <w:tc>
          <w:tcPr>
            <w:tcW w:w="2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320</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320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20" w:type="dxa"/>
            <w:vAlign w:val="bottom"/>
            <w:tcBorders>
              <w:bottom w:val="single" w:sz="8" w:color="auto"/>
            </w:tcBorders>
            <w:shd w:val="clear" w:color="auto" w:fill="CCEEFF"/>
          </w:tcPr>
          <w:p>
            <w:pPr>
              <w:spacing w:after="0"/>
              <w:rPr>
                <w:sz w:val="20"/>
                <w:szCs w:val="20"/>
                <w:color w:val="auto"/>
              </w:rPr>
            </w:pPr>
          </w:p>
        </w:tc>
        <w:tc>
          <w:tcPr>
            <w:tcW w:w="468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50,317</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16,531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v. Q1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$66.8 million in Q1 2025 compared to $50.3 million in Q1 2024, an increase of $16.5 million, or 33%.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Q1 2025 compared to Q1 2024 are presented in the table below. Revenues increased mostly due to an increase in the Company’s average BTC Hashrate and average BTC price, partially offset by the increase in Network Difficulty and lower BTC earned resulting from lower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three months ended March 31, 2024</w:t>
            </w:r>
          </w:p>
        </w:tc>
        <w:tc>
          <w:tcPr>
            <w:tcW w:w="1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943</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50,317</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earned during Q1 2025</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(679)</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(63,552)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Q1 2025 as compared to Q1</w:t>
            </w: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(640)</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(59,951)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Q1 2025 as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compared to Q1 2024</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1,075</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100,661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Q1 2025 as compared to Q1 2024</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38,854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8"/>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variance and change in Volta*</w:t>
            </w:r>
          </w:p>
        </w:tc>
        <w:tc>
          <w:tcPr>
            <w:tcW w:w="1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7"/>
        </w:trPr>
        <w:tc>
          <w:tcPr>
            <w:tcW w:w="62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BTC and revenues, including Volta*, for the three months ended March 31,</w:t>
            </w: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59"/>
        </w:trPr>
        <w:tc>
          <w:tcPr>
            <w:tcW w:w="6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699</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198" w:lineRule="exact"/>
        <w:rPr>
          <w:sz w:val="20"/>
          <w:szCs w:val="20"/>
          <w:color w:val="auto"/>
        </w:rPr>
      </w:pPr>
    </w:p>
    <w:p>
      <w:pPr>
        <w:ind w:firstLine="8"/>
        <w:spacing w:after="0" w:line="282" w:lineRule="auto"/>
        <w:tabs>
          <w:tab w:leader="none" w:pos="1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9159-9290 Quebec Inc. (“Volta”) is a wholly-owned subsidiary of the Company, assists the Company in building and maintaining its data centers and provides electrician services to both commercial and residential customers in Quebec, Canada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200" w:hanging="192"/>
        <w:spacing w:after="0" w:line="250" w:lineRule="auto"/>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theoretical BTC earned based on Bitfarms’ actual Hashrate during Q1 2025 assuming the BTC halving event did not occur, compared to actual BTC earned during the same period multiplied by average BTC price earned.</w:t>
      </w:r>
    </w:p>
    <w:p>
      <w:pPr>
        <w:spacing w:after="0" w:line="1" w:lineRule="exact"/>
        <w:rPr>
          <w:sz w:val="20"/>
          <w:szCs w:val="20"/>
          <w:color w:val="auto"/>
        </w:rPr>
      </w:pPr>
    </w:p>
    <w:p>
      <w:pPr>
        <w:ind w:left="200" w:hanging="199"/>
        <w:spacing w:after="0" w:line="250" w:lineRule="auto"/>
        <w:tabs>
          <w:tab w:leader="none" w:pos="180" w:val="left"/>
        </w:tabs>
        <w:rPr>
          <w:sz w:val="20"/>
          <w:szCs w:val="20"/>
          <w:color w:val="auto"/>
        </w:rPr>
      </w:pPr>
      <w:r>
        <w:rPr>
          <w:rFonts w:ascii="Times New Roman" w:cs="Times New Roman" w:eastAsia="Times New Roman" w:hAnsi="Times New Roman"/>
          <w:sz w:val="18"/>
          <w:szCs w:val="18"/>
          <w:color w:val="auto"/>
        </w:rPr>
        <w:t>2</w:t>
        <w:tab/>
        <w:t>Calculated as the difference in BTC earned in Q1 2025 compared to Q1 2024, based on the change in Network Difficulty, multiplied by Q1 2025 average BTC price earned.</w:t>
      </w:r>
    </w:p>
    <w:p>
      <w:pPr>
        <w:spacing w:after="0" w:line="1" w:lineRule="exact"/>
        <w:rPr>
          <w:sz w:val="20"/>
          <w:szCs w:val="20"/>
          <w:color w:val="auto"/>
        </w:rPr>
      </w:pPr>
    </w:p>
    <w:p>
      <w:pPr>
        <w:ind w:left="200" w:right="20" w:hanging="192"/>
        <w:spacing w:after="0" w:line="250" w:lineRule="auto"/>
        <w:tabs>
          <w:tab w:leader="none" w:pos="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Q1 2025 compared to Q1 2024, based on the change in Bitfarms’ average Hashrate, multiplied by Q1 2025 average BTC price earned.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Calculated as the difference in average BTC price in Q1 2025 compared to Q1 2024 multiplied by BTC earned in Q1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  Page</w:t>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Q1 2025 v. Q1 2024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Q1 2025 and Q1 2024 by country: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29,778</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32,138</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(2,360)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18,101</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4,887</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13,214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0"/>
        </w:trPr>
        <w:tc>
          <w:tcPr>
            <w:tcW w:w="488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47,879</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37,025</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10,854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12,014</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1,716</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10,298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6,955</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11,576</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(4,621)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88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18,969</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13,292</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8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50,317</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16,531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Average Operational Hashrate under Management*</w:t>
            </w:r>
          </w:p>
        </w:tc>
        <w:tc>
          <w:tcPr>
            <w:tcW w:w="18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0"/>
                <w:szCs w:val="20"/>
                <w:color w:val="auto"/>
              </w:rPr>
            </w:pPr>
          </w:p>
        </w:tc>
      </w:tr>
      <w:tr>
        <w:trPr>
          <w:trHeight w:val="223"/>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5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0"/>
        </w:trPr>
        <w:tc>
          <w:tcPr>
            <w:tcW w:w="53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30"/>
        </w:trPr>
        <w:tc>
          <w:tcPr>
            <w:tcW w:w="5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2"/>
        </w:trPr>
        <w:tc>
          <w:tcPr>
            <w:tcW w:w="538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operational hashrate reflects the hashrate of the Miners that the Company owns and operates.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earned most of its revenues during Q1 2025 from its Canadian operations, which accounted for 45% of total revenues, compared to 64% in Q1 2024. The Company’s operations in United States, Paraguay, and Argentina accounted for 27%, 18%, and 10% of total revenues in Q1 2025, respectively, compared to 10%, 3%, and 23% in Q1 2024, respectively.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Q1 2025, revenues from the Company’s operations in United States and Paraguay increased by $13.2 million and $10.3 million, respectively, compared to Q1 2024. The increases are mainly due to the average Hashrate increase of the United States and Paraguay operations of 3.4 EH/s and 2.2 EH/s, respectively, and the increase in average BTC price, partially offset by the decrease in BTC Block Rewards following the BTC halving event that occurred on April 19, 2024 and the increase in Network Difficulty. The Company’s acquisition of Stronghold’s facilities as part of the Stronghold Transaction contributed to 1.4 EH/s, or 18% of the Hashrate increase. Revenues from the Company’s operations in Argentina and Canada decreased by $4.6 million and $2.4 million, respectively, in Q1 2025, as compared to Q1 2024 due to the factors mentioned above, partially offset by the average Hashrate increase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  Page</w:t>
      </w:r>
    </w:p>
    <w:p>
      <w:pPr>
        <w:sectPr>
          <w:pgSz w:w="11900" w:h="16838" w:orient="portrait"/>
          <w:cols w:equalWidth="0" w:num="1">
            <w:col w:w="11240"/>
          </w:cols>
          <w:pgMar w:left="320" w:top="2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2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3"/>
        </w:trPr>
        <w:tc>
          <w:tcPr>
            <w:tcW w:w="6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r>
      <w:tr>
        <w:trPr>
          <w:trHeight w:val="223"/>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44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(25,408)</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(19,347)</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(38,977)</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9,284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(7,735)</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(7,735)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(3,677)</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(1,967)</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(708)</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(67,390)</w:t>
            </w: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(60,999)</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(6,391)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v. Q1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cost of revenues for Q1 2025 was $67.4 million, compared to $61.0 million for Q1 2024. The increase in cost of revenues was mainly attributable to:</w:t>
      </w:r>
    </w:p>
    <w:p>
      <w:pPr>
        <w:spacing w:after="0" w:line="1" w:lineRule="exact"/>
        <w:rPr>
          <w:sz w:val="20"/>
          <w:szCs w:val="20"/>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$6.1 million, or 31%, increase in energy expenses, mainly due to:</w:t>
      </w:r>
    </w:p>
    <w:p>
      <w:pPr>
        <w:spacing w:after="0" w:line="9" w:lineRule="exact"/>
        <w:rPr>
          <w:rFonts w:ascii="Times New Roman" w:cs="Times New Roman" w:eastAsia="Times New Roman" w:hAnsi="Times New Roman"/>
          <w:sz w:val="18"/>
          <w:szCs w:val="18"/>
          <w:color w:val="auto"/>
        </w:rPr>
      </w:pPr>
    </w:p>
    <w:p>
      <w:pPr>
        <w:jc w:val="both"/>
        <w:ind w:left="900" w:hanging="244"/>
        <w:spacing w:after="0" w:line="250"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adding new and more efficient Miners, which increased energy utilization to an average of 279 MW during Q1 2025 versus 214 MW for the same period in 2024, partially offset by Canadian sales taxes on its energy and infrastructure expenses that were refundable in Q1 2025 compared to being expensed in Q1 2024, resulting in a net increase in total electricity costs of $3.9 million. Refer to Note 29b - </w:t>
      </w:r>
      <w:r>
        <w:rPr>
          <w:rFonts w:ascii="Times New Roman" w:cs="Times New Roman" w:eastAsia="Times New Roman" w:hAnsi="Times New Roman"/>
          <w:sz w:val="18"/>
          <w:szCs w:val="18"/>
          <w:i w:val="1"/>
          <w:iCs w:val="1"/>
          <w:color w:val="auto"/>
        </w:rPr>
        <w:t xml:space="preserve">Additional Details to the Statement of Profit or Loss and Comprehensive Profit or Loss (Canadian sales tax refund) </w:t>
      </w:r>
      <w:r>
        <w:rPr>
          <w:rFonts w:ascii="Times New Roman" w:cs="Times New Roman" w:eastAsia="Times New Roman" w:hAnsi="Times New Roman"/>
          <w:sz w:val="18"/>
          <w:szCs w:val="18"/>
          <w:color w:val="auto"/>
        </w:rPr>
        <w:t>to the 2024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due to fuel expenses from its power plants to generate revenues following the acquisition of Stronghold in Q1 2025.</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$7.7 million, or 100%, increase in hosting expenses, mainly due to:</w:t>
      </w:r>
    </w:p>
    <w:p>
      <w:pPr>
        <w:spacing w:after="0" w:line="9" w:lineRule="exact"/>
        <w:rPr>
          <w:rFonts w:ascii="Times New Roman" w:cs="Times New Roman" w:eastAsia="Times New Roman" w:hAnsi="Times New Roman"/>
          <w:sz w:val="18"/>
          <w:szCs w:val="18"/>
          <w:color w:val="auto"/>
        </w:rPr>
      </w:pPr>
    </w:p>
    <w:p>
      <w:pPr>
        <w:ind w:left="900" w:hanging="244"/>
        <w:spacing w:after="0" w:line="250"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non-recurring increase of $3.3 million in hosting expenses as the Company had its Miners hosted at Stronghold’s Panther Creek and Scrubgrass facilities in the United States in Q1 2025, prior to the acquisition of Stronghold; and</w:t>
      </w:r>
    </w:p>
    <w:p>
      <w:pPr>
        <w:ind w:left="900" w:hanging="244"/>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increase in electricity costs incurred for hosting at the Panther Creek and Scrubgrass facilities in the United States.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or 87%, increase in infrastructure expenses, mainly due to:</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work at the Panther Creek, Scrubgrass and Sharon facilities in the United States to increase operational capacity; and</w:t>
      </w:r>
    </w:p>
    <w:p>
      <w:pPr>
        <w:spacing w:after="0" w:line="9" w:lineRule="exact"/>
        <w:rPr>
          <w:rFonts w:ascii="Times New Roman" w:cs="Times New Roman" w:eastAsia="Times New Roman" w:hAnsi="Times New Roman"/>
          <w:sz w:val="18"/>
          <w:szCs w:val="18"/>
          <w:color w:val="auto"/>
        </w:rPr>
      </w:pPr>
    </w:p>
    <w:p>
      <w:pPr>
        <w:ind w:left="900" w:hanging="244"/>
        <w:spacing w:after="0" w:line="260"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 preparation cost for hydro Miners in Baie-Comeau, Canada and the higher repairs and maintenance costs related to the Miner installation.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260" w:hanging="252"/>
        <w:spacing w:after="0" w:line="255" w:lineRule="auto"/>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$9.3 million decrease in non-cash depreciation and amortization expense due to the accelerated depreciation recorded in Q1 2024 related to the upgrade program, which decreased the anticipated useful life of older miners. Refer to Note 12 -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2024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  Page</w:t>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6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(6,170)</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(6,047)</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(4,437)</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(3,094)</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(1,343)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(5,687)</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(1,658)</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(4,029)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(3,104)</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(1,957)</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(1,147)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(246)</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Telecom hosting and telecommunications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(78)</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8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(20,173)</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(13,196)</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(6,977)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v. Q1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general and administrative (“G&amp;A”) expenses were $20.2 million in Q1 2025, compared to $13.2 million for Q1 2024. The increase of $7.0 million, or 53%, was largely due to:</w:t>
      </w:r>
    </w:p>
    <w:p>
      <w:pPr>
        <w:spacing w:after="0" w:line="1" w:lineRule="exact"/>
        <w:rPr>
          <w:sz w:val="20"/>
          <w:szCs w:val="20"/>
          <w:color w:val="auto"/>
        </w:rPr>
      </w:pPr>
    </w:p>
    <w:p>
      <w:pPr>
        <w:ind w:left="260" w:hanging="252"/>
        <w:spacing w:after="0" w:line="250" w:lineRule="auto"/>
        <w:tabs>
          <w:tab w:leader="none" w:pos="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million increase in professional services related to legal and accounting fees associated with non-recurring activities including the Stronghold Transaction and related filing fees.</w:t>
      </w:r>
    </w:p>
    <w:p>
      <w:pPr>
        <w:ind w:left="260" w:hanging="252"/>
        <w:spacing w:after="0" w:line="250" w:lineRule="auto"/>
        <w:tabs>
          <w:tab w:leader="none" w:pos="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increase in share-based payment due to higher outstanding stock options and restricted stock units (“RSU”) during Q1 2025 compared to Q1 2024.</w:t>
      </w:r>
    </w:p>
    <w:p>
      <w:pPr>
        <w:jc w:val="both"/>
        <w:ind w:left="260" w:hanging="252"/>
        <w:spacing w:after="0" w:line="255" w:lineRule="auto"/>
        <w:tabs>
          <w:tab w:leader="none" w:pos="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  Page</w:t>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3"/>
        </w:trPr>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r>
      <w:tr>
        <w:trPr>
          <w:trHeight w:val="223"/>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warrants</w:t>
            </w: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5,618</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9,040</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(3,714)</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2,490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(6,204)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Refundable Hosting Deposits</w:t>
            </w: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945</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945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391</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338</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950</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680</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(378)</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(666)</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20" w:type="dxa"/>
            <w:vAlign w:val="bottom"/>
            <w:tcBorders>
              <w:bottom w:val="single" w:sz="8" w:color="auto"/>
            </w:tcBorders>
            <w:shd w:val="clear" w:color="auto" w:fill="CCEEFF"/>
          </w:tcPr>
          <w:p>
            <w:pPr>
              <w:spacing w:after="0"/>
              <w:rPr>
                <w:sz w:val="20"/>
                <w:szCs w:val="20"/>
                <w:color w:val="auto"/>
              </w:rPr>
            </w:pPr>
          </w:p>
        </w:tc>
        <w:tc>
          <w:tcPr>
            <w:tcW w:w="474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2,110</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11,443</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(9,333)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v. Q1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net financial income was $2.1 million for Q1 2025, compared to $11.4 million for Q1 2024. The $9.3 million decrease was primarily related to:</w:t>
      </w:r>
    </w:p>
    <w:p>
      <w:pPr>
        <w:spacing w:after="0" w:line="27" w:lineRule="exact"/>
        <w:rPr>
          <w:sz w:val="20"/>
          <w:szCs w:val="20"/>
          <w:color w:val="auto"/>
        </w:rPr>
      </w:pPr>
    </w:p>
    <w:p>
      <w:pPr>
        <w:ind w:left="260" w:right="20" w:hanging="252"/>
        <w:spacing w:after="0" w:line="250" w:lineRule="auto"/>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decrease in gain on revaluation of warrants due to the fair value of the warrant liabilities for the 2023 private placement in Q1 2025 decreasing less than the fair value decrease of the warrant liabilities for the 2021 and 2023 private placements in Q1 2024.</w:t>
      </w: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 million unfavorable change in (loss) gain on derivative assets and liabilities mainly due to:</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$2.2 million in Q1 2025 from the BTC Redemption Option. Refer to Note 9 to the Financial Statements.</w:t>
      </w:r>
    </w:p>
    <w:p>
      <w:pPr>
        <w:spacing w:after="0" w:line="9" w:lineRule="exact"/>
        <w:rPr>
          <w:rFonts w:ascii="Times New Roman" w:cs="Times New Roman" w:eastAsia="Times New Roman" w:hAnsi="Times New Roman"/>
          <w:sz w:val="18"/>
          <w:szCs w:val="18"/>
          <w:color w:val="auto"/>
        </w:rPr>
      </w:pPr>
    </w:p>
    <w:p>
      <w:pPr>
        <w:jc w:val="both"/>
        <w:ind w:left="900" w:hanging="244"/>
        <w:spacing w:after="0" w:line="250" w:lineRule="auto"/>
        <w:tabs>
          <w:tab w:leader="none" w:pos="9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$1.5 million in Q1 2025 from the Bitcoin One Program, which includes an unrealized loss of $6.3 million on open positions, partially offset by realized gain of $4.8 million on closed positions. Refer to Section 10b - Capital Resources (</w:t>
      </w:r>
      <w:r>
        <w:rPr>
          <w:rFonts w:ascii="Times New Roman" w:cs="Times New Roman" w:eastAsia="Times New Roman" w:hAnsi="Times New Roman"/>
          <w:sz w:val="18"/>
          <w:szCs w:val="18"/>
          <w:i w:val="1"/>
          <w:iCs w:val="1"/>
          <w:color w:val="auto"/>
        </w:rPr>
        <w:t>Bitcoin One program for digital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management).</w:t>
      </w:r>
    </w:p>
    <w:p>
      <w:pPr>
        <w:spacing w:after="0" w:line="1" w:lineRule="exact"/>
        <w:rPr>
          <w:rFonts w:ascii="Times New Roman" w:cs="Times New Roman" w:eastAsia="Times New Roman" w:hAnsi="Times New Roman"/>
          <w:sz w:val="18"/>
          <w:szCs w:val="18"/>
          <w:color w:val="auto"/>
        </w:rPr>
      </w:pPr>
    </w:p>
    <w:p>
      <w:pPr>
        <w:ind w:left="900" w:right="120" w:hanging="244"/>
        <w:spacing w:after="0" w:line="182" w:lineRule="auto"/>
        <w:tabs>
          <w:tab w:leader="none" w:pos="900" w:val="left"/>
        </w:tabs>
        <w:numPr>
          <w:ilvl w:val="1"/>
          <w:numId w:val="6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Net gain of $2.5 million in Q1 2024, mainly from the unrealized gain on the change in fair value of open Synthetic HODL</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positions. Refer to Note 9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  Page</w:t>
      </w:r>
    </w:p>
    <w:p>
      <w:pPr>
        <w:sectPr>
          <w:pgSz w:w="11900" w:h="16838" w:orient="portrait"/>
          <w:cols w:equalWidth="0" w:num="1">
            <w:col w:w="11240"/>
          </w:cols>
          <w:pgMar w:left="320" w:top="2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as a result of the decline of the Company’s market capitalization and BTC prices, the Company performed evaluations of the recoverable amount of the assets for operating cryptocurrency mining facilities in Canada, United States, Argentina and Paraguay separately. The Company also observed an increase in gas prices which affects the Company’s cost of energy in Argentina. The recoverable amount for the Argentina cash generating unit (“CGU”) was calculated using the value in use model, which was determined to be lower than its carrying amount. Based on its calculation, the Company determined that an impairment loss should be recorded on its Argentina CGU.</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impairment loss on the Company’s Argentina CGU recorded in Q1 2025 amounted to $15.9 million, of which $15.6 million was allocated to PPE, $0.2 million to equipment and construction prepayments and $0.1 million to ROU. The impairment loss was recognized in profit or loss under Impairment on non-financial assets, compared to an impairment loss of nil in Q1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included in the Argentina CGU are funded through a funding mechanism facilitating the favorable conversion of U.S. dollars to Argentine Pesos, which generated a gain on disposition of marketable securities. The gain on disposition of marketable securities is reflected in the value of the assets before any impairment charge is incurred. The combined impact of the cumulative impairment charges on the operating Argentina CGU and the cumulative gain on disposition of marketable securities from Argentina is reflected as an expense of $35.9 million in profit or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recorded an impairment loss of $1.3 million on its Miners held for sale in Q1 2025, compared to nil in Q1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details of the key assumptions used in the calculations, refer to Note 11 -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  Page</w:t>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SELECTED QUARTERLY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w:t>
            </w: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0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Q4 2024</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Q3 2024</w:t>
            </w: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Q2 2024</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2024</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Q4 2023</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Q3 2023</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Q2 2023</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56,163</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44,853</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41,548</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50,317</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46,241</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34,596</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35,479</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(35,875)</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15,165</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(36,649)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(26,599)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(5,980)</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(62,045)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(16,507)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(26,083)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(0.07)</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0.03</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(0.08)</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(0.07)</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(0.21)</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(0.07)</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0.03</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(0.08)</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(0.07)</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(0.21)</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before income</w:t>
            </w: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(30,249)</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5,458</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(36,651)</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(24,895)</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(12,265)</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(62,423)</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(16,106)</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(26,177)</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(1,693)</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24,584</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28,829</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57,337</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38,977</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21,790</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21,767</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20,528</w:t>
            </w:r>
          </w:p>
        </w:tc>
        <w:tc>
          <w:tcPr>
            <w:tcW w:w="0" w:type="dxa"/>
            <w:vAlign w:val="bottom"/>
          </w:tcPr>
          <w:p>
            <w:pPr>
              <w:spacing w:after="0"/>
              <w:rPr>
                <w:sz w:val="1"/>
                <w:szCs w:val="1"/>
                <w:color w:val="auto"/>
              </w:rPr>
            </w:pP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(8,760)</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(861)</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29,752</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(9,836)</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21,989</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26,410</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(40,542)</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6,029</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70"/>
        </w:trPr>
        <w:tc>
          <w:tcPr>
            <w:tcW w:w="256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4,437</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4,021</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5,159</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1,675</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3,094</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3,906</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2,011</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w:t>
            </w: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120" w:type="dxa"/>
            <w:vAlign w:val="bottom"/>
            <w:vMerge w:val="continue"/>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non-financial</w:t>
            </w:r>
          </w:p>
        </w:tc>
        <w:tc>
          <w:tcPr>
            <w:tcW w:w="11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17,230</w:t>
            </w: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3,628</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2,270</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 of</w:t>
            </w: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(5,618)</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vMerge w:val="continue"/>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(6,314)</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(5,704)</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1,455</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(9,040)</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42,760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(2,196)</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(391)</w:t>
            </w: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(782)</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(780)</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(413)</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(999)</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(4,120)</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 Refundable</w:t>
            </w: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(945)</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Hosting Deposits</w:t>
            </w:r>
          </w:p>
        </w:tc>
        <w:tc>
          <w:tcPr>
            <w:tcW w:w="1120" w:type="dxa"/>
            <w:vAlign w:val="bottom"/>
            <w:vMerge w:val="continue"/>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Professional services not</w:t>
            </w: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with ongoing</w:t>
            </w:r>
          </w:p>
        </w:tc>
        <w:tc>
          <w:tcPr>
            <w:tcW w:w="11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1,671</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1,287</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9,383</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3,096</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energy and infrastructure and</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56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G&amp;A expenses </w:t>
            </w:r>
            <w:r>
              <w:rPr>
                <w:rFonts w:ascii="Times New Roman" w:cs="Times New Roman" w:eastAsia="Times New Roman" w:hAnsi="Times New Roman"/>
                <w:sz w:val="29"/>
                <w:szCs w:val="29"/>
                <w:color w:val="auto"/>
                <w:vertAlign w:val="superscript"/>
              </w:rPr>
              <w:t>(2)</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(18,468)</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2,387</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2,485</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2,366</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(437)</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(13,649)</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3,706</w:t>
            </w:r>
          </w:p>
        </w:tc>
        <w:tc>
          <w:tcPr>
            <w:tcW w:w="1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2,132</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811</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7,635</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3,610</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50"/>
        </w:trPr>
        <w:tc>
          <w:tcPr>
            <w:tcW w:w="256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15,086</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14,315</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5,556</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11,466</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23,324</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16,332</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8,883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9,968</w:t>
            </w:r>
          </w:p>
        </w:tc>
        <w:tc>
          <w:tcPr>
            <w:tcW w:w="0" w:type="dxa"/>
            <w:vAlign w:val="bottom"/>
          </w:tcPr>
          <w:p>
            <w:pPr>
              <w:spacing w:after="0"/>
              <w:rPr>
                <w:sz w:val="1"/>
                <w:szCs w:val="1"/>
                <w:color w:val="auto"/>
              </w:rPr>
            </w:pPr>
          </w:p>
        </w:tc>
      </w:tr>
      <w:tr>
        <w:trPr>
          <w:trHeight w:val="263"/>
        </w:trPr>
        <w:tc>
          <w:tcPr>
            <w:tcW w:w="25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(1)</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00" w:right="20" w:hanging="192"/>
        <w:spacing w:after="0" w:line="196" w:lineRule="auto"/>
        <w:tabs>
          <w:tab w:leader="none" w:pos="20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200" w:hanging="192"/>
        <w:spacing w:after="0" w:line="204" w:lineRule="auto"/>
        <w:tabs>
          <w:tab w:leader="none" w:pos="20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  Page</w:t>
      </w:r>
    </w:p>
    <w:p>
      <w:pPr>
        <w:sectPr>
          <w:pgSz w:w="11900" w:h="16838" w:orient="portrait"/>
          <w:cols w:equalWidth="0" w:num="1">
            <w:col w:w="11240"/>
          </w:cols>
          <w:pgMar w:left="320" w:top="2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SELECTED QUARTERLY INFORMATION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Canada, where power was sourced directly from Hydro-Québec, Hydro-Magog, Hydro-Sherbrooke and the City of Baie-Comeau. The Company also had operations in Washington State, United States, that were powered by the Grant County Power Utility District; operations in Pennsylvania, United States, that were powered by Stronghold and the PJM Interconnection Merchant Market; as well as operations in Paraguay that were powered by ANDE and Compañía de Luz y Fuerza S.A (“CLYFSA”). Energy rates in Argentina increase during the winter months of May through September. Among other phenomena, changing weather in Quebec (Canada), Washington State (United States), Paraguay and Argentina may impact seasonal electricity needs and costs.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may reduce the risk and extent of extreme weather and other external factors unduly affecting the Company’s overall performance.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Q1 2025 details, refer to Section 7A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6</w:t>
      </w:r>
    </w:p>
    <w:p>
      <w:pPr>
        <w:spacing w:after="0" w:line="29" w:lineRule="exact"/>
        <w:rPr>
          <w:sz w:val="20"/>
          <w:szCs w:val="20"/>
          <w:color w:val="auto"/>
        </w:rPr>
      </w:pPr>
    </w:p>
    <w:p>
      <w:pPr>
        <w:ind w:left="120" w:hanging="112"/>
        <w:spacing w:after="0"/>
        <w:tabs>
          <w:tab w:leader="none" w:pos="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Expansion, Paraguay Expansion, and Canada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  Page</w:t>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5780" w:firstLine="8"/>
        <w:spacing w:after="0" w:line="503" w:lineRule="auto"/>
        <w:tabs>
          <w:tab w:leader="none" w:pos="1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 w:type="dxa"/>
            <w:vAlign w:val="bottom"/>
          </w:tcPr>
          <w:p>
            <w:pPr>
              <w:spacing w:after="0"/>
              <w:rPr>
                <w:sz w:val="19"/>
                <w:szCs w:val="19"/>
                <w:color w:val="auto"/>
              </w:rPr>
            </w:pPr>
          </w:p>
        </w:tc>
      </w:tr>
      <w:tr>
        <w:trPr>
          <w:trHeight w:val="187"/>
        </w:trPr>
        <w:tc>
          <w:tcPr>
            <w:tcW w:w="13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28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566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c>
          <w:tcPr>
            <w:tcW w:w="20" w:type="dxa"/>
            <w:vAlign w:val="bottom"/>
          </w:tcPr>
          <w:p>
            <w:pPr>
              <w:spacing w:after="0"/>
              <w:rPr>
                <w:sz w:val="16"/>
                <w:szCs w:val="16"/>
                <w:color w:val="auto"/>
              </w:rPr>
            </w:pPr>
          </w:p>
        </w:tc>
      </w:tr>
      <w:tr>
        <w:trPr>
          <w:trHeight w:val="220"/>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and other infrastructure costs. Power costs are the largest variable</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electrical components and other expenses;</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(iv) electrician salaries and payroll taxes; and (v) sales</w:t>
            </w:r>
          </w:p>
        </w:tc>
        <w:tc>
          <w:tcPr>
            <w:tcW w:w="5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gross</w:t>
            </w:r>
          </w:p>
        </w:tc>
      </w:tr>
      <w:tr>
        <w:trPr>
          <w:trHeight w:val="234"/>
        </w:trPr>
        <w:tc>
          <w:tcPr>
            <w:tcW w:w="1300" w:type="dxa"/>
            <w:vAlign w:val="bottom"/>
          </w:tcPr>
          <w:p>
            <w:pPr>
              <w:spacing w:after="0"/>
              <w:rPr>
                <w:sz w:val="20"/>
                <w:szCs w:val="20"/>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recovery.</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profitability of the Company’s digital asset Mining operations.</w:t>
            </w:r>
          </w:p>
        </w:tc>
      </w:tr>
      <w:tr>
        <w:trPr>
          <w:trHeight w:val="191"/>
        </w:trPr>
        <w:tc>
          <w:tcPr>
            <w:tcW w:w="1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EBITDA</w:t>
            </w:r>
          </w:p>
        </w:tc>
        <w:tc>
          <w:tcPr>
            <w:tcW w:w="428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Net income (loss) adjusted to exclude: (i) interest</w:t>
            </w:r>
          </w:p>
        </w:tc>
        <w:tc>
          <w:tcPr>
            <w:tcW w:w="566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profitability before the impact of different financing methods,</w:t>
            </w:r>
          </w:p>
        </w:tc>
        <w:tc>
          <w:tcPr>
            <w:tcW w:w="20" w:type="dxa"/>
            <w:vAlign w:val="bottom"/>
          </w:tcPr>
          <w:p>
            <w:pPr>
              <w:spacing w:after="0"/>
              <w:rPr>
                <w:sz w:val="16"/>
                <w:szCs w:val="16"/>
                <w:color w:val="auto"/>
              </w:rPr>
            </w:pP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 (ii) income tax expense; and (iii) depreciation</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amortization.</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with additional information to assist</w:t>
            </w:r>
          </w:p>
        </w:tc>
      </w:tr>
      <w:tr>
        <w:trPr>
          <w:trHeight w:val="216"/>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them in understanding components of the Company’s financial results,</w:t>
            </w:r>
          </w:p>
        </w:tc>
      </w:tr>
      <w:tr>
        <w:trPr>
          <w:trHeight w:val="216"/>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including a more complete understanding of factors and trends affecting</w:t>
            </w:r>
          </w:p>
        </w:tc>
      </w:tr>
      <w:tr>
        <w:trPr>
          <w:trHeight w:val="216"/>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its performance.</w:t>
            </w:r>
          </w:p>
        </w:tc>
      </w:tr>
      <w:tr>
        <w:trPr>
          <w:trHeight w:val="216"/>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cash  operating</w:t>
            </w:r>
          </w:p>
        </w:tc>
      </w:tr>
      <w:tr>
        <w:trPr>
          <w:trHeight w:val="216"/>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performance excluding the impact of charges and credits associated with</w:t>
            </w:r>
          </w:p>
        </w:tc>
      </w:tr>
      <w:tr>
        <w:trPr>
          <w:trHeight w:val="216"/>
        </w:trPr>
        <w:tc>
          <w:tcPr>
            <w:tcW w:w="1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financing the operations and growth of the Company from period to</w:t>
            </w:r>
          </w:p>
        </w:tc>
      </w:tr>
      <w:tr>
        <w:trPr>
          <w:trHeight w:val="234"/>
        </w:trPr>
        <w:tc>
          <w:tcPr>
            <w:tcW w:w="13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r>
        <w:trPr>
          <w:trHeight w:val="187"/>
        </w:trPr>
        <w:tc>
          <w:tcPr>
            <w:tcW w:w="13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280" w:type="dxa"/>
            <w:vAlign w:val="bottom"/>
            <w:tcBorders>
              <w:top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color w:val="auto"/>
              </w:rPr>
              <w:t>EBITDA adjusted to exclude: (i) share-based payment;</w:t>
            </w:r>
          </w:p>
        </w:tc>
        <w:tc>
          <w:tcPr>
            <w:tcW w:w="566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before the impact of all of the items in calculating</w:t>
            </w:r>
          </w:p>
        </w:tc>
        <w:tc>
          <w:tcPr>
            <w:tcW w:w="20" w:type="dxa"/>
            <w:vAlign w:val="bottom"/>
          </w:tcPr>
          <w:p>
            <w:pPr>
              <w:spacing w:after="0"/>
              <w:rPr>
                <w:sz w:val="16"/>
                <w:szCs w:val="16"/>
                <w:color w:val="auto"/>
              </w:rPr>
            </w:pPr>
          </w:p>
        </w:tc>
      </w:tr>
      <w:tr>
        <w:trPr>
          <w:trHeight w:val="220"/>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 non-cash finance expenses; (iii) asset impairment</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 (iv) (reversal of) revaluation loss on digital</w:t>
            </w:r>
          </w:p>
        </w:tc>
        <w:tc>
          <w:tcPr>
            <w:tcW w:w="5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(v) gain on disposition of marketable securities,</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profitability of the Company’s core operations across time periods.</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or losses on derivative assets and liabilities and</w:t>
            </w:r>
          </w:p>
        </w:tc>
        <w:tc>
          <w:tcPr>
            <w:tcW w:w="5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 performance</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expense on VAT receivable; (vi) loss (gain)</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 revaluation of warrants and warrant issuance costs;</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forecasts.</w:t>
            </w: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(vii)  loss  on  currency  exchange;  (viii)  sales  tax</w:t>
            </w:r>
          </w:p>
        </w:tc>
        <w:tc>
          <w:tcPr>
            <w:tcW w:w="5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recovery; and (iv) other non-recurring items that do</w:t>
            </w:r>
          </w:p>
        </w:tc>
        <w:tc>
          <w:tcPr>
            <w:tcW w:w="5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3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not reflect the core performance of the Company.</w:t>
            </w:r>
          </w:p>
        </w:tc>
        <w:tc>
          <w:tcPr>
            <w:tcW w:w="5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3"/>
        </w:trPr>
        <w:tc>
          <w:tcPr>
            <w:tcW w:w="1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r>
      <w:tr>
        <w:trPr>
          <w:trHeight w:val="216"/>
        </w:trPr>
        <w:tc>
          <w:tcPr>
            <w:tcW w:w="130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5260" w:type="dxa"/>
            <w:vAlign w:val="bottom"/>
            <w:tcBorders>
              <w:top w:val="single" w:sz="8" w:color="auto"/>
              <w:right w:val="single" w:sz="8" w:color="auto"/>
            </w:tcBorders>
          </w:tcPr>
          <w:p>
            <w:pPr>
              <w:ind w:left="500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2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2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 w:type="dxa"/>
            <w:vAlign w:val="bottom"/>
          </w:tcPr>
          <w:p>
            <w:pPr>
              <w:spacing w:after="0"/>
              <w:rPr>
                <w:sz w:val="19"/>
                <w:szCs w:val="19"/>
                <w:color w:val="auto"/>
              </w:rPr>
            </w:pP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Cost of revenues adjusted to exclude: (i) depreciation</w:t>
            </w:r>
          </w:p>
        </w:tc>
        <w:tc>
          <w:tcPr>
            <w:tcW w:w="566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the Company’s power and hosting costs, the largest variable</w:t>
            </w:r>
          </w:p>
        </w:tc>
        <w:tc>
          <w:tcPr>
            <w:tcW w:w="2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amortization;  (ii)  purchases  of  electrical</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components; (iii) electrician salaries and payroll taxes;</w:t>
            </w:r>
          </w:p>
        </w:tc>
        <w:tc>
          <w:tcPr>
            <w:tcW w:w="5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(iv) infrastructure; (v) sales tax recovery; and (vi)</w:t>
            </w:r>
          </w:p>
        </w:tc>
        <w:tc>
          <w:tcPr>
            <w:tcW w:w="5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direct variable cost and marginal cost for its core digital asset Mining</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direct expenses.</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operations across time periods.</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r>
        <w:trPr>
          <w:trHeight w:val="191"/>
        </w:trPr>
        <w:tc>
          <w:tcPr>
            <w:tcW w:w="1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20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The  sum  of  cost  of  revenues  and  general  and</w:t>
            </w:r>
          </w:p>
        </w:tc>
        <w:tc>
          <w:tcPr>
            <w:tcW w:w="566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 Mining</w:t>
            </w:r>
          </w:p>
        </w:tc>
        <w:tc>
          <w:tcPr>
            <w:tcW w:w="2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expenses before: (i) depreciation and</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(ii)  non-cash  service  expense  (iii)</w:t>
            </w:r>
          </w:p>
        </w:tc>
        <w:tc>
          <w:tcPr>
            <w:tcW w:w="5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electrical components; (iv) electrician</w:t>
            </w:r>
          </w:p>
        </w:tc>
        <w:tc>
          <w:tcPr>
            <w:tcW w:w="5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payroll taxes; (v) share-based payment;</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 other direct expenses; (vii) sales tax recovery; and</w:t>
            </w:r>
          </w:p>
        </w:tc>
        <w:tc>
          <w:tcPr>
            <w:tcW w:w="5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16"/>
        </w:trPr>
        <w:tc>
          <w:tcPr>
            <w:tcW w:w="1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(viii) other non-recurring items that do not reflect the</w:t>
            </w:r>
          </w:p>
        </w:tc>
        <w:tc>
          <w:tcPr>
            <w:tcW w:w="56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r>
        <w:trPr>
          <w:trHeight w:val="234"/>
        </w:trPr>
        <w:tc>
          <w:tcPr>
            <w:tcW w:w="138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core performance of the Company.</w:t>
            </w:r>
          </w:p>
        </w:tc>
        <w:tc>
          <w:tcPr>
            <w:tcW w:w="5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3"/>
        </w:trPr>
        <w:tc>
          <w:tcPr>
            <w:tcW w:w="1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r>
      <w:tr>
        <w:trPr>
          <w:trHeight w:val="216"/>
        </w:trPr>
        <w:tc>
          <w:tcPr>
            <w:tcW w:w="138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5260" w:type="dxa"/>
            <w:vAlign w:val="bottom"/>
            <w:tcBorders>
              <w:top w:val="single" w:sz="8" w:color="auto"/>
              <w:right w:val="single" w:sz="8" w:color="auto"/>
            </w:tcBorders>
          </w:tcPr>
          <w:p>
            <w:pPr>
              <w:ind w:left="500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1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 w:type="dxa"/>
            <w:vAlign w:val="bottom"/>
          </w:tcPr>
          <w:p>
            <w:pPr>
              <w:spacing w:after="0"/>
              <w:rPr>
                <w:sz w:val="22"/>
                <w:szCs w:val="22"/>
                <w:color w:val="auto"/>
              </w:rPr>
            </w:pP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1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percentage obtained when dividing Gross Mining</w:t>
            </w:r>
          </w:p>
        </w:tc>
        <w:tc>
          <w:tcPr>
            <w:tcW w:w="5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c>
          <w:tcPr>
            <w:tcW w:w="20" w:type="dxa"/>
            <w:vAlign w:val="bottom"/>
          </w:tcPr>
          <w:p>
            <w:pPr>
              <w:spacing w:after="0"/>
              <w:rPr>
                <w:sz w:val="16"/>
                <w:szCs w:val="16"/>
                <w:color w:val="auto"/>
              </w:rPr>
            </w:pPr>
          </w:p>
        </w:tc>
      </w:tr>
      <w:tr>
        <w:trPr>
          <w:trHeight w:val="243"/>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profit by Mining related revenues.</w:t>
            </w: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largest variable expense in Mining.</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of the Company’s core digital asset Mining operations, exclusive of</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4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expenses.</w:t>
            </w:r>
          </w:p>
        </w:tc>
      </w:tr>
      <w:tr>
        <w:trPr>
          <w:trHeight w:val="191"/>
        </w:trPr>
        <w:tc>
          <w:tcPr>
            <w:tcW w:w="1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EBITDA margin</w:t>
            </w:r>
          </w:p>
        </w:tc>
        <w:tc>
          <w:tcPr>
            <w:tcW w:w="416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percentage obtained when dividing EBITDA by</w:t>
            </w:r>
          </w:p>
        </w:tc>
        <w:tc>
          <w:tcPr>
            <w:tcW w:w="56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profitability before the impact of different financing methods,</w:t>
            </w:r>
          </w:p>
        </w:tc>
        <w:tc>
          <w:tcPr>
            <w:tcW w:w="20" w:type="dxa"/>
            <w:vAlign w:val="bottom"/>
          </w:tcPr>
          <w:p>
            <w:pPr>
              <w:spacing w:after="0"/>
              <w:rPr>
                <w:sz w:val="16"/>
                <w:szCs w:val="16"/>
                <w:color w:val="auto"/>
              </w:rPr>
            </w:pPr>
          </w:p>
        </w:tc>
      </w:tr>
      <w:tr>
        <w:trPr>
          <w:trHeight w:val="216"/>
        </w:trPr>
        <w:tc>
          <w:tcPr>
            <w:tcW w:w="14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Revenues.</w:t>
            </w: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 performance</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forecasts.</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Useful for providing users of the MD&amp;A with additional information to</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assist them in understanding components of the Company’s financial</w:t>
            </w:r>
          </w:p>
        </w:tc>
      </w:tr>
      <w:tr>
        <w:trPr>
          <w:trHeight w:val="216"/>
        </w:trPr>
        <w:tc>
          <w:tcPr>
            <w:tcW w:w="14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including a more complete understanding of factors and trends</w:t>
            </w:r>
          </w:p>
        </w:tc>
      </w:tr>
      <w:tr>
        <w:trPr>
          <w:trHeight w:val="234"/>
        </w:trPr>
        <w:tc>
          <w:tcPr>
            <w:tcW w:w="14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affecting its performance.</w:t>
            </w:r>
          </w:p>
        </w:tc>
      </w:tr>
      <w:tr>
        <w:trPr>
          <w:trHeight w:val="191"/>
        </w:trPr>
        <w:tc>
          <w:tcPr>
            <w:tcW w:w="1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16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percentage  obtained  when  dividing  Adjusted</w:t>
            </w:r>
          </w:p>
        </w:tc>
        <w:tc>
          <w:tcPr>
            <w:tcW w:w="56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profitability before the impact of all of the items in calculating</w:t>
            </w:r>
          </w:p>
        </w:tc>
        <w:tc>
          <w:tcPr>
            <w:tcW w:w="20" w:type="dxa"/>
            <w:vAlign w:val="bottom"/>
          </w:tcPr>
          <w:p>
            <w:pPr>
              <w:spacing w:after="0"/>
              <w:rPr>
                <w:sz w:val="16"/>
                <w:szCs w:val="16"/>
                <w:color w:val="auto"/>
              </w:rPr>
            </w:pPr>
          </w:p>
        </w:tc>
      </w:tr>
      <w:tr>
        <w:trPr>
          <w:trHeight w:val="243"/>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 by Revenues.</w:t>
            </w:r>
          </w:p>
        </w:tc>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36"/>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160" w:type="dxa"/>
            <w:vAlign w:val="bottom"/>
          </w:tcPr>
          <w:p>
            <w:pPr>
              <w:spacing w:after="0"/>
              <w:rPr>
                <w:sz w:val="20"/>
                <w:szCs w:val="20"/>
                <w:color w:val="auto"/>
              </w:rPr>
            </w:pPr>
          </w:p>
        </w:tc>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a consistent comparable metric for profitability of the</w:t>
            </w:r>
          </w:p>
        </w:tc>
      </w:tr>
    </w:tbl>
    <w:p>
      <w:pPr>
        <w:ind w:left="596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p>
      <w:pPr>
        <w:spacing w:after="0" w:line="7" w:lineRule="exact"/>
        <w:rPr>
          <w:sz w:val="20"/>
          <w:szCs w:val="20"/>
          <w:color w:val="auto"/>
        </w:rPr>
      </w:pPr>
    </w:p>
    <w:p>
      <w:pPr>
        <w:ind w:left="5640"/>
        <w:spacing w:after="0"/>
        <w:tabs>
          <w:tab w:leader="none" w:pos="5940" w:val="left"/>
        </w:tabs>
        <w:rPr>
          <w:sz w:val="20"/>
          <w:szCs w:val="20"/>
          <w:color w:val="auto"/>
        </w:rPr>
      </w:pPr>
      <w:r>
        <w:rPr>
          <w:rFonts w:ascii="Times New Roman" w:cs="Times New Roman" w:eastAsia="Times New Roman" w:hAnsi="Times New Roman"/>
          <w:sz w:val="18"/>
          <w:szCs w:val="18"/>
          <w:color w:val="auto"/>
        </w:rPr>
        <w:t>●</w:t>
        <w:tab/>
        <w:t>Used by Management to facilitate comparisons of operating performance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  Page</w:t>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 Cost per</w:t>
            </w:r>
          </w:p>
        </w:tc>
        <w:tc>
          <w:tcPr>
            <w:tcW w:w="4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The amount obtained when dividing Direct Cost by the</w:t>
            </w:r>
          </w:p>
        </w:tc>
        <w:tc>
          <w:tcPr>
            <w:tcW w:w="5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BTC</w:t>
            </w: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quantity of BTC earned.</w:t>
            </w:r>
          </w:p>
        </w:tc>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3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The amount obtained when dividing Total Cash cost</w:t>
            </w:r>
          </w:p>
        </w:tc>
        <w:tc>
          <w:tcPr>
            <w:tcW w:w="5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 Mining</w:t>
            </w: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BTC</w:t>
            </w: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the quantity of BTC earned.</w:t>
            </w:r>
          </w:p>
        </w:tc>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3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18"/>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2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percentage obtained when dividing Gross profit</w:t>
            </w:r>
          </w:p>
        </w:tc>
        <w:tc>
          <w:tcPr>
            <w:tcW w:w="5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c>
          <w:tcPr>
            <w:tcW w:w="20" w:type="dxa"/>
            <w:vAlign w:val="bottom"/>
          </w:tcPr>
          <w:p>
            <w:pPr>
              <w:spacing w:after="0"/>
              <w:rPr>
                <w:sz w:val="18"/>
                <w:szCs w:val="18"/>
                <w:color w:val="auto"/>
              </w:rPr>
            </w:pPr>
          </w:p>
        </w:tc>
      </w:tr>
      <w:tr>
        <w:trPr>
          <w:trHeight w:val="234"/>
        </w:trPr>
        <w:tc>
          <w:tcPr>
            <w:tcW w:w="13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by Revenues.</w:t>
            </w:r>
          </w:p>
        </w:tc>
        <w:tc>
          <w:tcPr>
            <w:tcW w:w="5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percentage  obtained  when  dividing  Operating</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c>
          <w:tcPr>
            <w:tcW w:w="20" w:type="dxa"/>
            <w:vAlign w:val="bottom"/>
          </w:tcPr>
          <w:p>
            <w:pPr>
              <w:spacing w:after="0"/>
              <w:rPr>
                <w:sz w:val="18"/>
                <w:szCs w:val="18"/>
                <w:color w:val="auto"/>
              </w:rPr>
            </w:pPr>
          </w:p>
        </w:tc>
      </w:tr>
      <w:tr>
        <w:trPr>
          <w:trHeight w:val="238"/>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income (loss) by Revenues.</w:t>
            </w:r>
          </w:p>
        </w:tc>
        <w:tc>
          <w:tcPr>
            <w:tcW w:w="5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3"/>
        </w:trPr>
        <w:tc>
          <w:tcPr>
            <w:tcW w:w="1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r>
      <w:tr>
        <w:trPr>
          <w:trHeight w:val="216"/>
        </w:trPr>
        <w:tc>
          <w:tcPr>
            <w:tcW w:w="130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52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2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50,317</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16,531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(30,249)</w:t>
            </w:r>
          </w:p>
        </w:tc>
        <w:tc>
          <w:tcPr>
            <w:tcW w:w="16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(12,265)</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(17,984)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(305)</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(302)</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38,977</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(9,284)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(861)</w:t>
            </w: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26,410</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(27,271)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4,437</w:t>
            </w: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3,094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1,343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17,230</w:t>
            </w:r>
          </w:p>
        </w:tc>
        <w:tc>
          <w:tcPr>
            <w:tcW w:w="1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17,230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(5,618)</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(9,040)</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3,422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(391)</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(338)</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Refundable Hosting Deposits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(945)</w:t>
            </w: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not associated with ongoing operations</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1,671</w:t>
            </w:r>
          </w:p>
        </w:tc>
        <w:tc>
          <w:tcPr>
            <w:tcW w:w="1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5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 infrastructure and G&amp;A expenses</w:t>
            </w:r>
          </w:p>
        </w:tc>
        <w:tc>
          <w:tcPr>
            <w:tcW w:w="11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2,387</w:t>
            </w:r>
          </w:p>
        </w:tc>
        <w:tc>
          <w:tcPr>
            <w:tcW w:w="12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(2,387)</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118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 and other</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(437)</w:t>
            </w:r>
          </w:p>
        </w:tc>
        <w:tc>
          <w:tcPr>
            <w:tcW w:w="1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811</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15,086</w:t>
            </w: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23,324</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(8,238)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jc w:val="both"/>
        <w:ind w:left="200" w:hanging="192"/>
        <w:spacing w:after="0" w:line="210" w:lineRule="auto"/>
        <w:tabs>
          <w:tab w:leader="none" w:pos="20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26  Page</w:t>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200" w:type="dxa"/>
            <w:vAlign w:val="bottom"/>
            <w:tcBorders>
              <w:bottom w:val="single" w:sz="8" w:color="auto"/>
            </w:tcBorders>
          </w:tcPr>
          <w:p>
            <w:pPr>
              <w:spacing w:after="0"/>
              <w:rPr>
                <w:sz w:val="20"/>
                <w:szCs w:val="20"/>
                <w:color w:val="auto"/>
              </w:rPr>
            </w:pPr>
          </w:p>
        </w:tc>
      </w:tr>
      <w:tr>
        <w:trPr>
          <w:trHeight w:val="21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(542)</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(10,682)</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10,140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revenues¹</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(1,985)</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(894)</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38,977</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(9,284)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877</w:t>
            </w: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708</w:t>
            </w: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prior years - energy and infrastructure²</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1,203</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(1,203)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28,043</w:t>
            </w:r>
          </w:p>
        </w:tc>
        <w:tc>
          <w:tcPr>
            <w:tcW w:w="1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31,340</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(3,297)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4"/>
                <w:szCs w:val="24"/>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50,317</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16,531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1"/>
        </w:trPr>
        <w:tc>
          <w:tcPr>
            <w:tcW w:w="5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 purpose of calculating gross Mining</w:t>
            </w: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margin:</w:t>
            </w: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revenues³</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(64,863)</w:t>
            </w:r>
          </w:p>
        </w:tc>
        <w:tc>
          <w:tcPr>
            <w:tcW w:w="15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(49,423)</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(15,440)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1,985</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894</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1,091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16" w:lineRule="exact"/>
        <w:rPr>
          <w:sz w:val="20"/>
          <w:szCs w:val="20"/>
          <w:color w:val="auto"/>
        </w:rPr>
      </w:pPr>
    </w:p>
    <w:p>
      <w:pPr>
        <w:ind w:left="340" w:hanging="332"/>
        <w:spacing w:after="0" w:line="284"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29b - </w:t>
      </w:r>
      <w:r>
        <w:rPr>
          <w:rFonts w:ascii="Times New Roman" w:cs="Times New Roman" w:eastAsia="Times New Roman" w:hAnsi="Times New Roman"/>
          <w:sz w:val="18"/>
          <w:szCs w:val="18"/>
          <w:i w:val="1"/>
          <w:iCs w:val="1"/>
          <w:color w:val="auto"/>
        </w:rPr>
        <w:t>Additional 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Statement of Profit or Loss and Comprehensive Profit or Loss (Canadian sales tax refund) </w:t>
      </w:r>
      <w:r>
        <w:rPr>
          <w:rFonts w:ascii="Times New Roman" w:cs="Times New Roman" w:eastAsia="Times New Roman" w:hAnsi="Times New Roman"/>
          <w:sz w:val="18"/>
          <w:szCs w:val="18"/>
          <w:color w:val="auto"/>
        </w:rPr>
        <w:t>to the 2024 Annual Financial Statements.</w:t>
      </w:r>
    </w:p>
    <w:p>
      <w:pPr>
        <w:spacing w:after="0" w:line="1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27  Page</w:t>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67,390</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60,999</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6,391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(38,977)</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9,284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(708)</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(3,677)</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(1,974)</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7"/>
        </w:trPr>
        <w:tc>
          <w:tcPr>
            <w:tcW w:w="6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Sales tax recovery - prior years - energy and infrastructure </w:t>
            </w:r>
            <w:r>
              <w:rPr>
                <w:rFonts w:ascii="Times New Roman" w:cs="Times New Roman" w:eastAsia="Times New Roman" w:hAnsi="Times New Roman"/>
                <w:sz w:val="29"/>
                <w:szCs w:val="29"/>
                <w:color w:val="auto"/>
                <w:vertAlign w:val="superscript"/>
              </w:rPr>
              <w:t>(1)</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(2,028)</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33,143</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17,312</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15,831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693</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943</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47,800</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18,400</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29,400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Total Cash Cost and Total Cash Cost per BTC</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67,390</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60,999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6,391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20,173</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13,196</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6,977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5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87,563</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74,195</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13,368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(38,977)</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9,284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6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(785)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(708)</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(3,094)</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(1,343)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not associated with ongoing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(1,671)</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(1,671)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60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 infrastructure and G&amp;A expenses</w:t>
            </w:r>
          </w:p>
        </w:tc>
        <w:tc>
          <w:tcPr>
            <w:tcW w:w="11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(2,387)</w:t>
            </w:r>
          </w:p>
        </w:tc>
        <w:tc>
          <w:tcPr>
            <w:tcW w:w="130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2,387</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5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(2,744)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2,744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50,100</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26,285</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23,815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693</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943</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72,300</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27,900</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44,400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jc w:val="both"/>
        <w:ind w:left="200" w:hanging="192"/>
        <w:spacing w:after="0" w:line="210" w:lineRule="auto"/>
        <w:tabs>
          <w:tab w:leader="none" w:pos="20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ind w:left="200" w:hanging="192"/>
        <w:spacing w:after="0" w:line="198" w:lineRule="auto"/>
        <w:tabs>
          <w:tab w:leader="none" w:pos="20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Non-cash service expense, included in infrastructure, which was exchanged for computational power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28  Page</w:t>
      </w:r>
    </w:p>
    <w:p>
      <w:pPr>
        <w:sectPr>
          <w:pgSz w:w="11900" w:h="16838" w:orient="portrait"/>
          <w:cols w:equalWidth="0" w:num="1">
            <w:col w:w="11240"/>
          </w:cols>
          <w:pgMar w:left="320" w:top="2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may require additional funds to complete its 2025 and 2026 growth plans discussed in Section 6 -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Projects </w:t>
      </w:r>
      <w:r>
        <w:rPr>
          <w:rFonts w:ascii="Times New Roman" w:cs="Times New Roman" w:eastAsia="Times New Roman" w:hAnsi="Times New Roman"/>
          <w:sz w:val="18"/>
          <w:szCs w:val="18"/>
          <w:color w:val="auto"/>
        </w:rPr>
        <w:t>of this MD&amp;A.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Many of the foreign exchange restrictions implemented in 2019 are still in place, particularly for imports and dividend payments related to transactions before December 13, 2023.</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11, 2025, the International Monetary Fund approved a new $20.0 billion Extended Fund Facility program for Argentina with a term of 48 months. Concurrently, the Central Bank of Argentina (“BCRA”) announced a new floating exchange rate regime with a range of 1,000 and 1,400 Argentine Pesos per U.S. dollar, which will widen at a 1% monthly crawl. The official exchange rate was 1,078 Argentine Peso per U.S. dollar on the day of the announcement. The BCRA will intervene in the foreign exchange market when the exchange rate falls outside the range. Interventions will not be sterilized. The tight capital and exchange rate controls were also significantly relaxed, allowing individuals unrestricted access to the official exchange rate market and significantly liberalizing conditions for businesses and importers. To deal with the stock of dividends accrued before 2025, the BCRA will work on the issuance of BOPREAL bonds. Businesses, in turn, will be able to access the official market for their flow needs and the payment of dividends to foreign shareholders for fiscal year 2025 and onwards. The conditions and timing to access dollars were also considerably relaxed for importers. The ongoing implications for economic and monetary policy, and its impact on Bitfarms, cannot be ascertained as of the date of this MD&amp;A.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and operations based on supplier invoices that are paid by the Argentinian subsidiary. The Argentinian subsidiary provides Hashrate services for a market-based fee to its Canadian parent which, in turn, purchases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  Page</w:t>
      </w:r>
    </w:p>
    <w:p>
      <w:pPr>
        <w:sectPr>
          <w:pgSz w:w="11900" w:h="16838" w:orient="portrait"/>
          <w:cols w:equalWidth="0" w:num="1">
            <w:col w:w="11240"/>
          </w:cols>
          <w:pgMar w:left="320" w:top="2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tc>
        <w:tc>
          <w:tcPr>
            <w:tcW w:w="1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6"/>
        </w:trPr>
        <w:tc>
          <w:tcPr>
            <w:tcW w:w="4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r>
      <w:tr>
        <w:trPr>
          <w:trHeight w:val="237"/>
        </w:trPr>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37"/>
        </w:trPr>
        <w:tc>
          <w:tcPr>
            <w:tcW w:w="55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84,038</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(24,496)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1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(18,581)</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(31,289)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12,708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(25,654)</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(26,984)</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1,330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23,305</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40,136</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(16,831)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5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55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38,546</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65,961</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(27,415)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operating activities decreased by $12.7 million during Q1 2025 compared to Q1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cash flow used in operating activities is driven primarily by:</w:t>
      </w:r>
    </w:p>
    <w:p>
      <w:pPr>
        <w:spacing w:after="0" w:line="27"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working capital of $28.1 million as explained in Section 11 </w:t>
      </w:r>
      <w:r>
        <w:rPr>
          <w:rFonts w:ascii="Times New Roman" w:cs="Times New Roman" w:eastAsia="Times New Roman" w:hAnsi="Times New Roman"/>
          <w:sz w:val="18"/>
          <w:szCs w:val="18"/>
          <w:i w:val="1"/>
          <w:iCs w:val="1"/>
          <w:color w:val="auto"/>
        </w:rPr>
        <w:t>- Financial Position</w:t>
      </w:r>
      <w:r>
        <w:rPr>
          <w:rFonts w:ascii="Times New Roman" w:cs="Times New Roman" w:eastAsia="Times New Roman" w:hAnsi="Times New Roman"/>
          <w:sz w:val="18"/>
          <w:szCs w:val="18"/>
          <w:color w:val="auto"/>
        </w:rPr>
        <w:t xml:space="preserve"> of this MD&amp;A.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G&amp;A expenses, net of sales tax refund, of $5.6 million as explained in Section 7C - </w:t>
      </w:r>
      <w:r>
        <w:rPr>
          <w:rFonts w:ascii="Times New Roman" w:cs="Times New Roman" w:eastAsia="Times New Roman" w:hAnsi="Times New Roman"/>
          <w:sz w:val="18"/>
          <w:szCs w:val="18"/>
          <w:i w:val="1"/>
          <w:iCs w:val="1"/>
          <w:color w:val="auto"/>
        </w:rPr>
        <w:t>Financial Performance - General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expenses </w:t>
      </w:r>
      <w:r>
        <w:rPr>
          <w:rFonts w:ascii="Times New Roman" w:cs="Times New Roman" w:eastAsia="Times New Roman" w:hAnsi="Times New Roman"/>
          <w:sz w:val="18"/>
          <w:szCs w:val="18"/>
          <w:color w:val="auto"/>
        </w:rPr>
        <w:t>of this MD&amp;A; and</w:t>
      </w:r>
    </w:p>
    <w:p>
      <w:pPr>
        <w:ind w:left="660" w:hanging="328"/>
        <w:spacing w:after="0" w:line="260"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energy cost of $6.1 million and hosting expenses of $7.7 million , as explained in Section 7B - </w:t>
      </w:r>
      <w:r>
        <w:rPr>
          <w:rFonts w:ascii="Times New Roman" w:cs="Times New Roman" w:eastAsia="Times New Roman" w:hAnsi="Times New Roman"/>
          <w:sz w:val="18"/>
          <w:szCs w:val="18"/>
          <w:i w:val="1"/>
          <w:iCs w:val="1"/>
          <w:color w:val="auto"/>
        </w:rPr>
        <w:t>Financial Performance - 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of this MD&amp;A.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decreased by $1.3 million during Q1 2025 compared to Q1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cash flow used in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$32.0 million of proceeds received from the sale of the Yguazu Mining Site, as described in Note 6 - </w:t>
      </w:r>
      <w:r>
        <w:rPr>
          <w:rFonts w:ascii="Times New Roman" w:cs="Times New Roman" w:eastAsia="Times New Roman" w:hAnsi="Times New Roman"/>
          <w:sz w:val="18"/>
          <w:szCs w:val="18"/>
          <w:i w:val="1"/>
          <w:iCs w:val="1"/>
          <w:color w:val="auto"/>
        </w:rPr>
        <w:t>Sale of the Yguazu Mining Site</w:t>
      </w:r>
      <w:r>
        <w:rPr>
          <w:rFonts w:ascii="Times New Roman" w:cs="Times New Roman" w:eastAsia="Times New Roman" w:hAnsi="Times New Roman"/>
          <w:sz w:val="18"/>
          <w:szCs w:val="18"/>
          <w:color w:val="auto"/>
        </w:rPr>
        <w:t xml:space="preserve"> to the Financial Statements; and</w:t>
      </w: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in advance payments Q1 2025, compared to $74.0 million in advanced payments during Q1 2024, mainly for the fleet upgrade.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 million of net additions of PPE during Q1 2025, compared to $2.9 million for the same period in 2024, primarily due to the acquisition of Miners and infrastructure build-out;</w:t>
      </w:r>
    </w:p>
    <w:p>
      <w:pPr>
        <w:ind w:left="660" w:hanging="328"/>
        <w:spacing w:after="0" w:line="250"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 million of net payments from disposition of derivative assets and liabilities in Q1 2025, as described in Note 9 - </w:t>
      </w:r>
      <w:r>
        <w:rPr>
          <w:rFonts w:ascii="Times New Roman" w:cs="Times New Roman" w:eastAsia="Times New Roman" w:hAnsi="Times New Roman"/>
          <w:sz w:val="18"/>
          <w:szCs w:val="18"/>
          <w:i w:val="1"/>
          <w:iCs w:val="1"/>
          <w:color w:val="auto"/>
        </w:rPr>
        <w:t>Derivative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to the Financial Statements, compared to nil in Q1 2024;</w:t>
      </w:r>
    </w:p>
    <w:p>
      <w:pPr>
        <w:ind w:left="660" w:hanging="328"/>
        <w:spacing w:after="0" w:line="250"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proceeds from sale of digital assets earned of $12.3 million as a result of selling 428 BTC in Q1 2025 compared to 941 BTC in Q1 2024; and</w:t>
      </w:r>
    </w:p>
    <w:p>
      <w:pPr>
        <w:ind w:left="660" w:hanging="328"/>
        <w:spacing w:after="0" w:line="260"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Stronghold for $48.1 million in Q1 2025, as described in Note 5 -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to the Financial Statements, compared to nil in Q1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  Page</w:t>
      </w:r>
    </w:p>
    <w:p>
      <w:pPr>
        <w:sectPr>
          <w:pgSz w:w="11900" w:h="16838" w:orient="portrait"/>
          <w:cols w:equalWidth="0" w:num="1">
            <w:col w:w="11240"/>
          </w:cols>
          <w:pgMar w:left="320" w:top="2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decreased by $16.8 million from $40.1 million for Q1 2024 to $23.3 million for Q1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2025</w:t>
      </w:r>
    </w:p>
    <w:p>
      <w:pPr>
        <w:spacing w:after="0" w:line="29"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$23.6 million of net proceeds from its 2024 ATM Program as discussed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payments primarily relating to lease liabilities of approximately $0.3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w:t>
      </w:r>
    </w:p>
    <w:p>
      <w:pPr>
        <w:spacing w:after="0" w:line="29"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 million of net proceeds from its 2024 ATM Program as discussed below, partially offset by $0.9 million of capitalized professional fees and registration expenses to initiate the 2024 ATM Program;</w:t>
      </w:r>
    </w:p>
    <w:p>
      <w:pPr>
        <w:ind w:left="1300" w:hanging="320"/>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of net proceeds from the exercise of stock options and warrants;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the sale and leaseback of its Garlock (Quebec)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and one-time payments relating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$4.0 million to fully repay the NYDIG loan, which matured and expired in February 2024;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of approximately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  Page</w:t>
      </w:r>
    </w:p>
    <w:p>
      <w:pPr>
        <w:sectPr>
          <w:pgSz w:w="11900" w:h="16838" w:orient="portrait"/>
          <w:cols w:equalWidth="0" w:num="1">
            <w:col w:w="11240"/>
          </w:cols>
          <w:pgMar w:left="320" w:top="2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(“March Supplement”), to the Company’s short form base shelf prospectus dated November 10, 2023 (“Base Shelf”), and U.S. registration statement on Form F-10, which included a prospectus supplement related to the 2024 ATM Program. The Company may, at its discretion and from time-to-time, sell common shares of the Company in the 2024 ATM Program as for aggregate gross proceeds of up to $375.0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amended and restated prospectus supplements dated October 4, 2024, and December 17, 2024, providing disclosure regarding the Stronghold Transaction and the restatement of the Company’s 2023 annual consolidated financial statements and MD&amp;A for the year ended December 31, 2023 and interim consolidated financial statements and MD&amp;A for the nine months ended September 30, 2024, respectively, and amending and restating the March Supplement, to the Company’s existing $375.0 million Base Shelf, with both the Base Shelf and amended and restated prospectus supplement forming a part of the Company’s registration statement on Form F-10.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v. Q1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14,444,643 common shares through the 2024 ATM Program in exchange for gross proceeds of $24.4 million at an average share price of approximately $1.69. The Company received net proceeds of $23.6 million after paying commissions of $0.7 million to the sales agent.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16,997,285 common shares through the 2024 ATM Program in exchange for gross proceeds of $39.3 million at an average share price of approximately $2.31. The Company received net proceeds of $38.1 million after paying commissions of $1.2 million to the sales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  Page</w:t>
      </w:r>
    </w:p>
    <w:p>
      <w:pPr>
        <w:sectPr>
          <w:pgSz w:w="11900" w:h="16838" w:orient="portrait"/>
          <w:cols w:equalWidth="0" w:num="1">
            <w:col w:w="11240"/>
          </w:cols>
          <w:pgMar w:left="320" w:top="2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used and intends to continue to use the proceeds from the 2024 ATM Program prudently to support the growth and development of the Company’s Mining operations, as described in Section 6 -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Described below are the actual use of proceeds from the commencement of the 2024 ATM Program through March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Use of proceeds from</w:t>
            </w:r>
          </w:p>
        </w:tc>
      </w:tr>
      <w:tr>
        <w:trPr>
          <w:trHeight w:val="216"/>
        </w:trPr>
        <w:tc>
          <w:tcPr>
            <w:tcW w:w="6780" w:type="dxa"/>
            <w:vAlign w:val="bottom"/>
          </w:tcPr>
          <w:p>
            <w:pPr>
              <w:spacing w:after="0"/>
              <w:rPr>
                <w:sz w:val="18"/>
                <w:szCs w:val="18"/>
                <w:color w:val="auto"/>
              </w:rPr>
            </w:pP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11, 2024 to</w:t>
            </w:r>
          </w:p>
        </w:tc>
      </w:tr>
      <w:tr>
        <w:trPr>
          <w:trHeight w:val="238"/>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4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fleet upgrade</w:t>
            </w:r>
          </w:p>
        </w:tc>
        <w:tc>
          <w:tcPr>
            <w:tcW w:w="4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222,261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Paso Pe (Paraguay) expansion</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27,506</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(Canada) expansion</w:t>
            </w:r>
          </w:p>
        </w:tc>
        <w:tc>
          <w:tcPr>
            <w:tcW w:w="4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9,200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Yguazu (Paraguay) expansion</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31,506</w:t>
            </w:r>
          </w:p>
        </w:tc>
      </w:tr>
      <w:tr>
        <w:trPr>
          <w:trHeight w:val="243"/>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(United States) expansion</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23,607</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Used proceeds</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314,080</w:t>
            </w:r>
          </w:p>
        </w:tc>
      </w:tr>
      <w:tr>
        <w:trPr>
          <w:trHeight w:val="243"/>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to sales agents and other transaction costs</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10,211</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proceeds raised</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324,291</w:t>
            </w:r>
          </w:p>
        </w:tc>
      </w:tr>
      <w:tr>
        <w:trPr>
          <w:trHeight w:val="243"/>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proceeds</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375,000</w:t>
            </w:r>
          </w:p>
        </w:tc>
      </w:tr>
      <w:tr>
        <w:trPr>
          <w:trHeight w:val="243"/>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Remaining proceeds</w:t>
            </w:r>
          </w:p>
        </w:tc>
        <w:tc>
          <w:tcPr>
            <w:tcW w:w="4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50,709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v. Q1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5,000,000 warrants and 111,111 broker warrants related to the 2023 private placement were exercised, resulting in the issuance of 5,111,111 common shares for proceeds of approximately $6.0 million. During the three months ended March 31, 2025, no warrants were exercised.</w:t>
      </w:r>
    </w:p>
    <w:p>
      <w:pPr>
        <w:spacing w:after="0" w:line="182"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financial resources that will enable the Company to maximize the return to its shareholders while optimizing its cost of capital and ensuring the Company has sufficient liquidity to fund its operating and growth activities. In order to achieve this objective, the Company monitors its capital structure and makes adjustments as required in light of the Company’s funding requirements, changes in economic conditions, the cost of providing and availability of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  Page</w:t>
      </w:r>
    </w:p>
    <w:p>
      <w:pPr>
        <w:sectPr>
          <w:pgSz w:w="11900" w:h="16838" w:orient="portrait"/>
          <w:cols w:equalWidth="0" w:num="1">
            <w:col w:w="11240"/>
          </w:cols>
          <w:pgMar w:left="320" w:top="2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its 2025 and 2026 expansion plans and to complete construction of additional data centers,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to sell daily production, in addition to any sale of up to 1,000 BTC from treasury, should market conditions and the Company’s projected financing requirements justify such sales in Management’s discretion.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are the total BTC sold and proceeds in Q1 2025, which was used to fund operations and expansion plans: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6"/>
        </w:trPr>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4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Quantity of BTC sold</w:t>
            </w:r>
          </w:p>
        </w:tc>
        <w:tc>
          <w:tcPr>
            <w:tcW w:w="4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w:t>
            </w:r>
          </w:p>
        </w:tc>
      </w:tr>
      <w:tr>
        <w:trPr>
          <w:trHeight w:val="250"/>
        </w:trPr>
        <w:tc>
          <w:tcPr>
            <w:tcW w:w="6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proceeds</w:t>
            </w:r>
          </w:p>
        </w:tc>
        <w:tc>
          <w:tcPr>
            <w:tcW w:w="4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37,263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1,492 BTC as of March 31, 2025, of which 353 BTC are restricted, valued at approximately $123.2 million based on a BTC price of approximately $82,400,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  Page</w:t>
      </w:r>
    </w:p>
    <w:p>
      <w:pPr>
        <w:sectPr>
          <w:pgSz w:w="11900" w:h="16838" w:orient="portrait"/>
          <w:cols w:equalWidth="0" w:num="1">
            <w:col w:w="11240"/>
          </w:cols>
          <w:pgMar w:left="320" w:top="2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operators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13, 2025, the Company has 1,166 BTC, valued at $121.4 million on its balance sheet, based on a price of $104,100 per BTC. As of the date of this MD&amp;A, 65% of the Company’s BTC are held in custody with Coinbase Custody and Anchorage Digital with the remaining 35% held by third parties and classified as restricted digital assets in the statement of financial position.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$100.0 million for its cold storage and Anchorage Digital maintains an insurance policy of $100.0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May 8, 2025,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  Page</w:t>
      </w:r>
    </w:p>
    <w:p>
      <w:pPr>
        <w:sectPr>
          <w:pgSz w:w="11900" w:h="16838" w:orient="portrait"/>
          <w:cols w:equalWidth="0" w:num="1">
            <w:col w:w="11240"/>
          </w:cols>
          <w:pgMar w:left="320" w:top="2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One program for digital assets management</w:t>
      </w:r>
    </w:p>
    <w:p>
      <w:pPr>
        <w:spacing w:after="0" w:line="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February 2025, the Board approved the launch of the Bitcoin One initiative as the successor to the Company’s retired hedging program and Synthetic HODL</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program for digital assets management, which was deployed during February 2025. Bitcoin One is a quantitative investment multi-strategy program that employs a disciplined approach to accelerate BTC accumulation through diversification, strategic leverage, and market timing. The Board authorized the risk management committee to deploy up to (i) 100% of the Company’s BTC in treasury, plus (ii) three months of expected forward production calculated on a rolling basis, plus (iii) $10.0 million under Bitcoin One to be actively managed and participate in volatility-targeting strategies.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Bitcoin One focuses on active BTC treasury management through discretionary and rules-based trading algorithms and an active managed volatility targeting program that trades crypto volatility as an asset class and harvests the risk premium that arises from that volatility.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a net loss of $1.5 million from the Bitcoin One program, which consisted of an unrealized loss of $6.3 million on open positions, partially offset by realized gain of $4.8 million on closed positions.</w:t>
      </w:r>
    </w:p>
    <w:p>
      <w:pPr>
        <w:spacing w:after="0" w:line="158"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March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2029 and</w:t>
            </w: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49,727</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49,727</w:t>
            </w: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509</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332</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296</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307</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3,041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4,485</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3,218</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4,833</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4,640</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3,938</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16,121</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32,750</w:t>
            </w:r>
          </w:p>
        </w:tc>
        <w:tc>
          <w:tcPr>
            <w:tcW w:w="0" w:type="dxa"/>
            <w:vAlign w:val="bottom"/>
          </w:tcPr>
          <w:p>
            <w:pPr>
              <w:spacing w:after="0"/>
              <w:rPr>
                <w:sz w:val="1"/>
                <w:szCs w:val="1"/>
                <w:color w:val="auto"/>
              </w:rPr>
            </w:pPr>
          </w:p>
        </w:tc>
      </w:tr>
      <w:tr>
        <w:trPr>
          <w:trHeight w:val="244"/>
        </w:trPr>
        <w:tc>
          <w:tcPr>
            <w:tcW w:w="3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53,454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5,165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4,936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4,245</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19,162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  Page</w:t>
      </w:r>
    </w:p>
    <w:p>
      <w:pPr>
        <w:sectPr>
          <w:pgSz w:w="11900" w:h="16838" w:orient="portrait"/>
          <w:cols w:equalWidth="0" w:num="1">
            <w:col w:w="11240"/>
          </w:cols>
          <w:pgMar w:left="320" w:top="2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Lawsuits</w:t>
            </w:r>
          </w:p>
        </w:tc>
        <w:tc>
          <w:tcPr>
            <w:tcW w:w="3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4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March 31,  </w:t>
            </w:r>
            <w:r>
              <w:rPr>
                <w:rFonts w:ascii="Times New Roman" w:cs="Times New Roman" w:eastAsia="Times New Roman" w:hAnsi="Times New Roman"/>
                <w:sz w:val="18"/>
                <w:szCs w:val="18"/>
                <w:color w:val="auto"/>
              </w:rPr>
              <w:t>As of December 31,</w:t>
            </w:r>
          </w:p>
        </w:tc>
      </w:tr>
      <w:tr>
        <w:trPr>
          <w:trHeight w:val="236"/>
        </w:trPr>
        <w:tc>
          <w:tcPr>
            <w:tcW w:w="4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 Matters</w:t>
            </w:r>
          </w:p>
        </w:tc>
        <w:tc>
          <w:tcPr>
            <w:tcW w:w="3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w:t>
            </w:r>
          </w:p>
        </w:tc>
        <w:tc>
          <w:tcPr>
            <w:tcW w:w="20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Shareholder Securities Lawsuit</w:t>
            </w:r>
          </w:p>
        </w:tc>
        <w:tc>
          <w:tcPr>
            <w:tcW w:w="3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ii.</w:t>
            </w:r>
          </w:p>
        </w:tc>
        <w:tc>
          <w:tcPr>
            <w:tcW w:w="20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settlement accruals</w:t>
            </w:r>
          </w:p>
        </w:tc>
        <w:tc>
          <w:tcPr>
            <w:tcW w:w="306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2,881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60" w:type="dxa"/>
            <w:vAlign w:val="bottom"/>
          </w:tcPr>
          <w:p>
            <w:pPr>
              <w:spacing w:after="0"/>
              <w:rPr>
                <w:sz w:val="18"/>
                <w:szCs w:val="18"/>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discounting</w:t>
            </w:r>
          </w:p>
        </w:tc>
        <w:tc>
          <w:tcPr>
            <w:tcW w:w="30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(117)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30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1,773</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undiscounted legal settlement accruals amounted to $2.9 million as of March 31, 2025 and were recorded in accounts payable and accrued liabilities and other non-current liabilities in the consolidated statements of financial position of the Financial Statements (December 31, 2024: nil).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Federal Energy Regulatory Commission (“FERC”) Matters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May 11, 2022, the Division of Investigations of the FERC Office of Enforcement (“OE”) informed the Company that the OE was conducting a non-public preliminary investigation concerning Scrubgrass’ compliance with various aspects of the PJM tariff.</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30, 2025, the Federal Energy Regulatory Commission (the “Commission”) approved a Stipulation and Settlement Agreement between the OE and Scrubgrass (the “Settlement Agreement”). Pursuant to the Settlement Agreement, Scrubgrass agreed to: (a) disgorge to PJM $0.7 million in capacity revenues received during the relevant period; (b) pay a civil penalty of $0.7 million for a total, including (a), of $1.4 million to the United States Treasury; and (c) provide compliance training to relevant personnel and compliance monitoring reports. Scrubgrass is to pay the settlement amount over a period of three years. In the first year, Scrubgrass is to pay a lump sum of $0.4 million, which Scrubgrass paid in February of 2025. In the second and third years, Scrubgrass shall make 8 payments of $0.1 million on a calendar quarter basis. For a period of five years following the effective date of the Settlement Agreement, Scrubgrass is to provide annual compliance training focused primarily on the applicable tariff and related rules, regulations, and requirements applicable to operating generators, to all personnel whose job responsibilities relate to the generators’ participation in Commission jurisdictional markets. As of March 31, 2025, the settlement accrual was $1.1 million and represents the 8 installment payments.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Shareholder Securities Lawsuit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Stronghold, and certain of its former directors, officers and underwriters were named in a putative class action complaint filed in the United States District Court for the Southern District of New York (Winter v. Stronghold Digital Mining, Case No. 1:22-cv-3088).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  Page</w:t>
      </w:r>
    </w:p>
    <w:p>
      <w:pPr>
        <w:sectPr>
          <w:pgSz w:w="11900" w:h="16838" w:orient="portrait"/>
          <w:cols w:equalWidth="0" w:num="1">
            <w:col w:w="11240"/>
          </w:cols>
          <w:pgMar w:left="320" w:top="2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ii. Shareholder Securities Lawsuit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16, 2024, the District Court issued an Order granting Preliminary Approval of the Class Action Settlement, Approving Form and Manner of Notice, and Setting Date for Hearing on Final Approval of Settlement. The Company agreed to pay $4.8 million in cash and 25 BTC. On January 15, 2025, $2.5 million was covered by the Company’s insurance providers and Stronghold paid the remaining $2.3 million into escrow. One BTC will be paid monthly for two years. The cash value of each Bitcoin is expected to be calculated monthly according to a price set by the Nasdaq Bitcoin reference price index. As of March 31, 2025, the settlement accrual was $1.8 million and represents the value of the remaining 22 BTC to paid.</w:t>
      </w:r>
    </w:p>
    <w:p>
      <w:pPr>
        <w:spacing w:after="0" w:line="183"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  Page</w:t>
      </w:r>
    </w:p>
    <w:p>
      <w:pPr>
        <w:sectPr>
          <w:pgSz w:w="11900" w:h="16838" w:orient="portrait"/>
          <w:cols w:equalWidth="0" w:num="1">
            <w:col w:w="11240"/>
          </w:cols>
          <w:pgMar w:left="320" w:top="22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in relation to the March 2024 Purchase Order, the Company is committed to purchase 1,075 S21 Pro Miners yet to be delivered, for which BTC was pledged.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relation to the 2025 Miners Swap Order, the Company is committed to return 4,160 Bitmain T21 Miners and to purchase 3,660 Bitmain S21+ Miners. In consideration for the returned products, the Company will receive a $9.5 million credit refund that will be applied against the purchase price of $11.9 million. On March 13, 2025, the Company paid the net $2.4 million in BTC.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total remaining payment exposure obligations in connection with the Miner purchase orders were $27.3 million for 293 BTC Pledged that can be redeemed in installments. Of the potential obligation of $27.3 million, $20.1 million was recorded as redemption obligation in the consolidated statements of financial position as the Miners were shipped.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obligated to redeem all or any of the BTC installments. If the Company elects not to redeem one of the BTC Installments, the Company forfeits the right to redeem the remaining BTC Installments. In January 2025 and April 2025, the Company exercised the first and second BTC Installment relating to the March 2024 Purchase Order, respectively. Refer to Note 7 and Note 9 to the Financial Statements for more details.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37"/>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quantity of BTC)</w:t>
            </w:r>
          </w:p>
        </w:tc>
        <w:tc>
          <w:tcPr>
            <w:tcW w:w="27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800" w:type="dxa"/>
            <w:vAlign w:val="bottom"/>
          </w:tcPr>
          <w:p>
            <w:pPr>
              <w:spacing w:after="0"/>
              <w:rPr>
                <w:sz w:val="18"/>
                <w:szCs w:val="18"/>
                <w:color w:val="auto"/>
              </w:rPr>
            </w:pPr>
          </w:p>
        </w:tc>
        <w:tc>
          <w:tcPr>
            <w:tcW w:w="2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Quantity of restricted BTC</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Potential Obligation</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Purchase Order and March 2024 Purchase Order</w:t>
            </w:r>
          </w:p>
        </w:tc>
        <w:tc>
          <w:tcPr>
            <w:tcW w:w="2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BTC*</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(8,308)</w:t>
            </w:r>
          </w:p>
        </w:tc>
      </w:tr>
      <w:tr>
        <w:trPr>
          <w:trHeight w:val="243"/>
        </w:trPr>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Swap Order</w:t>
            </w:r>
          </w:p>
        </w:tc>
        <w:tc>
          <w:tcPr>
            <w:tcW w:w="2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2,374</w:t>
            </w:r>
          </w:p>
        </w:tc>
      </w:tr>
      <w:tr>
        <w:trPr>
          <w:trHeight w:val="243"/>
        </w:trPr>
        <w:tc>
          <w:tcPr>
            <w:tcW w:w="68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293</w:t>
            </w:r>
          </w:p>
        </w:tc>
        <w:tc>
          <w:tcPr>
            <w:tcW w:w="1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27,296</w:t>
            </w:r>
          </w:p>
        </w:tc>
      </w:tr>
      <w:tr>
        <w:trPr>
          <w:trHeight w:val="236"/>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The redemption of BTC in April 2025 for the second BTC installment is not included.</w:t>
            </w:r>
          </w:p>
        </w:tc>
        <w:tc>
          <w:tcPr>
            <w:tcW w:w="27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  Page</w:t>
      </w:r>
    </w:p>
    <w:p>
      <w:pPr>
        <w:sectPr>
          <w:pgSz w:w="11900" w:h="16838" w:orient="portrait"/>
          <w:cols w:equalWidth="0" w:num="1">
            <w:col w:w="11240"/>
          </w:cols>
          <w:pgMar w:left="320" w:top="2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36" w:lineRule="exact"/>
        <w:rPr>
          <w:sz w:val="20"/>
          <w:szCs w:val="20"/>
          <w:color w:val="auto"/>
        </w:rPr>
      </w:pPr>
    </w:p>
    <w:p>
      <w:pPr>
        <w:ind w:left="556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3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3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224,264</w:t>
            </w:r>
          </w:p>
        </w:tc>
        <w:tc>
          <w:tcPr>
            <w:tcW w:w="1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213,709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10,555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85,031</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36,270</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48,761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40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2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139,233</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177,439</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(38,206)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the BTC Halving event that occurred on April 19, 2024, the Company continues to place importance on maintaining sufficient liquidity to manage uncertainty and capitalize upon suitable opportunities the BTC Halving may present. The Company also anticipates requiring additional funds to complete its 2025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of March 31, 2025, Bitfarms had working capital of $139.2 million, compared to $177.4 million as of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working capital was mostly due to:</w:t>
      </w:r>
    </w:p>
    <w:p>
      <w:pPr>
        <w:spacing w:after="0" w:line="225" w:lineRule="exact"/>
        <w:rPr>
          <w:sz w:val="20"/>
          <w:szCs w:val="20"/>
          <w:color w:val="auto"/>
        </w:rPr>
      </w:pPr>
    </w:p>
    <w:p>
      <w:pPr>
        <w:ind w:left="340" w:right="20" w:hanging="332"/>
        <w:spacing w:after="0" w:line="261"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$32.0 million increase in trade payables and accrued liabilities mainly due to $20.8 million attributable to the acquisition of Stronghold as explained in Note 5 to the Financial Statements..</w:t>
      </w:r>
    </w:p>
    <w:p>
      <w:pPr>
        <w:ind w:left="340" w:hanging="332"/>
        <w:spacing w:after="0"/>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$21.0 million decrease in cash as explained by the cash flows. Refer to Section 10A - </w:t>
      </w:r>
      <w:r>
        <w:rPr>
          <w:rFonts w:ascii="Times New Roman" w:cs="Times New Roman" w:eastAsia="Times New Roman" w:hAnsi="Times New Roman"/>
          <w:sz w:val="18"/>
          <w:szCs w:val="18"/>
          <w:i w:val="1"/>
          <w:iCs w:val="1"/>
          <w:color w:val="auto"/>
        </w:rPr>
        <w:t>Liquidity and Capital Resources - Cash flows</w:t>
      </w:r>
      <w:r>
        <w:rPr>
          <w:rFonts w:ascii="Times New Roman" w:cs="Times New Roman" w:eastAsia="Times New Roman" w:hAnsi="Times New Roman"/>
          <w:sz w:val="18"/>
          <w:szCs w:val="18"/>
          <w:color w:val="auto"/>
        </w:rPr>
        <w:t xml:space="preserve"> of this MD&amp;A.</w:t>
      </w:r>
    </w:p>
    <w:p>
      <w:pPr>
        <w:spacing w:after="0" w:line="9" w:lineRule="exact"/>
        <w:rPr>
          <w:rFonts w:ascii="Times New Roman" w:cs="Times New Roman" w:eastAsia="Times New Roman" w:hAnsi="Times New Roman"/>
          <w:sz w:val="18"/>
          <w:szCs w:val="18"/>
          <w:color w:val="auto"/>
        </w:rPr>
      </w:pPr>
    </w:p>
    <w:p>
      <w:pPr>
        <w:jc w:val="both"/>
        <w:ind w:left="340" w:right="20" w:hanging="332"/>
        <w:spacing w:after="0" w:line="277" w:lineRule="auto"/>
        <w:tabs>
          <w:tab w:leader="none" w:pos="3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$20.1 million increase in redemption obligation, which represented the remaining BTC Redemption Options for which Miners have been shipped, reflecting the Company’s obligation to either redeem the BTC Pledged for cash or use the BTC Pledged for the purchase of the Miners. No redemption obligation was recorded as of December 31, 2024, as the Miners ordered, for which a deposit payment in BTC was made, had not yet been shipped.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partially offset by:</w:t>
      </w:r>
    </w:p>
    <w:p>
      <w:pPr>
        <w:spacing w:after="0" w:line="27"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$30.2 million increase in receivable from disposal of Yguazu Mining site as explained in Section 6b - </w:t>
      </w:r>
      <w:r>
        <w:rPr>
          <w:rFonts w:ascii="Times New Roman" w:cs="Times New Roman" w:eastAsia="Times New Roman" w:hAnsi="Times New Roman"/>
          <w:sz w:val="18"/>
          <w:szCs w:val="18"/>
          <w:i w:val="1"/>
          <w:iCs w:val="1"/>
          <w:color w:val="auto"/>
        </w:rPr>
        <w:t>Expansion Projects (Paraguay Expansion)</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$5.6 million decrease in warrant liabilities due to the subsequent decrease in fair value revaluation of the warrants from the 2023 private placements as a result of the decrease in the Company’s share price.</w:t>
      </w: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 million increase in inventories mainly attributable to the acquisition of Stronghold as explained in Note 5 to the Financial Statements.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increase in digital assets resulting from the increase of the Company’s balance by 207 BTC and partially offset by the decrease in the BTC price during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  Page</w:t>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tc>
        <w:tc>
          <w:tcPr>
            <w:tcW w:w="2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4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xml:space="preserve">As of March 31,  </w:t>
            </w:r>
            <w:r>
              <w:rPr>
                <w:rFonts w:ascii="Times New Roman" w:cs="Times New Roman" w:eastAsia="Times New Roman" w:hAnsi="Times New Roman"/>
                <w:sz w:val="18"/>
                <w:szCs w:val="18"/>
                <w:color w:val="auto"/>
              </w:rPr>
              <w:t>As of December 31,</w:t>
            </w:r>
          </w:p>
        </w:tc>
        <w:tc>
          <w:tcPr>
            <w:tcW w:w="1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37"/>
        </w:trPr>
        <w:tc>
          <w:tcPr>
            <w:tcW w:w="4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104,909</w:t>
            </w:r>
          </w:p>
        </w:tc>
        <w:tc>
          <w:tcPr>
            <w:tcW w:w="1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117,615</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(12,706)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26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291,591</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62,854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228,737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0"/>
        </w:trPr>
        <w:tc>
          <w:tcPr>
            <w:tcW w:w="2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396,500</w:t>
            </w:r>
          </w:p>
        </w:tc>
        <w:tc>
          <w:tcPr>
            <w:tcW w:w="1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180,469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216,031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Paraguay</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73,286</w:t>
            </w:r>
          </w:p>
        </w:tc>
        <w:tc>
          <w:tcPr>
            <w:tcW w:w="1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112,452</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(39,166)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6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2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37,404</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55,604</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(18,200)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260" w:type="dxa"/>
            <w:vAlign w:val="bottom"/>
            <w:tcBorders>
              <w:bottom w:val="single" w:sz="8" w:color="auto"/>
            </w:tcBorders>
            <w:shd w:val="clear" w:color="auto" w:fill="CCEEFF"/>
          </w:tcPr>
          <w:p>
            <w:pPr>
              <w:spacing w:after="0"/>
              <w:rPr>
                <w:sz w:val="20"/>
                <w:szCs w:val="20"/>
                <w:color w:val="auto"/>
              </w:rPr>
            </w:pPr>
          </w:p>
        </w:tc>
        <w:tc>
          <w:tcPr>
            <w:tcW w:w="440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110,690</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168,056</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(57,366)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4"/>
        </w:trPr>
        <w:tc>
          <w:tcPr>
            <w:tcW w:w="26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507,190</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348,525</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158,665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Bitfarms had PPE of $507.2 million, compared to $348.5 million as of December 31, 2024. The increase of $158.7 million, or 46%, was primarily due to:</w:t>
      </w:r>
    </w:p>
    <w:p>
      <w:pPr>
        <w:jc w:val="both"/>
        <w:ind w:left="660" w:hanging="328"/>
        <w:spacing w:after="0" w:line="255"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$228.7 million increase in United States PPE mainly due to the $158.3 million increase from the acquisition of Stronghold as explained in Note 5 to the Financial Statements as well as ongoing expansion investments in the United States. Refer to section 6b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Expansion)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$39.2 million decrease in Paraguay PPE primarily due to the sale of the Yguazu Mining Site. Refer to section 6b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(Paraguay Expansion)</w:t>
      </w:r>
      <w:r>
        <w:rPr>
          <w:rFonts w:ascii="Times New Roman" w:cs="Times New Roman" w:eastAsia="Times New Roman" w:hAnsi="Times New Roman"/>
          <w:sz w:val="18"/>
          <w:szCs w:val="18"/>
          <w:color w:val="auto"/>
        </w:rPr>
        <w:t>; and</w:t>
      </w:r>
    </w:p>
    <w:p>
      <w:pPr>
        <w:ind w:left="660" w:hanging="328"/>
        <w:spacing w:after="0" w:line="260"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$12.7 million and $18.2 million decreases in Canada and Argentina PPE, respectively, mainly due to regular depreciation, which exceeded Miners fleet upgrade and the $15.6 million impairment on Argentina PPE. Refer to Note 11 -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to the Financial Statements.</w:t>
      </w:r>
    </w:p>
    <w:p>
      <w:pPr>
        <w:spacing w:after="0" w:line="20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(“ROU”)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Bitfarms had ROU assets of $23.7 million, compared to $23.0 million as of December 31, 2024. The increase of $0.7 million, or 3%, was mainly due to additions from the acquisition of Stronghold. Refer to Note 5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19 to the Financial Statements and Note 23 to the 2024 Annual Financial Statements. Risks are related to foreign currency, credit, counterparty, liquidity, and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  Page</w:t>
      </w:r>
    </w:p>
    <w:p>
      <w:pPr>
        <w:sectPr>
          <w:pgSz w:w="11900" w:h="16838" w:orient="portrait"/>
          <w:cols w:equalWidth="0" w:num="1">
            <w:col w:w="11240"/>
          </w:cols>
          <w:pgMar w:left="320" w:top="2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24 to the 2024 Annual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comparative figures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the Company changed the presentation of the statements of cash flows and determined that the proceeds from sale of digital assets, which is accounted for as an intangible asset under IAS 38, should be classified as investing activities rather than operating activities. Accordingly, the Company has restated the statement of cash flows for three months ended March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interim consolidated statement of cash flows for the three months ended March 31, 2024</w:t>
      </w:r>
    </w:p>
    <w:p>
      <w:pPr>
        <w:spacing w:after="0" w:line="22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Cash flow</w:t>
            </w:r>
          </w:p>
        </w:tc>
        <w:tc>
          <w:tcPr>
            <w:tcW w:w="15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 (as restated)</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3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 (as reported)</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reclassification</w:t>
            </w: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3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49,570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6"/>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3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18,281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(31,289)</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3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49,570</w:t>
            </w:r>
          </w:p>
        </w:tc>
        <w:tc>
          <w:tcPr>
            <w:tcW w:w="0" w:type="dxa"/>
            <w:vAlign w:val="bottom"/>
          </w:tcPr>
          <w:p>
            <w:pPr>
              <w:spacing w:after="0"/>
              <w:rPr>
                <w:sz w:val="1"/>
                <w:szCs w:val="1"/>
                <w:color w:val="auto"/>
              </w:rPr>
            </w:pPr>
          </w:p>
        </w:tc>
      </w:tr>
      <w:tr>
        <w:trPr>
          <w:trHeight w:val="246"/>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3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(76,554)</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49,570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  Page</w:t>
      </w:r>
    </w:p>
    <w:p>
      <w:pPr>
        <w:sectPr>
          <w:pgSz w:w="11900" w:h="16838" w:orient="portrait"/>
          <w:cols w:equalWidth="0" w:num="1">
            <w:col w:w="11240"/>
          </w:cols>
          <w:pgMar w:left="320" w:top="2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58"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was reflected in the comparative period for the consolidated financial statements of the Company for the year ended December 31, 2023 filed on 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  Page</w:t>
      </w:r>
    </w:p>
    <w:p>
      <w:pPr>
        <w:sectPr>
          <w:pgSz w:w="11900" w:h="16838" w:orient="portrait"/>
          <w:cols w:equalWidth="0" w:num="1">
            <w:col w:w="11240"/>
          </w:cols>
          <w:pgMar w:left="320" w:top="22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quarterly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Identified material weakness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2024, Management also identified a material error in the statements of cash flows, resulting in a reclassification of sales of digital assets from cash flows from operations to cash flows from investing activities. These errors, which impacted the consolidated financial statements for the year ended December 31, 2023 and 2022, were corrected with the filing of Amendment No. 1 to the Annual Report on Form 40-F for fiscal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concluded that the control over accounting for complex transactions did not operate effectively in these instances, which constitutes a material weakness in ICFR as of December 31, 2024. Management concluded that the Company’s ICFR as of December 31, 2024 was not effective because of the material weakness.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transactions and review of financial statements. Management’s efforts to hire more CPAs and involving the Company’s legal counsel and third-party consultants to assist with complex transactions were in place at the end of 2024, and its remediation plan is expected to be completed after review and testing of controls during 2025.</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2024, dated March 26, 2025.</w:t>
      </w:r>
    </w:p>
    <w:p>
      <w:pPr>
        <w:spacing w:after="0" w:line="172"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January 1, 2025 and ended March 31, 2025.</w:t>
      </w:r>
    </w:p>
    <w:p>
      <w:pPr>
        <w:spacing w:after="0" w:line="158"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they are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the Company acquired Stronghold in the Stronghold Transaction. The Company is currently in the process of evaluating and integrating Stronghold’s controls over financial reporting, which may result in changes or additions to the Company’s internal control over financial reporting. Under guidelines established by the SEC and in accordance with National Instrument 52-109 Certification of Disclosure in Issuers’ Annual and Interim Filings, companies are permitted to exclude acquisitions from their assessment of internal control over financial reporting during the first year of an acquisition while integrating the acquired company. In the Company’s assessment of the scope of disclosure controls and procedures and internal control over financial reporting, the Company has excluded the controls, policies and procedures of Stronghold from the assessment of internal control over financial reporting at March 31, 2025. The Company will continue to evaluate the effectiveness of internal controls over financial reporting as the Company completes the integration of Stronghold.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March 15, 2025 (the first day following the acquisition) to March 31, 2025, Stronghold generated revenue of $1.1 million and net loss of $3.8 million. As of March 31, 2025, Stronghold’s current assets and current liabilities represented approximately 0.01% and 26.1% of the Company’s consolidated current assets and current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  Page</w:t>
      </w:r>
    </w:p>
    <w:p>
      <w:pPr>
        <w:sectPr>
          <w:pgSz w:w="11900" w:h="16838" w:orient="portrait"/>
          <w:cols w:equalWidth="0" w:num="1">
            <w:col w:w="11240"/>
          </w:cols>
          <w:pgMar w:left="320" w:top="22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2025, the Company signed a credit facility for up to $300.0 million (the ’‘Credit Facility’’) with Macquarie Equipment Capital, Inc. (’‘Macquarie’’). The initial draw for $50.0 million (’‘Initial Tranche’’) will be used for project development soft costs of the Panther Creek data center and other general corporate purposes. The remaining $250.0 million (’’Second Tranche’’) will be drawable as the Company achieves specific development milestones at the Panther Creek location and secured at the project level at which time the Initial Tranche will be rolled into the project facility. The facility expires two years from the closing date and incurs an annual interest rate of 8%.</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Initial Tranche, Macquarie received warrants for the purchase of $5.0 million in shares of the Company. Under the loan agreement, up to $125.0 million having been drawn under the Second Tranche for the Panther Creek development, Macquarie will receive additional warrants equal to 10% of the amount drawn under the Credit Facility.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Facility for the Initial Tranche includes various covenants for the Company and its subsidiaries including restrictions on dispositions, dividends, the incurrence of debt and liens, material changes in the nature of its business, related party transactions and investments.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financial and non-financial covenants. As of May 13, 2025, the Company was not in breach of any of its Credit Facility covenants.</w:t>
      </w:r>
    </w:p>
    <w:p>
      <w:pPr>
        <w:spacing w:after="0" w:line="158"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options of BTC</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April 30, 2025, the Company exercised its option to redeem the second installment of the BTC Pledged in relation to the purchase of Miners under the March 2024 purchase order. The Company redeemed 87 BTC for $8.3 million. See Note 7 to the Financial Statements for more details.</w:t>
      </w:r>
    </w:p>
    <w:p>
      <w:pPr>
        <w:spacing w:after="0" w:line="177"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Operations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30 2025, the Company was informed that its electricity supplier at Rio Cuarto, Argentina, Generación Mediterránea S.A. (“GMSA”), appointed local and international financial advisors to conduct a process with their creditors regarding the restructuring of all its financial debt, but confirmed that the Company would be able to continue consuming power at the Rio Cuarto site. GMSA is currently negotiating with its commercial suppliers. On May 12, 2025, the Company was informed by GMSA that, effective immediately, they were halting the supply of electricity to the Company’s Rio Cuarto, Argentina facility until further notice. At this stage, there is uncertainty around the potential resumption of the supply of electricity and the timing thereof. This event has necessitated a pause in the Company’s cryptocurrency Mining activities in Argentina and, unless resolved, may significantly impact the operations in that country. The Company is evaluating all of its options for its Argentina operations. The impact of this subsequent event is considered a non-adjusting subsequent event and not factored into the Company’s impairment analysis discussed in Note 11 to the Financial Statements.</w:t>
      </w:r>
    </w:p>
    <w:p>
      <w:pPr>
        <w:spacing w:after="0" w:line="190"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Action Lawsuit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9, 2025, a purported shareholder filed a putative class action complaint in the United States District Court for the Eastern District of New York, in a case titled Olympio v. Bitfarms Ltd., Benjamin Gagnon, Jeffrey Lucas, and Geoff Morphy, case no 1:25-cv-02630, alleging violations of Sections 10(b) and 20(a) of the Securities Exchange Act of 1934 and Rule 10b-5, promulgated thereunder. The lawsuit alleges that the Company, its current CEO, its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Company cannot predict the duration or outcome of this lawsuit at this time. As a result, the Company is unable to estimate the reasonably possible loss or range of reasonably possible loss arising from this lawsuit. The Company intends to vigorously defend itself in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  Page</w:t>
      </w:r>
    </w:p>
    <w:p>
      <w:pPr>
        <w:sectPr>
          <w:pgSz w:w="11900" w:h="16838" w:orient="portrait"/>
          <w:cols w:equalWidth="0" w:num="1">
            <w:col w:w="11240"/>
          </w:cols>
          <w:pgMar w:left="320" w:top="2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555,961,833 common shares outstanding, 20,928,723 vested and 8,389,670 unvested stock options, 23,735,132 warrants outstanding and 2,920,858 restricted stock units. There are no preferred shares or any other classes of shares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CEO.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operates a total of eight data centers with an aggregate power capacity of 170 MW located in the Province of Quebec, Canada. Refer to Section 7 - </w:t>
      </w:r>
      <w:r>
        <w:rPr>
          <w:rFonts w:ascii="Times New Roman" w:cs="Times New Roman" w:eastAsia="Times New Roman" w:hAnsi="Times New Roman"/>
          <w:sz w:val="18"/>
          <w:szCs w:val="18"/>
          <w:i w:val="1"/>
          <w:iCs w:val="1"/>
          <w:color w:val="auto"/>
        </w:rPr>
        <w:t>Expansion Projects - C. Canada Expansion</w:t>
      </w:r>
      <w:r>
        <w:rPr>
          <w:rFonts w:ascii="Times New Roman" w:cs="Times New Roman" w:eastAsia="Times New Roman" w:hAnsi="Times New Roman"/>
          <w:sz w:val="18"/>
          <w:szCs w:val="18"/>
          <w:color w:val="auto"/>
        </w:rPr>
        <w:t xml:space="preserve"> of this MD&amp;A.</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Quebec or Canada on the business of operating a data center or conducting the business of the Company as described herein, and as of the date of this MD&amp;A,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four data centers with an aggregate power capacity of 153 MW located in the State of Washington and in Pennsylvania, United States. Energy for two of the three data centers is derived from the Company’s power facilities and/or the grid. Refer to Section 7 - </w:t>
      </w:r>
      <w:r>
        <w:rPr>
          <w:rFonts w:ascii="Times New Roman" w:cs="Times New Roman" w:eastAsia="Times New Roman" w:hAnsi="Times New Roman"/>
          <w:sz w:val="18"/>
          <w:szCs w:val="18"/>
          <w:i w:val="1"/>
          <w:iCs w:val="1"/>
          <w:color w:val="auto"/>
        </w:rPr>
        <w:t>Expansion Projects -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United States Expansion </w:t>
      </w:r>
      <w:r>
        <w:rPr>
          <w:rFonts w:ascii="Times New Roman" w:cs="Times New Roman" w:eastAsia="Times New Roman" w:hAnsi="Times New Roman"/>
          <w:sz w:val="18"/>
          <w:szCs w:val="18"/>
          <w:color w:val="auto"/>
        </w:rPr>
        <w:t>of this MD&amp;A.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the State of Washington and in Pennsylvania on the business of operating a data center or conducting the business of the Company as described herein, and as of the date of this MD&amp;A, the Company has not received any material notices or statements from regulatory authorities in State of Washington or in Pennsylvania that would negatively impact its operations in these jurisdictions. The Company is not relying on any registrations, exemptions, or “no action” letters to conduct its business in Washington and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operates a total of two data centers with an aggregate power capacity of 80 MW located in the city of Villarrica, Paraguay. Refer to Section 6</w:t>
      </w:r>
    </w:p>
    <w:p>
      <w:pPr>
        <w:spacing w:after="0" w:line="21" w:lineRule="exact"/>
        <w:rPr>
          <w:sz w:val="20"/>
          <w:szCs w:val="20"/>
          <w:color w:val="auto"/>
        </w:rPr>
      </w:pPr>
    </w:p>
    <w:p>
      <w:pPr>
        <w:ind w:left="120" w:hanging="112"/>
        <w:spacing w:after="0"/>
        <w:tabs>
          <w:tab w:leader="none" w:pos="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 B. Paraguay Expansion </w:t>
      </w:r>
      <w:r>
        <w:rPr>
          <w:rFonts w:ascii="Times New Roman" w:cs="Times New Roman" w:eastAsia="Times New Roman" w:hAnsi="Times New Roman"/>
          <w:sz w:val="18"/>
          <w:szCs w:val="18"/>
          <w:color w:val="auto"/>
        </w:rPr>
        <w:t>of this MD&amp;A.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data center or conducting the business of the Company as described herein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  Page</w:t>
      </w:r>
    </w:p>
    <w:p>
      <w:pPr>
        <w:sectPr>
          <w:pgSz w:w="11900" w:h="16838" w:orient="portrait"/>
          <w:cols w:equalWidth="0" w:num="1">
            <w:col w:w="11240"/>
          </w:cols>
          <w:pgMar w:left="320" w:top="2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one 58 MW data center located in Cordoba, Argentina.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that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risks and uncertainties that Management considers as the most material to the Company’s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MD&amp;A for the year ended December 31, 2024, dated March 26, 2025 and Section 18 - </w:t>
      </w:r>
      <w:r>
        <w:rPr>
          <w:rFonts w:ascii="Times New Roman" w:cs="Times New Roman" w:eastAsia="Times New Roman" w:hAnsi="Times New Roman"/>
          <w:sz w:val="18"/>
          <w:szCs w:val="18"/>
          <w:i w:val="1"/>
          <w:iCs w:val="1"/>
          <w:color w:val="auto"/>
        </w:rPr>
        <w:t>Risk Factor</w:t>
      </w:r>
      <w:r>
        <w:rPr>
          <w:rFonts w:ascii="Times New Roman" w:cs="Times New Roman" w:eastAsia="Times New Roman" w:hAnsi="Times New Roman"/>
          <w:sz w:val="18"/>
          <w:szCs w:val="18"/>
          <w:color w:val="auto"/>
        </w:rPr>
        <w:t xml:space="preserve"> in the 2024 AIF. These risks and uncertainties have not materially changed during the three months ended March 31, 2025, other than the risks as described below, and are hereby incorporated by reference.</w:t>
      </w:r>
    </w:p>
    <w:p>
      <w:pPr>
        <w:spacing w:after="0" w:line="1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currently subject to securities class action litigation and may be subject to similar or other litigation in the future, which may divert management’s attention.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9, 2025, a purported shareholder filed a putative class action complaint in the United States District Court for the Eastern District of New York, in a case titled Olympio v. Bitfarms Ltd., Benjamin Gagnon, Jeffrey Lucas, and Geoff Morphy, case no 1:25-cv-02630, alleging violations of Sections 10(b) and 20(a) of the Securities Exchange Act of 1934 and Rule 10b-5, promulgated thereunder. The lawsuit alleges that the Company, its current Chief Executive Officer, its Chief Financial Officer and its former Chief Executive Officer made materially false and/or misleading statements regarding the Company’s business, operations and internal controls over financial reporting (refer to Section 16. Recent and Subsequent Events).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additional suits or proceedings brought in the future. Monitoring and defending against legal actions, whether or not meritorious, is time-consuming for the Company’s Management and detracts from the Company’s ability to fully focus its internal resources on its business activities, and the Company cannot predict how long it may take to resolve these matters. In addition, the Company may incur substantial legal fees and costs in connection with litigation. The Company is not currently able to estimate the possible cost to it from these lawsuits, and the Company cannot be certain how long it may take to resolve these lawsuits or the possible amount of any damages that the Company may be required to pay. The Company has not at this time established any reserves for any potential liability relating to these lawsuits. It is possible that the Company could, in the future, incur judgment or enter into settlement of claims for monetary damages. A decision adverse to the Company’s interests in this lawsuit could result in the payment of substantial damages and could have a material adverse effect on the Company’s business, results of operations and financial condition. In addition, the uncertainty of the currently pending lawsuit could lead to volatility in the price of the Company’s common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operations in Rio Cuarto have been suspended due to a halt in its supply of electrical power.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data center in Rio Cuarto, Argentina, receives electricity pursuant to a power contract with Generacion Mediterranea S.A (“GMSA”), a subsidiary of Grupo Albanesi. Grupo Albanesi is an Argentine private corporate group focused on the energy market, which provides natural gas and electrical energy to its clients from its multiple data centers.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on April 30, 2025, the Company was informed that GMSA appointed local and international financial advisors to conduct a process with their creditors regarding the restructuring of all its financial debt. GMSA is currently negotiating with its commercial suppliers. On May 12, 2025, the Company was informed by GMSA that it will be halting until further notice the supply of electricity to the Company’s Rio Cuarto, Argentina facility. At this stage, the Company does not have certainty of the timing for when normal supply of electricity will resume, or whether it will resume at all, and the Company is evaluating all of its options for the Argentina operations including, but not limited to, discontinuing operations at Rio Cuarto if normal operations cannot resume in the near term. If operations at Rio Cuarto remain suspended or are discontinued, the Company’s operational Hashrate may decrease, and its results of operations and financial condition, as well as the trading price of the Company’s common shares,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judgments, estimates and assumptions are summarized in Note 3 to the 2024 Annual Financial Statements and Note 4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2024 Annual Financial Statements and Note 3 to the Financial Statements for more information regarding the Company’s material accounting policy information and new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5" w:right="339" w:bottom="569" w:gutter="0" w:footer="0" w:header="0"/>
        </w:sectPr>
      </w:pPr>
    </w:p>
    <w:p>
      <w:pPr>
        <w:spacing w:after="0" w:line="200" w:lineRule="exact"/>
        <w:rPr>
          <w:sz w:val="20"/>
          <w:szCs w:val="20"/>
          <w:color w:val="auto"/>
        </w:rPr>
      </w:pPr>
    </w:p>
    <w:p>
      <w:pPr>
        <w:spacing w:after="0" w:line="205"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47  Page</w:t>
      </w:r>
    </w:p>
    <w:p>
      <w:pPr>
        <w:sectPr>
          <w:pgSz w:w="11900" w:h="16838" w:orient="portrait"/>
          <w:cols w:equalWidth="0" w:num="1">
            <w:col w:w="11240"/>
          </w:cols>
          <w:pgMar w:left="320" w:top="225" w:right="339" w:bottom="569"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the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customers for the Company’s hosting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experience of Company’s management in AI/HPC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  Page</w:t>
      </w:r>
    </w:p>
    <w:p>
      <w:pPr>
        <w:sectPr>
          <w:pgSz w:w="11900" w:h="16838" w:orient="portrait"/>
          <w:cols w:equalWidth="0" w:num="1">
            <w:col w:w="11240"/>
          </w:cols>
          <w:pgMar w:left="320" w:top="22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80" w:hanging="272"/>
        <w:spacing w:after="0"/>
        <w:tabs>
          <w:tab w:leader="none" w:pos="2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unsolicited take-over bids;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success and profitability of the Company’s carbon capture program and related environmental tax credits; or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  Page</w:t>
      </w:r>
    </w:p>
    <w:p>
      <w:pPr>
        <w:sectPr>
          <w:pgSz w:w="11900" w:h="16838" w:orient="portrait"/>
          <w:cols w:equalWidth="0" w:num="1">
            <w:col w:w="11240"/>
          </w:cols>
          <w:pgMar w:left="320" w:top="22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MD&amp;A makes reference to certain measures that are not recognized under IFRS Accounting Standards and do not have a standardized meaning prescribed by IFRS Accounting Standards.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MD&amp;A for more details.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  Page</w:t>
      </w:r>
    </w:p>
    <w:p>
      <w:pPr>
        <w:sectPr>
          <w:pgSz w:w="11900" w:h="16838" w:orient="portrait"/>
          <w:cols w:equalWidth="0" w:num="1">
            <w:col w:w="11240"/>
          </w:cols>
          <w:pgMar w:left="320" w:top="22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Artificial Intelligence (AI)</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branch  of  technology  enabling  computers  and  machines  to  replicate  human-like  abilities,  including  learning,</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understanding, problem-solving, decision-making, creativity, and autonomous action.</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ASIC</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SHA-256 algorithm.</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 (BTC)</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2180" w:type="dxa"/>
            <w:vAlign w:val="bottom"/>
          </w:tcPr>
          <w:p>
            <w:pPr>
              <w:spacing w:after="0"/>
              <w:rPr>
                <w:sz w:val="18"/>
                <w:szCs w:val="18"/>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r>
      <w:tr>
        <w:trPr>
          <w:trHeight w:val="216"/>
        </w:trPr>
        <w:tc>
          <w:tcPr>
            <w:tcW w:w="2180" w:type="dxa"/>
            <w:vAlign w:val="bottom"/>
          </w:tcPr>
          <w:p>
            <w:pPr>
              <w:spacing w:after="0"/>
              <w:rPr>
                <w:sz w:val="18"/>
                <w:szCs w:val="18"/>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 One</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Bitcoin One is a quantitative investment multi-strategy program that employs a disciplined approach to accelerate BTC</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accumulation through diversification, strategic leverage, and market timing.</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Block Reward</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Miners for each block they successfully mine. The current block reward is 3.125 BTC per block.</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Blockchain</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w:t>
            </w:r>
          </w:p>
        </w:tc>
      </w:tr>
      <w:tr>
        <w:trPr>
          <w:trHeight w:val="216"/>
        </w:trPr>
        <w:tc>
          <w:tcPr>
            <w:tcW w:w="2180" w:type="dxa"/>
            <w:vAlign w:val="bottom"/>
          </w:tcPr>
          <w:p>
            <w:pPr>
              <w:spacing w:after="0"/>
              <w:rPr>
                <w:sz w:val="18"/>
                <w:szCs w:val="18"/>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Blockchain grows as new sets of data, or ‘blocks’, are added to it through Mining. Each block contains a timestamp and a</w:t>
            </w:r>
          </w:p>
        </w:tc>
      </w:tr>
      <w:tr>
        <w:trPr>
          <w:trHeight w:val="216"/>
        </w:trPr>
        <w:tc>
          <w:tcPr>
            <w:tcW w:w="2180" w:type="dxa"/>
            <w:vAlign w:val="bottom"/>
          </w:tcPr>
          <w:p>
            <w:pPr>
              <w:spacing w:after="0"/>
              <w:rPr>
                <w:sz w:val="18"/>
                <w:szCs w:val="18"/>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link to the previous block, such that the series of blocks form a continuous chain.  Given that each block has a separate</w:t>
            </w:r>
          </w:p>
        </w:tc>
      </w:tr>
      <w:tr>
        <w:trPr>
          <w:trHeight w:val="216"/>
        </w:trPr>
        <w:tc>
          <w:tcPr>
            <w:tcW w:w="2180" w:type="dxa"/>
            <w:vAlign w:val="bottom"/>
          </w:tcPr>
          <w:p>
            <w:pPr>
              <w:spacing w:after="0"/>
              <w:rPr>
                <w:sz w:val="18"/>
                <w:szCs w:val="18"/>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hash and each hash requires information from the previous block, altering information an established block would require</w:t>
            </w:r>
          </w:p>
        </w:tc>
      </w:tr>
      <w:tr>
        <w:trPr>
          <w:trHeight w:val="216"/>
        </w:trPr>
        <w:tc>
          <w:tcPr>
            <w:tcW w:w="2180" w:type="dxa"/>
            <w:vAlign w:val="bottom"/>
          </w:tcPr>
          <w:p>
            <w:pPr>
              <w:spacing w:after="0"/>
              <w:rPr>
                <w:sz w:val="18"/>
                <w:szCs w:val="18"/>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recalculating all the hashes on the Blockchain which would require an enormous and impracticable amount of computing</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power. As a result, once a block is added to the Blockchain it is very difficult to edit and impossible to delete.</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Gigawatt or GW</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gigawatt is 1,000 megawatts of electricity and, in the industry of cryptocurrency Mining, can be a reference to the</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number of gigawatts of electricity per hour that is available for use.</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2180" w:type="dxa"/>
            <w:vAlign w:val="bottom"/>
          </w:tcPr>
          <w:p>
            <w:pPr>
              <w:spacing w:after="0"/>
              <w:rPr>
                <w:sz w:val="18"/>
                <w:szCs w:val="18"/>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Bitcoin transactions is the SHA-256 algorithm.</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Hashrate Under</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Hashrate from the Miners the Company owns and from Miners hosted and managed by the Company.</w:t>
            </w:r>
          </w:p>
        </w:tc>
      </w:t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8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 Performance</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Advanced computing capability that allows for rapid data processing and complex calculations at exceptionally high</w:t>
            </w:r>
          </w:p>
        </w:tc>
      </w:t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Computing (HPC)</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speeds, essential for handling large datasets and complex computational tasks.</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service in which a company provides infrastructure, power, and cooling solutions to house and operate cryptocurrency</w:t>
            </w:r>
          </w:p>
        </w:tc>
      </w:tr>
      <w:tr>
        <w:trPr>
          <w:trHeight w:val="234"/>
        </w:trPr>
        <w:tc>
          <w:tcPr>
            <w:tcW w:w="2180" w:type="dxa"/>
            <w:vAlign w:val="bottom"/>
          </w:tcPr>
          <w:p>
            <w:pPr>
              <w:spacing w:after="0"/>
              <w:rPr>
                <w:sz w:val="20"/>
                <w:szCs w:val="20"/>
                <w:color w:val="auto"/>
              </w:rPr>
            </w:pPr>
          </w:p>
        </w:tc>
        <w:tc>
          <w:tcPr>
            <w:tcW w:w="9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mining equipment owned by clients.</w:t>
            </w:r>
          </w:p>
        </w:tc>
      </w:tr>
      <w:tr>
        <w:trPr>
          <w:trHeight w:val="27"/>
        </w:trPr>
        <w:tc>
          <w:tcPr>
            <w:tcW w:w="21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60"/>
        </w:trPr>
        <w:tc>
          <w:tcPr>
            <w:tcW w:w="21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r>
      <w:tr>
        <w:trPr>
          <w:trHeight w:val="216"/>
        </w:trPr>
        <w:tc>
          <w:tcPr>
            <w:tcW w:w="2180" w:type="dxa"/>
            <w:vAlign w:val="bottom"/>
            <w:tcBorders>
              <w:top w:val="single" w:sz="8" w:color="auto"/>
            </w:tcBorders>
          </w:tcPr>
          <w:p>
            <w:pPr>
              <w:spacing w:after="0"/>
              <w:rPr>
                <w:sz w:val="18"/>
                <w:szCs w:val="18"/>
                <w:color w:val="auto"/>
              </w:rPr>
            </w:pPr>
          </w:p>
        </w:tc>
        <w:tc>
          <w:tcPr>
            <w:tcW w:w="8660" w:type="dxa"/>
            <w:vAlign w:val="bottom"/>
            <w:tcBorders>
              <w:top w:val="single" w:sz="8" w:color="auto"/>
              <w:right w:val="single" w:sz="8" w:color="auto"/>
            </w:tcBorders>
          </w:tcPr>
          <w:p>
            <w:pPr>
              <w:ind w:left="8400"/>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22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Megawatt or MW</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1900" w:type="dxa"/>
            <w:vAlign w:val="bottom"/>
          </w:tcPr>
          <w:p>
            <w:pPr>
              <w:spacing w:after="0"/>
              <w:rPr>
                <w:sz w:val="20"/>
                <w:szCs w:val="20"/>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ASICs used by the Company and third parties to perform Mining.</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90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90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1900" w:type="dxa"/>
            <w:vAlign w:val="bottom"/>
          </w:tcPr>
          <w:p>
            <w:pPr>
              <w:spacing w:after="0"/>
              <w:rPr>
                <w:sz w:val="20"/>
                <w:szCs w:val="20"/>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Rewards.</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Pool</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w:t>
            </w:r>
          </w:p>
        </w:tc>
      </w:tr>
      <w:tr>
        <w:trPr>
          <w:trHeight w:val="216"/>
        </w:trPr>
        <w:tc>
          <w:tcPr>
            <w:tcW w:w="190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increase the probability of finding a block on the BTC Blockchain. Mining Pools administer regular payouts to mitigate the</w:t>
            </w:r>
          </w:p>
        </w:tc>
      </w:tr>
      <w:tr>
        <w:trPr>
          <w:trHeight w:val="234"/>
        </w:trPr>
        <w:tc>
          <w:tcPr>
            <w:tcW w:w="1900" w:type="dxa"/>
            <w:vAlign w:val="bottom"/>
          </w:tcPr>
          <w:p>
            <w:pPr>
              <w:spacing w:after="0"/>
              <w:rPr>
                <w:sz w:val="20"/>
                <w:szCs w:val="20"/>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risk of Miners operating for a prolonged period of time without finding a block.</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w:t>
            </w:r>
          </w:p>
        </w:tc>
      </w:tr>
      <w:tr>
        <w:trPr>
          <w:trHeight w:val="216"/>
        </w:trPr>
        <w:tc>
          <w:tcPr>
            <w:tcW w:w="190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protocol automatically adjusts Network Difficulty by changing the target every 2,016 blocks hashed based on the time it</w:t>
            </w:r>
          </w:p>
        </w:tc>
      </w:tr>
      <w:tr>
        <w:trPr>
          <w:trHeight w:val="216"/>
        </w:trPr>
        <w:tc>
          <w:tcPr>
            <w:tcW w:w="1900" w:type="dxa"/>
            <w:vAlign w:val="bottom"/>
          </w:tcPr>
          <w:p>
            <w:pPr>
              <w:spacing w:after="0"/>
              <w:rPr>
                <w:sz w:val="18"/>
                <w:szCs w:val="18"/>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took for the total computing power used in Bitcoin Mining to solve the previous 2,016 blocks such that the average time to</w:t>
            </w:r>
          </w:p>
        </w:tc>
      </w:tr>
      <w:tr>
        <w:trPr>
          <w:trHeight w:val="234"/>
        </w:trPr>
        <w:tc>
          <w:tcPr>
            <w:tcW w:w="1900" w:type="dxa"/>
            <w:vAlign w:val="bottom"/>
          </w:tcPr>
          <w:p>
            <w:pPr>
              <w:spacing w:after="0"/>
              <w:rPr>
                <w:sz w:val="20"/>
                <w:szCs w:val="20"/>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solve each block is ten minutes.</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w:t>
            </w:r>
          </w:p>
        </w:tc>
      </w:tr>
      <w:tr>
        <w:trPr>
          <w:trHeight w:val="234"/>
        </w:trPr>
        <w:tc>
          <w:tcPr>
            <w:tcW w:w="1900" w:type="dxa"/>
            <w:vAlign w:val="bottom"/>
          </w:tcPr>
          <w:p>
            <w:pPr>
              <w:spacing w:after="0"/>
              <w:rPr>
                <w:sz w:val="20"/>
                <w:szCs w:val="20"/>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SHA-256</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1900" w:type="dxa"/>
            <w:vAlign w:val="bottom"/>
          </w:tcPr>
          <w:p>
            <w:pPr>
              <w:spacing w:after="0"/>
              <w:rPr>
                <w:sz w:val="20"/>
                <w:szCs w:val="20"/>
                <w:color w:val="auto"/>
              </w:rPr>
            </w:pP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9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r>
      <w:tr>
        <w:trPr>
          <w:trHeight w:val="27"/>
        </w:trPr>
        <w:tc>
          <w:tcPr>
            <w:tcW w:w="19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3"/>
        </w:trPr>
        <w:tc>
          <w:tcPr>
            <w:tcW w:w="19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r>
      <w:tr>
        <w:trPr>
          <w:trHeight w:val="216"/>
        </w:trPr>
        <w:tc>
          <w:tcPr>
            <w:tcW w:w="1900" w:type="dxa"/>
            <w:vAlign w:val="bottom"/>
            <w:tcBorders>
              <w:top w:val="single" w:sz="8" w:color="auto"/>
            </w:tcBorders>
          </w:tcPr>
          <w:p>
            <w:pPr>
              <w:spacing w:after="0"/>
              <w:rPr>
                <w:sz w:val="18"/>
                <w:szCs w:val="18"/>
                <w:color w:val="auto"/>
              </w:rPr>
            </w:pPr>
          </w:p>
        </w:tc>
        <w:tc>
          <w:tcPr>
            <w:tcW w:w="8940" w:type="dxa"/>
            <w:vAlign w:val="bottom"/>
            <w:tcBorders>
              <w:top w:val="single" w:sz="8" w:color="auto"/>
              <w:right w:val="single" w:sz="8" w:color="auto"/>
            </w:tcBorders>
          </w:tcPr>
          <w:p>
            <w:pPr>
              <w:ind w:left="8680"/>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22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 Gagnon,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March 31,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January 1, 2025 and ended on March 31, 2025 that has materially affected, or is reasonably likely to materially affect, the issuer’s ICFR.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March 31,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January 1, 2025 and ended on March 31, 2025 that has materially affected, or is reasonably likely to materially affect, the issuer’s ICFR.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lowerLetter"/>
      <w:start w:val="1"/>
    </w:lvl>
  </w:abstractNum>
  <w:abstractNum w:abstractNumId="1">
    <w:nsid w:val="354FE9F9"/>
    <w:multiLevelType w:val="hybridMultilevel"/>
    <w:lvl w:ilvl="0">
      <w:lvlJc w:val="left"/>
      <w:lvlText w:val="%1."/>
      <w:numFmt w:val="lowerLetter"/>
      <w:start w:val="2"/>
    </w:lvl>
  </w:abstractNum>
  <w:abstractNum w:abstractNumId="2">
    <w:nsid w:val="15B5AF5C"/>
    <w:multiLevelType w:val="hybridMultilevel"/>
    <w:lvl w:ilvl="0">
      <w:lvlJc w:val="left"/>
      <w:lvlText w:val="%1."/>
      <w:numFmt w:val="lowerLetter"/>
      <w:start w:val="2"/>
    </w:lvl>
  </w:abstractNum>
  <w:abstractNum w:abstractNumId="3">
    <w:nsid w:val="741226BB"/>
    <w:multiLevelType w:val="hybridMultilevel"/>
    <w:lvl w:ilvl="0">
      <w:lvlJc w:val="left"/>
      <w:lvlText w:val="%1."/>
      <w:numFmt w:val="lowerLetter"/>
      <w:start w:val="2"/>
    </w:lvl>
  </w:abstractNum>
  <w:abstractNum w:abstractNumId="4">
    <w:nsid w:val="D34B6A8"/>
    <w:multiLevelType w:val="hybridMultilevel"/>
    <w:lvl w:ilvl="0">
      <w:lvlJc w:val="left"/>
      <w:lvlText w:val="%1."/>
      <w:numFmt w:val="lowerLetter"/>
      <w:start w:val="3"/>
    </w:lvl>
  </w:abstractNum>
  <w:abstractNum w:abstractNumId="5">
    <w:nsid w:val="10233C99"/>
    <w:multiLevelType w:val="hybridMultilevel"/>
    <w:lvl w:ilvl="0">
      <w:lvlJc w:val="left"/>
      <w:lvlText w:val="%1."/>
      <w:numFmt w:val="lowerLetter"/>
      <w:start w:val="4"/>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1."/>
      <w:numFmt w:val="lowerLetter"/>
      <w:start w:val="5"/>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lowerRoman"/>
    </w:lvl>
    <w:lvl w:ilvl="1">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1."/>
      <w:numFmt w:val="lowerRoman"/>
    </w:lvl>
    <w:lvl w:ilvl="1">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1."/>
      <w:numFmt w:val="lowerRoman"/>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1."/>
      <w:numFmt w:val="lowerRoman"/>
      <w:start w:val="1"/>
    </w:lvl>
  </w:abstractNum>
  <w:abstractNum w:abstractNumId="21">
    <w:nsid w:val="6590700B"/>
    <w:multiLevelType w:val="hybridMultilevel"/>
    <w:lvl w:ilvl="0">
      <w:lvlJc w:val="left"/>
      <w:lvlText w:val="%1."/>
      <w:numFmt w:val="lowerLetter"/>
      <w:start w:val="1"/>
    </w:lvl>
  </w:abstractNum>
  <w:abstractNum w:abstractNumId="22">
    <w:nsid w:val="15014ACB"/>
    <w:multiLevelType w:val="hybridMultilevel"/>
    <w:lvl w:ilvl="0">
      <w:lvlJc w:val="left"/>
      <w:lvlText w:val="%1."/>
      <w:numFmt w:val="lowerLetter"/>
      <w:start w:val="1"/>
    </w:lvl>
  </w:abstractNum>
  <w:abstractNum w:abstractNumId="23">
    <w:nsid w:val="5F5E7FD0"/>
    <w:multiLevelType w:val="hybridMultilevel"/>
    <w:lvl w:ilvl="0">
      <w:lvlJc w:val="left"/>
      <w:lvlText w:val="%1."/>
      <w:numFmt w:val="lowerRoman"/>
      <w:start w:val="1"/>
    </w:lvl>
  </w:abstractNum>
  <w:abstractNum w:abstractNumId="24">
    <w:nsid w:val="98A3148"/>
    <w:multiLevelType w:val="hybridMultilevel"/>
    <w:lvl w:ilvl="0">
      <w:lvlJc w:val="left"/>
      <w:lvlText w:val="%1."/>
      <w:numFmt w:val="lowerLetter"/>
      <w:start w:val="1"/>
    </w:lvl>
  </w:abstractNum>
  <w:abstractNum w:abstractNumId="25">
    <w:nsid w:val="799D0247"/>
    <w:multiLevelType w:val="hybridMultilevel"/>
    <w:lvl w:ilvl="0">
      <w:lvlJc w:val="left"/>
      <w:lvlText w:val="%1."/>
      <w:numFmt w:val="lowerRoman"/>
      <w:start w:val="1"/>
    </w:lvl>
  </w:abstractNum>
  <w:abstractNum w:abstractNumId="26">
    <w:nsid w:val="6B94764"/>
    <w:multiLevelType w:val="hybridMultilevel"/>
    <w:lvl w:ilvl="0">
      <w:lvlJc w:val="left"/>
      <w:lvlText w:val="%1."/>
      <w:numFmt w:val="lowerLetter"/>
      <w:start w:val="1"/>
    </w:lvl>
  </w:abstractNum>
  <w:abstractNum w:abstractNumId="27">
    <w:nsid w:val="42C296BD"/>
    <w:multiLevelType w:val="hybridMultilevel"/>
    <w:lvl w:ilvl="0">
      <w:lvlJc w:val="left"/>
      <w:lvlText w:val="%1."/>
      <w:numFmt w:val="lowerLetter"/>
      <w:start w:val="2"/>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1"/>
      <w:numFmt w:val="bullet"/>
      <w:start w:val="1"/>
    </w:lvl>
  </w:abstractNum>
  <w:abstractNum w:abstractNumId="30">
    <w:nsid w:val="661E3F1E"/>
    <w:multiLevelType w:val="hybridMultilevel"/>
    <w:lvl w:ilvl="0">
      <w:lvlJc w:val="left"/>
      <w:lvlText w:val="2"/>
      <w:numFmt w:val="bullet"/>
      <w:start w:val="1"/>
    </w:lvl>
  </w:abstractNum>
  <w:abstractNum w:abstractNumId="31">
    <w:nsid w:val="5DC79EA8"/>
    <w:multiLevelType w:val="hybridMultilevel"/>
    <w:lvl w:ilvl="0">
      <w:lvlJc w:val="left"/>
      <w:lvlText w:val="3"/>
      <w:numFmt w:val="bullet"/>
      <w:start w:val="1"/>
    </w:lvl>
  </w:abstractNum>
  <w:abstractNum w:abstractNumId="32">
    <w:nsid w:val="540A471C"/>
    <w:multiLevelType w:val="hybridMultilevel"/>
    <w:lvl w:ilvl="0">
      <w:lvlJc w:val="left"/>
      <w:lvlText w:val="4"/>
      <w:numFmt w:val="bullet"/>
      <w:start w:val="1"/>
    </w:lvl>
  </w:abstractNum>
  <w:abstractNum w:abstractNumId="33">
    <w:nsid w:val="7BD3EE7B"/>
    <w:multiLevelType w:val="hybridMultilevel"/>
    <w:lvl w:ilvl="0">
      <w:lvlJc w:val="left"/>
      <w:lvlText w:val="1"/>
      <w:numFmt w:val="bullet"/>
      <w:start w:val="1"/>
    </w:lvl>
  </w:abstractNum>
  <w:abstractNum w:abstractNumId="34">
    <w:nsid w:val="51D9C564"/>
    <w:multiLevelType w:val="hybridMultilevel"/>
    <w:lvl w:ilvl="0">
      <w:lvlJc w:val="left"/>
      <w:lvlText w:val="2"/>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1"/>
      <w:numFmt w:val="bullet"/>
      <w:start w:val="1"/>
    </w:lvl>
  </w:abstractNum>
  <w:abstractNum w:abstractNumId="43">
    <w:nsid w:val="68EB2F63"/>
    <w:multiLevelType w:val="hybridMultilevel"/>
    <w:lvl w:ilvl="0">
      <w:lvlJc w:val="left"/>
      <w:lvlText w:val="2"/>
      <w:numFmt w:val="bullet"/>
      <w:start w:val="1"/>
    </w:lvl>
  </w:abstractNum>
  <w:abstractNum w:abstractNumId="44">
    <w:nsid w:val="4962813B"/>
    <w:multiLevelType w:val="hybridMultilevel"/>
    <w:lvl w:ilvl="0">
      <w:lvlJc w:val="left"/>
      <w:lvlText w:val="%1."/>
      <w:numFmt w:val="decimal"/>
      <w:start w:val="5"/>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1"/>
      <w:numFmt w:val="bullet"/>
      <w:start w:val="1"/>
    </w:lvl>
  </w:abstractNum>
  <w:abstractNum w:abstractNumId="48">
    <w:nsid w:val="7FFFCA11"/>
    <w:multiLevelType w:val="hybridMultilevel"/>
    <w:lvl w:ilvl="0">
      <w:lvlJc w:val="left"/>
      <w:lvlText w:val="2"/>
      <w:numFmt w:val="bullet"/>
      <w:start w:val="1"/>
    </w:lvl>
  </w:abstractNum>
  <w:abstractNum w:abstractNumId="49">
    <w:nsid w:val="1A27709E"/>
    <w:multiLevelType w:val="hybridMultilevel"/>
    <w:lvl w:ilvl="0">
      <w:lvlJc w:val="left"/>
      <w:lvlText w:val="%1."/>
      <w:numFmt w:val="upperLetter"/>
      <w:start w:val="2"/>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1."/>
      <w:numFmt w:val="upperLetter"/>
      <w:start w:val="3"/>
    </w:lvl>
  </w:abstractNum>
  <w:abstractNum w:abstractNumId="52">
    <w:nsid w:val="7FB7E0AA"/>
    <w:multiLevelType w:val="hybridMultilevel"/>
    <w:lvl w:ilvl="0">
      <w:lvlJc w:val="left"/>
      <w:lvlText w:val="1"/>
      <w:numFmt w:val="bullet"/>
      <w:start w:val="1"/>
    </w:lvl>
  </w:abstractNum>
  <w:abstractNum w:abstractNumId="53">
    <w:nsid w:val="6EB5BD4"/>
    <w:multiLevelType w:val="hybridMultilevel"/>
    <w:lvl w:ilvl="0">
      <w:lvlJc w:val="left"/>
      <w:lvlText w:val="2"/>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1"/>
      <w:numFmt w:val="bullet"/>
      <w:start w:val="1"/>
    </w:lvl>
  </w:abstractNum>
  <w:abstractNum w:abstractNumId="56">
    <w:nsid w:val="885E1B"/>
    <w:multiLevelType w:val="hybridMultilevel"/>
    <w:lvl w:ilvl="0">
      <w:lvlJc w:val="left"/>
      <w:lvlText w:val="3"/>
      <w:numFmt w:val="bullet"/>
      <w:start w:val="1"/>
    </w:lvl>
  </w:abstractNum>
  <w:abstractNum w:abstractNumId="57">
    <w:nsid w:val="76272110"/>
    <w:multiLevelType w:val="hybridMultilevel"/>
    <w:lvl w:ilvl="0">
      <w:lvlJc w:val="left"/>
      <w:lvlText w:val="%1."/>
      <w:numFmt w:val="upperLetter"/>
      <w:start w:val="1"/>
    </w:lvl>
  </w:abstractNum>
  <w:abstractNum w:abstractNumId="58">
    <w:nsid w:val="4C04A8AF"/>
    <w:multiLevelType w:val="hybridMultilevel"/>
    <w:lvl w:ilvl="0">
      <w:lvlJc w:val="left"/>
      <w:lvlText w:val="●"/>
      <w:numFmt w:val="bullet"/>
      <w:start w:val="1"/>
    </w:lvl>
    <w:lvl w:ilvl="1">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1."/>
      <w:numFmt w:val="upperLetter"/>
      <w:start w:val="3"/>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
      <w:numFmt w:val="bullet"/>
      <w:start w:val="1"/>
    </w:lvl>
    <w:lvl w:ilvl="1">
      <w:lvlJc w:val="left"/>
      <w:lvlText w:val="◦"/>
      <w:numFmt w:val="bullet"/>
      <w:start w:val="1"/>
    </w:lvl>
  </w:abstractNum>
  <w:abstractNum w:abstractNumId="63">
    <w:nsid w:val="68EBC550"/>
    <w:multiLevelType w:val="hybridMultilevel"/>
    <w:lvl w:ilvl="0">
      <w:lvlJc w:val="left"/>
      <w:lvlText w:val="%1."/>
      <w:numFmt w:val="upperLetter"/>
      <w:start w:val="5"/>
    </w:lvl>
  </w:abstractNum>
  <w:abstractNum w:abstractNumId="64">
    <w:nsid w:val="2DF6D648"/>
    <w:multiLevelType w:val="hybridMultilevel"/>
    <w:lvl w:ilvl="0">
      <w:lvlJc w:val="left"/>
      <w:lvlText w:val="1"/>
      <w:numFmt w:val="bullet"/>
      <w:start w:val="1"/>
    </w:lvl>
  </w:abstractNum>
  <w:abstractNum w:abstractNumId="65">
    <w:nsid w:val="46B7D447"/>
    <w:multiLevelType w:val="hybridMultilevel"/>
    <w:lvl w:ilvl="0">
      <w:lvlJc w:val="left"/>
      <w:lvlText w:val="2"/>
      <w:numFmt w:val="bullet"/>
      <w:start w:val="1"/>
    </w:lvl>
  </w:abstractNum>
  <w:abstractNum w:abstractNumId="66">
    <w:nsid w:val="4A2AC315"/>
    <w:multiLevelType w:val="hybridMultilevel"/>
    <w:lvl w:ilvl="0">
      <w:lvlJc w:val="left"/>
      <w:lvlText w:val="-"/>
      <w:numFmt w:val="bullet"/>
      <w:start w:val="1"/>
    </w:lvl>
  </w:abstractNum>
  <w:abstractNum w:abstractNumId="67">
    <w:nsid w:val="39EE015C"/>
    <w:multiLevelType w:val="hybridMultilevel"/>
    <w:lvl w:ilvl="0">
      <w:lvlJc w:val="left"/>
      <w:lvlText w:val="%1."/>
      <w:numFmt w:val="decimal"/>
      <w:start w:val="9"/>
    </w:lvl>
  </w:abstractNum>
  <w:abstractNum w:abstractNumId="68">
    <w:nsid w:val="57FC4FBB"/>
    <w:multiLevelType w:val="hybridMultilevel"/>
    <w:lvl w:ilvl="0">
      <w:lvlJc w:val="left"/>
      <w:lvlText w:val="%1."/>
      <w:numFmt w:val="upperLetter"/>
      <w:start w:val="1"/>
    </w:lvl>
  </w:abstractNum>
  <w:abstractNum w:abstractNumId="69">
    <w:nsid w:val="CC1016F"/>
    <w:multiLevelType w:val="hybridMultilevel"/>
    <w:lvl w:ilvl="0">
      <w:lvlJc w:val="left"/>
      <w:lvlText w:val="1"/>
      <w:numFmt w:val="bullet"/>
      <w:start w:val="1"/>
    </w:lvl>
  </w:abstractNum>
  <w:abstractNum w:abstractNumId="70">
    <w:nsid w:val="43F18422"/>
    <w:multiLevelType w:val="hybridMultilevel"/>
    <w:lvl w:ilvl="0">
      <w:lvlJc w:val="left"/>
      <w:lvlText w:val="%1."/>
      <w:numFmt w:val="upperLetter"/>
      <w:start w:val="2"/>
    </w:lvl>
  </w:abstractNum>
  <w:abstractNum w:abstractNumId="71">
    <w:nsid w:val="60EF0119"/>
    <w:multiLevelType w:val="hybridMultilevel"/>
    <w:lvl w:ilvl="0">
      <w:lvlJc w:val="left"/>
      <w:lvlText w:val="(%1)"/>
      <w:numFmt w:val="decimal"/>
      <w:start w:val="2"/>
    </w:lvl>
  </w:abstractNum>
  <w:abstractNum w:abstractNumId="72">
    <w:nsid w:val="26F324BA"/>
    <w:multiLevelType w:val="hybridMultilevel"/>
    <w:lvl w:ilvl="0">
      <w:lvlJc w:val="left"/>
      <w:lvlText w:val="%1."/>
      <w:numFmt w:val="upperLetter"/>
      <w:start w:val="3"/>
    </w:lvl>
  </w:abstractNum>
  <w:abstractNum w:abstractNumId="73">
    <w:nsid w:val="7F01579B"/>
    <w:multiLevelType w:val="hybridMultilevel"/>
    <w:lvl w:ilvl="0">
      <w:lvlJc w:val="left"/>
      <w:lvlText w:val="1"/>
      <w:numFmt w:val="bullet"/>
      <w:start w:val="1"/>
    </w:lvl>
  </w:abstractNum>
  <w:abstractNum w:abstractNumId="74">
    <w:nsid w:val="49DA307D"/>
    <w:multiLevelType w:val="hybridMultilevel"/>
    <w:lvl w:ilvl="0">
      <w:lvlJc w:val="left"/>
      <w:lvlText w:val="2"/>
      <w:numFmt w:val="bullet"/>
      <w:start w:val="1"/>
    </w:lvl>
  </w:abstractNum>
  <w:abstractNum w:abstractNumId="75">
    <w:nsid w:val="7055A5F5"/>
    <w:multiLevelType w:val="hybridMultilevel"/>
    <w:lvl w:ilvl="0">
      <w:lvlJc w:val="left"/>
      <w:lvlText w:val="●"/>
      <w:numFmt w:val="bullet"/>
      <w:start w:val="1"/>
    </w:lvl>
  </w:abstractNum>
  <w:abstractNum w:abstractNumId="76">
    <w:nsid w:val="5FB8370B"/>
    <w:multiLevelType w:val="hybridMultilevel"/>
    <w:lvl w:ilvl="0">
      <w:lvlJc w:val="left"/>
      <w:lvlText w:val="●"/>
      <w:numFmt w:val="bullet"/>
      <w:start w:val="1"/>
    </w:lvl>
  </w:abstractNum>
  <w:abstractNum w:abstractNumId="77">
    <w:nsid w:val="50801EE1"/>
    <w:multiLevelType w:val="hybridMultilevel"/>
    <w:lvl w:ilvl="0">
      <w:lvlJc w:val="left"/>
      <w:lvlText w:val="●"/>
      <w:numFmt w:val="bullet"/>
      <w:start w:val="1"/>
    </w:lvl>
  </w:abstractNum>
  <w:abstractNum w:abstractNumId="78">
    <w:nsid w:val="488AC1A"/>
    <w:multiLevelType w:val="hybridMultilevel"/>
    <w:lvl w:ilvl="0">
      <w:lvlJc w:val="left"/>
      <w:lvlText w:val="●"/>
      <w:numFmt w:val="bullet"/>
      <w:start w:val="1"/>
    </w:lvl>
  </w:abstractNum>
  <w:abstractNum w:abstractNumId="79">
    <w:nsid w:val="5FB8011C"/>
    <w:multiLevelType w:val="hybridMultilevel"/>
    <w:lvl w:ilvl="0">
      <w:lvlJc w:val="left"/>
      <w:lvlText w:val="%1."/>
      <w:numFmt w:val="upperLetter"/>
      <w:start w:val="1"/>
    </w:lvl>
  </w:abstractNum>
  <w:abstractNum w:abstractNumId="80">
    <w:nsid w:val="6AA78F7F"/>
    <w:multiLevelType w:val="hybridMultilevel"/>
    <w:lvl w:ilvl="0">
      <w:lvlJc w:val="left"/>
      <w:lvlText w:val="●"/>
      <w:numFmt w:val="bullet"/>
      <w:start w:val="1"/>
    </w:lvl>
  </w:abstractNum>
  <w:abstractNum w:abstractNumId="81">
    <w:nsid w:val="7672BD23"/>
    <w:multiLevelType w:val="hybridMultilevel"/>
    <w:lvl w:ilvl="0">
      <w:lvlJc w:val="left"/>
      <w:lvlText w:val="●"/>
      <w:numFmt w:val="bullet"/>
      <w:start w:val="1"/>
    </w:lvl>
    <w:lvl w:ilvl="1">
      <w:lvlJc w:val="left"/>
      <w:lvlText w:val="◦"/>
      <w:numFmt w:val="bullet"/>
      <w:start w:val="1"/>
    </w:lvl>
  </w:abstractNum>
  <w:abstractNum w:abstractNumId="82">
    <w:nsid w:val="6FC75AF8"/>
    <w:multiLevelType w:val="hybridMultilevel"/>
    <w:lvl w:ilvl="0">
      <w:lvlJc w:val="left"/>
      <w:lvlText w:val="%1."/>
      <w:numFmt w:val="upperLetter"/>
      <w:start w:val="1"/>
    </w:lvl>
  </w:abstractNum>
  <w:abstractNum w:abstractNumId="83">
    <w:nsid w:val="6A5F7029"/>
    <w:multiLevelType w:val="hybridMultilevel"/>
    <w:lvl w:ilvl="0">
      <w:lvlJc w:val="left"/>
      <w:lvlText w:val="%1."/>
      <w:numFmt w:val="upperLetter"/>
      <w:start w:val="1"/>
    </w:lvl>
  </w:abstractNum>
  <w:abstractNum w:abstractNumId="84">
    <w:nsid w:val="7D5E18F8"/>
    <w:multiLevelType w:val="hybridMultilevel"/>
    <w:lvl w:ilvl="0">
      <w:lvlJc w:val="left"/>
      <w:lvlText w:val="%1."/>
      <w:numFmt w:val="upperLetter"/>
      <w:start w:val="2"/>
    </w:lvl>
  </w:abstractNum>
  <w:abstractNum w:abstractNumId="85">
    <w:nsid w:val="5F3534A4"/>
    <w:multiLevelType w:val="hybridMultilevel"/>
    <w:lvl w:ilvl="0">
      <w:lvlJc w:val="left"/>
      <w:lvlText w:val="%1."/>
      <w:numFmt w:val="upperLetter"/>
      <w:start w:val="2"/>
    </w:lvl>
  </w:abstractNum>
  <w:abstractNum w:abstractNumId="86">
    <w:nsid w:val="73A1821B"/>
    <w:multiLevelType w:val="hybridMultilevel"/>
    <w:lvl w:ilvl="0">
      <w:lvlJc w:val="left"/>
      <w:lvlText w:val="%1."/>
      <w:numFmt w:val="upperLetter"/>
      <w:start w:val="2"/>
    </w:lvl>
  </w:abstractNum>
  <w:abstractNum w:abstractNumId="87">
    <w:nsid w:val="7DE67713"/>
    <w:multiLevelType w:val="hybridMultilevel"/>
    <w:lvl w:ilvl="0">
      <w:lvlJc w:val="left"/>
      <w:lvlText w:val="%1."/>
      <w:numFmt w:val="upperLetter"/>
      <w:start w:val="2"/>
    </w:lvl>
  </w:abstractNum>
  <w:abstractNum w:abstractNumId="88">
    <w:nsid w:val="555C55B5"/>
    <w:multiLevelType w:val="hybridMultilevel"/>
    <w:lvl w:ilvl="0">
      <w:lvlJc w:val="left"/>
      <w:lvlText w:val="%1."/>
      <w:numFmt w:val="upperLetter"/>
      <w:start w:val="3"/>
    </w:lvl>
  </w:abstractNum>
  <w:abstractNum w:abstractNumId="89">
    <w:nsid w:val="3FA62ACA"/>
    <w:multiLevelType w:val="hybridMultilevel"/>
    <w:lvl w:ilvl="0">
      <w:lvlJc w:val="left"/>
      <w:lvlText w:val="%1."/>
      <w:numFmt w:val="upperLetter"/>
      <w:start w:val="4"/>
    </w:lvl>
  </w:abstractNum>
  <w:abstractNum w:abstractNumId="90">
    <w:nsid w:val="14FCE74E"/>
    <w:multiLevelType w:val="hybridMultilevel"/>
    <w:lvl w:ilvl="0">
      <w:lvlJc w:val="left"/>
      <w:lvlText w:val="%1."/>
      <w:numFmt w:val="upperLetter"/>
      <w:start w:val="5"/>
    </w:lvl>
  </w:abstractNum>
  <w:abstractNum w:abstractNumId="91">
    <w:nsid w:val="6A3DD3E8"/>
    <w:multiLevelType w:val="hybridMultilevel"/>
    <w:lvl w:ilvl="0">
      <w:lvlJc w:val="left"/>
      <w:lvlText w:val="%1."/>
      <w:numFmt w:val="upperLetter"/>
      <w:start w:val="6"/>
    </w:lvl>
  </w:abstractNum>
  <w:abstractNum w:abstractNumId="92">
    <w:nsid w:val="71C91298"/>
    <w:multiLevelType w:val="hybridMultilevel"/>
    <w:lvl w:ilvl="0">
      <w:lvlJc w:val="left"/>
      <w:lvlText w:val="%1."/>
      <w:numFmt w:val="upperLetter"/>
      <w:start w:val="1"/>
    </w:lvl>
  </w:abstractNum>
  <w:abstractNum w:abstractNumId="93">
    <w:nsid w:val="9DAF632"/>
    <w:multiLevelType w:val="hybridMultilevel"/>
    <w:lvl w:ilvl="0">
      <w:lvlJc w:val="left"/>
      <w:lvlText w:val="●"/>
      <w:numFmt w:val="bullet"/>
      <w:start w:val="1"/>
    </w:lvl>
  </w:abstractNum>
  <w:abstractNum w:abstractNumId="94">
    <w:nsid w:val="53299938"/>
    <w:multiLevelType w:val="hybridMultilevel"/>
    <w:lvl w:ilvl="0">
      <w:lvlJc w:val="left"/>
      <w:lvlText w:val="●"/>
      <w:numFmt w:val="bullet"/>
      <w:start w:val="1"/>
    </w:lvl>
  </w:abstractNum>
  <w:abstractNum w:abstractNumId="95">
    <w:nsid w:val="1FBFE8E0"/>
    <w:multiLevelType w:val="hybridMultilevel"/>
    <w:lvl w:ilvl="0">
      <w:lvlJc w:val="left"/>
      <w:lvlText w:val="●"/>
      <w:numFmt w:val="bullet"/>
      <w:start w:val="1"/>
    </w:lvl>
  </w:abstractNum>
  <w:abstractNum w:abstractNumId="96">
    <w:nsid w:val="5092CA79"/>
    <w:multiLevelType w:val="hybridMultilevel"/>
    <w:lvl w:ilvl="0">
      <w:lvlJc w:val="left"/>
      <w:lvlText w:val="%1."/>
      <w:numFmt w:val="upperLetter"/>
      <w:start w:val="2"/>
    </w:lvl>
    <w:lvl w:ilvl="1">
      <w:lvlJc w:val="left"/>
      <w:lvlText w:val="●"/>
      <w:numFmt w:val="bullet"/>
      <w:start w:val="1"/>
    </w:lvl>
  </w:abstractNum>
  <w:abstractNum w:abstractNumId="97">
    <w:nsid w:val="1D545C4D"/>
    <w:multiLevelType w:val="hybridMultilevel"/>
    <w:lvl w:ilvl="0">
      <w:lvlJc w:val="left"/>
      <w:lvlText w:val="%1."/>
      <w:numFmt w:val="upperLetter"/>
      <w:start w:val="1"/>
    </w:lvl>
  </w:abstractNum>
  <w:abstractNum w:abstractNumId="98">
    <w:nsid w:val="59ADEA3D"/>
    <w:multiLevelType w:val="hybridMultilevel"/>
    <w:lvl w:ilvl="0">
      <w:lvlJc w:val="left"/>
      <w:lvlText w:val="%1)"/>
      <w:numFmt w:val="lowerRoman"/>
      <w:start w:val="1"/>
    </w:lvl>
  </w:abstractNum>
  <w:abstractNum w:abstractNumId="99">
    <w:nsid w:val="288F1A34"/>
    <w:multiLevelType w:val="hybridMultilevel"/>
    <w:lvl w:ilvl="0">
      <w:lvlJc w:val="left"/>
      <w:lvlText w:val="%1."/>
      <w:numFmt w:val="upperLetter"/>
      <w:start w:val="2"/>
    </w:lvl>
  </w:abstractNum>
  <w:abstractNum w:abstractNumId="100">
    <w:nsid w:val="2A155DBC"/>
    <w:multiLevelType w:val="hybridMultilevel"/>
    <w:lvl w:ilvl="0">
      <w:lvlJc w:val="left"/>
      <w:lvlText w:val="%1."/>
      <w:numFmt w:val="upperLetter"/>
      <w:start w:val="2"/>
    </w:lvl>
  </w:abstractNum>
  <w:abstractNum w:abstractNumId="101">
    <w:nsid w:val="1D9F6E5F"/>
    <w:multiLevelType w:val="hybridMultilevel"/>
    <w:lvl w:ilvl="0">
      <w:lvlJc w:val="left"/>
      <w:lvlText w:val="%1."/>
      <w:numFmt w:val="upperLetter"/>
      <w:start w:val="3"/>
    </w:lvl>
  </w:abstractNum>
  <w:abstractNum w:abstractNumId="102">
    <w:nsid w:val="97E1B4E"/>
    <w:multiLevelType w:val="hybridMultilevel"/>
    <w:lvl w:ilvl="0">
      <w:lvlJc w:val="left"/>
      <w:lvlText w:val="%1."/>
      <w:numFmt w:val="upperLetter"/>
      <w:start w:val="4"/>
    </w:lvl>
  </w:abstractNum>
  <w:abstractNum w:abstractNumId="103">
    <w:nsid w:val="51088277"/>
    <w:multiLevelType w:val="hybridMultilevel"/>
    <w:lvl w:ilvl="0">
      <w:lvlJc w:val="left"/>
      <w:lvlText w:val="%1."/>
      <w:numFmt w:val="upperLetter"/>
      <w:start w:val="1"/>
    </w:lvl>
  </w:abstractNum>
  <w:abstractNum w:abstractNumId="104">
    <w:nsid w:val="1CA0C5FA"/>
    <w:multiLevelType w:val="hybridMultilevel"/>
    <w:lvl w:ilvl="0">
      <w:lvlJc w:val="left"/>
      <w:lvlText w:val="%1."/>
      <w:numFmt w:val="upperLetter"/>
      <w:start w:val="2"/>
    </w:lvl>
  </w:abstractNum>
  <w:abstractNum w:abstractNumId="105">
    <w:nsid w:val="53584BCB"/>
    <w:multiLevelType w:val="hybridMultilevel"/>
    <w:lvl w:ilvl="0">
      <w:lvlJc w:val="left"/>
      <w:lvlText w:val="%1."/>
      <w:numFmt w:val="upperLetter"/>
      <w:start w:val="3"/>
    </w:lvl>
  </w:abstractNum>
  <w:abstractNum w:abstractNumId="106">
    <w:nsid w:val="415E286C"/>
    <w:multiLevelType w:val="hybridMultilevel"/>
    <w:lvl w:ilvl="0">
      <w:lvlJc w:val="left"/>
      <w:lvlText w:val="%1."/>
      <w:numFmt w:val="upperLetter"/>
      <w:start w:val="4"/>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1."/>
      <w:numFmt w:val="decimal"/>
      <w:start w:val="22"/>
    </w:lvl>
    <w:lvl w:ilvl="1">
      <w:lvlJc w:val="left"/>
      <w:lvlText w:val="●"/>
      <w:numFmt w:val="bullet"/>
      <w:start w:val="1"/>
    </w:lvl>
  </w:abstractNum>
  <w:abstractNum w:abstractNumId="110">
    <w:nsid w:val="5C10FE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E7FFA2B"/>
    <w:multiLevelType w:val="hybridMultilevel"/>
    <w:lvl w:ilvl="0">
      <w:lvlJc w:val="left"/>
      <w:lvlText w:val="%1"/>
      <w:numFmt w:val="decimal"/>
      <w:start w:val="1"/>
    </w:lvl>
    <w:lvl w:ilvl="1">
      <w:lvlJc w:val="left"/>
      <w:lvlText w:val="(%2)"/>
      <w:numFmt w:val="lowerLetter"/>
      <w:start w:val="1"/>
    </w:lvl>
  </w:abstractNum>
  <w:abstractNum w:abstractNumId="112">
    <w:nsid w:val="3C5991AA"/>
    <w:multiLevelType w:val="hybridMultilevel"/>
    <w:lvl w:ilvl="0">
      <w:lvlJc w:val="left"/>
      <w:lvlText w:val="%1."/>
      <w:numFmt w:val="decimal"/>
      <w:start w:val="6"/>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2025-05-14T06:31:45Z</dcterms:created>
  <dcterms:modified xsi:type="dcterms:W3CDTF">2025-05-14T06:31:45Z</dcterms:modified>
</cp:coreProperties>
</file>