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134620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June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146050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134620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03" w:lineRule="exact"/>
        <w:rPr>
          <w:sz w:val="24"/>
          <w:szCs w:val="24"/>
          <w:color w:val="auto"/>
        </w:rPr>
      </w:pPr>
    </w:p>
    <w:p>
      <w:pPr>
        <w:jc w:val="center"/>
        <w:ind w:right="19"/>
        <w:spacing w:after="0" w:line="207" w:lineRule="exact"/>
        <w:tabs>
          <w:tab w:leader="none" w:pos="4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172085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189230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471805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9" w:lineRule="exact"/>
        <w:rPr>
          <w:sz w:val="20"/>
          <w:szCs w:val="20"/>
          <w:color w:val="auto"/>
        </w:rPr>
      </w:pPr>
    </w:p>
    <w:p>
      <w:pPr>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June 12,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Arial" w:cs="Arial" w:eastAsia="Arial" w:hAnsi="Arial"/>
            <w:sz w:val="18"/>
            <w:szCs w:val="18"/>
            <w:u w:val="single" w:color="auto"/>
            <w:color w:val="0000EE"/>
          </w:rPr>
          <w:t>Form F-10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333-258788).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Material Change Report dated June 12, 2023</w:t>
      </w: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2" w:name="page3"/>
    <w:bookmarkEnd w:id="2"/>
    <w:p>
      <w:pPr>
        <w:ind w:left="51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56"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23495</wp:posOffset>
            </wp:positionV>
            <wp:extent cx="25717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jc w:val="both"/>
        <w:ind w:left="7200"/>
        <w:spacing w:after="0"/>
        <w:tabs>
          <w:tab w:leader="none" w:pos="7780" w:val="left"/>
        </w:tabs>
        <w:rPr>
          <w:sz w:val="20"/>
          <w:szCs w:val="20"/>
          <w:color w:val="auto"/>
        </w:rPr>
      </w:pPr>
      <w:r>
        <w:rPr>
          <w:rFonts w:ascii="Arial" w:cs="Arial" w:eastAsia="Arial" w:hAnsi="Arial"/>
          <w:sz w:val="18"/>
          <w:szCs w:val="18"/>
          <w:color w:val="auto"/>
        </w:rPr>
        <w:t>Title:</w:t>
        <w:tab/>
        <w:t>President and 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June 12, 2023</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320" w:top="891" w:right="10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12, 2023.</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News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released on June 12, 2023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Geoffrey Morphy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gmorphy@bitfarms.com</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12,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151765</wp:posOffset>
            </wp:positionV>
            <wp:extent cx="2032000"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320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Bitfarms Increases Operational Hashrate to 5.3 EH/s</w:t>
      </w:r>
    </w:p>
    <w:p>
      <w:pPr>
        <w:spacing w:after="0" w:line="234"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 New miners online in Argentina increase corporate operating capacity by 11 MW to 207 MW -</w:t>
      </w:r>
    </w:p>
    <w:p>
      <w:pPr>
        <w:spacing w:after="0" w:line="225" w:lineRule="exact"/>
        <w:rPr>
          <w:sz w:val="20"/>
          <w:szCs w:val="20"/>
          <w:color w:val="auto"/>
        </w:rPr>
      </w:pPr>
    </w:p>
    <w:p>
      <w:pPr>
        <w:ind w:right="80" w:hanging="8"/>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166" w:lineRule="exact"/>
        <w:rPr>
          <w:sz w:val="20"/>
          <w:szCs w:val="20"/>
          <w:color w:val="auto"/>
        </w:rPr>
      </w:pPr>
    </w:p>
    <w:p>
      <w:pPr>
        <w:ind w:right="180" w:hanging="8"/>
        <w:spacing w:after="0" w:line="282" w:lineRule="auto"/>
        <w:rPr>
          <w:sz w:val="20"/>
          <w:szCs w:val="20"/>
          <w:color w:val="auto"/>
        </w:rPr>
      </w:pPr>
      <w:r>
        <w:rPr>
          <w:rFonts w:ascii="Arial" w:cs="Arial" w:eastAsia="Arial" w:hAnsi="Arial"/>
          <w:sz w:val="18"/>
          <w:szCs w:val="18"/>
          <w:b w:val="1"/>
          <w:bCs w:val="1"/>
          <w:color w:val="auto"/>
        </w:rPr>
        <w:t xml:space="preserve">Toronto, Ontario and Brossard, Québec (June 12 2023)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BITF//TSX: BITF</w:t>
      </w:r>
      <w:r>
        <w:rPr>
          <w:rFonts w:ascii="Arial" w:cs="Arial" w:eastAsia="Arial" w:hAnsi="Arial"/>
          <w:sz w:val="18"/>
          <w:szCs w:val="18"/>
          <w:color w:val="auto"/>
        </w:rPr>
        <w:t>), a global vertically integrated Bitcoin mining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reached a new hashrate high of 5.3 EH/s, up 6% from May 31, 2023.</w:t>
      </w:r>
    </w:p>
    <w:p>
      <w:pPr>
        <w:spacing w:after="0" w:line="166" w:lineRule="exact"/>
        <w:rPr>
          <w:sz w:val="20"/>
          <w:szCs w:val="20"/>
          <w:color w:val="auto"/>
        </w:rPr>
      </w:pPr>
    </w:p>
    <w:p>
      <w:pPr>
        <w:ind w:right="60" w:hanging="8"/>
        <w:spacing w:after="0" w:line="259" w:lineRule="auto"/>
        <w:rPr>
          <w:sz w:val="20"/>
          <w:szCs w:val="20"/>
          <w:color w:val="auto"/>
        </w:rPr>
      </w:pPr>
      <w:r>
        <w:rPr>
          <w:rFonts w:ascii="Arial" w:cs="Arial" w:eastAsia="Arial" w:hAnsi="Arial"/>
          <w:sz w:val="18"/>
          <w:szCs w:val="18"/>
          <w:color w:val="auto"/>
        </w:rPr>
        <w:t>“The first tranche of 2,982 MicroBT miners were installed and began hashing last week at our Rio Cuarto farm in Argentina. These miners contributed an additional 290 PH/s driving our hashrate to 5.3 EH/s,” said Ben Gagnon, Chief Mining Officer of Bitfarms. “With these new installations, operating capacity increased to 29 MW at Rio Cuarto and to 207 MW company-wide. An additional 3,300 miners are en route to Rio Cuarto and will improve production and energy efficiency at this facilty when installed in July.”</w:t>
      </w:r>
    </w:p>
    <w:p>
      <w:pPr>
        <w:spacing w:after="0" w:line="187" w:lineRule="exact"/>
        <w:rPr>
          <w:sz w:val="20"/>
          <w:szCs w:val="20"/>
          <w:color w:val="auto"/>
        </w:rPr>
      </w:pPr>
    </w:p>
    <w:p>
      <w:pPr>
        <w:ind w:right="60" w:hanging="8"/>
        <w:spacing w:after="0" w:line="286" w:lineRule="auto"/>
        <w:rPr>
          <w:sz w:val="20"/>
          <w:szCs w:val="20"/>
          <w:color w:val="auto"/>
        </w:rPr>
      </w:pPr>
      <w:r>
        <w:rPr>
          <w:rFonts w:ascii="Arial" w:cs="Arial" w:eastAsia="Arial" w:hAnsi="Arial"/>
          <w:sz w:val="17"/>
          <w:szCs w:val="17"/>
          <w:color w:val="auto"/>
        </w:rPr>
        <w:t>Jeff Lucas, Chief Financial Officer of Bitfarms, added, “With miner deliveries and installations progressing smoothly, we continue to execute on our strategy of accretive growth. These competitively priced miners, combined with high energy efficiency and the lowest cost electricity in our portfolio, are expected to generate a rapid return on investment, reduce our average operating costs per TH, and improve our cash flow.”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1371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23430" cy="1371600"/>
                    </a:xfrm>
                    <a:prstGeom prst="rect">
                      <a:avLst/>
                    </a:prstGeom>
                    <a:noFill/>
                  </pic:spPr>
                </pic:pic>
              </a:graphicData>
            </a:graphic>
          </wp:anchor>
        </w:drawing>
      </w:r>
    </w:p>
    <w:p>
      <w:pPr>
        <w:spacing w:after="0" w:line="209" w:lineRule="exact"/>
        <w:rPr>
          <w:sz w:val="20"/>
          <w:szCs w:val="20"/>
          <w:color w:val="auto"/>
        </w:rPr>
      </w:pPr>
    </w:p>
    <w:p>
      <w:pPr>
        <w:ind w:left="20" w:hanging="9"/>
        <w:spacing w:after="0" w:line="286" w:lineRule="auto"/>
        <w:rPr>
          <w:sz w:val="20"/>
          <w:szCs w:val="20"/>
          <w:color w:val="auto"/>
        </w:rPr>
      </w:pPr>
      <w:r>
        <w:rPr>
          <w:rFonts w:ascii="Arial" w:cs="Arial" w:eastAsia="Arial" w:hAnsi="Arial"/>
          <w:sz w:val="17"/>
          <w:szCs w:val="17"/>
          <w:color w:val="auto"/>
        </w:rPr>
        <w:t>Founded in 2017, Bitfarms is a global, publicly traded (NASDAQ/TSX: BITF) Bitcoin mining company.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65" w:lineRule="exact"/>
        <w:rPr>
          <w:sz w:val="20"/>
          <w:szCs w:val="20"/>
          <w:color w:val="auto"/>
        </w:rPr>
      </w:pPr>
    </w:p>
    <w:p>
      <w:pPr>
        <w:ind w:left="20" w:right="40" w:hanging="9"/>
        <w:spacing w:after="0" w:line="263" w:lineRule="auto"/>
        <w:rPr>
          <w:sz w:val="20"/>
          <w:szCs w:val="20"/>
          <w:color w:val="auto"/>
        </w:rPr>
      </w:pPr>
      <w:r>
        <w:rPr>
          <w:rFonts w:ascii="Arial" w:cs="Arial" w:eastAsia="Arial" w:hAnsi="Arial"/>
          <w:sz w:val="18"/>
          <w:szCs w:val="18"/>
          <w:color w:val="auto"/>
        </w:rPr>
        <w:t>Bitfarms currently has 10 farms, which are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1645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23430" cy="1645920"/>
                    </a:xfrm>
                    <a:prstGeom prst="rect">
                      <a:avLst/>
                    </a:prstGeom>
                    <a:noFill/>
                  </pic:spPr>
                </pic:pic>
              </a:graphicData>
            </a:graphic>
          </wp:anchor>
        </w:drawing>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Glossary of Terms</w:t>
      </w:r>
    </w:p>
    <w:p>
      <w:pPr>
        <w:spacing w:after="0" w:line="22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BTC BTC/day = Bitcoin or Bitcoin per day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EH or EH/s = Exahash or exahash per second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MW or MWh = Megawatts or megawatt hour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PH or PH/s = Petahash or petahash per second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 or TH/s = Terahash or terahash per second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W/TH = Watts per Terahas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72084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5" w:lineRule="exact"/>
        <w:rPr>
          <w:sz w:val="20"/>
          <w:szCs w:val="20"/>
          <w:color w:val="auto"/>
        </w:rPr>
      </w:pPr>
    </w:p>
    <w:p>
      <w:pPr>
        <w:ind w:left="20" w:right="100" w:hanging="8"/>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-422275</wp:posOffset>
            </wp:positionV>
            <wp:extent cx="7123430" cy="8229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23430" cy="82296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left="20" w:right="20" w:hanging="8"/>
        <w:spacing w:after="0" w:line="290" w:lineRule="auto"/>
        <w:rPr>
          <w:sz w:val="20"/>
          <w:szCs w:val="20"/>
          <w:color w:val="auto"/>
        </w:rPr>
      </w:pPr>
      <w:r>
        <w:rPr>
          <w:rFonts w:ascii="Arial" w:cs="Arial" w:eastAsia="Arial" w:hAnsi="Arial"/>
          <w:sz w:val="16"/>
          <w:szCs w:val="16"/>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growth opportunities and prospects, and other statements regarding future plans and objectives of the Company, miner expansion, hashrate and energy costs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65" w:lineRule="exact"/>
        <w:rPr>
          <w:sz w:val="20"/>
          <w:szCs w:val="20"/>
          <w:color w:val="auto"/>
        </w:rPr>
      </w:pPr>
    </w:p>
    <w:p>
      <w:pPr>
        <w:ind w:left="20" w:hanging="8"/>
        <w:spacing w:after="0" w:line="257" w:lineRule="auto"/>
        <w:rPr>
          <w:sz w:val="20"/>
          <w:szCs w:val="20"/>
          <w:color w:val="auto"/>
        </w:rPr>
      </w:pPr>
      <w:r>
        <w:rPr>
          <w:rFonts w:ascii="Arial" w:cs="Arial" w:eastAsia="Arial" w:hAnsi="Arial"/>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 w:name="page7"/>
    <w:bookmarkEnd w:id="6"/>
    <w:p>
      <w:pPr>
        <w:ind w:left="20" w:hanging="8"/>
        <w:spacing w:after="0" w:line="283" w:lineRule="auto"/>
        <w:rPr>
          <w:sz w:val="20"/>
          <w:szCs w:val="20"/>
          <w:color w:val="auto"/>
        </w:rPr>
      </w:pPr>
      <w:r>
        <w:rPr>
          <w:rFonts w:ascii="Arial" w:cs="Arial" w:eastAsia="Arial" w:hAnsi="Arial"/>
          <w:sz w:val="16"/>
          <w:szCs w:val="16"/>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the global economic climate; dilution; the Company’s limited operating history; future capital needs and uncertainty of additional financing, including the Company’s ability to utilize the Company’s at-the-market equity offering program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w:t>
      </w:r>
      <w:r>
        <w:rPr>
          <w:rFonts w:ascii="Arial" w:cs="Arial" w:eastAsia="Arial" w:hAnsi="Arial"/>
          <w:sz w:val="16"/>
          <w:szCs w:val="16"/>
          <w:color w:val="auto"/>
          <w:highlight w:val="white"/>
        </w:rPr>
        <w:t>-ended December 31, 2022, filed on March 21, 2023. The</w:t>
      </w:r>
      <w:r>
        <w:rPr>
          <w:rFonts w:ascii="Arial" w:cs="Arial" w:eastAsia="Arial" w:hAnsi="Arial"/>
          <w:sz w:val="16"/>
          <w:szCs w:val="16"/>
          <w:i w:val="1"/>
          <w:iCs w:val="1"/>
          <w:color w:val="auto"/>
          <w:highlight w:val="white"/>
        </w:rPr>
        <w:t xml:space="preserv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Lisa Helfer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+1 646-373-9946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mediarelations@bitfarms.com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+1 418-693-2425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wp:posOffset>
            </wp:positionV>
            <wp:extent cx="712343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3003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2023-06-12T15:06:07Z</dcterms:created>
  <dcterms:modified xsi:type="dcterms:W3CDTF">2023-06-12T15:06:07Z</dcterms:modified>
</cp:coreProperties>
</file>