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month of February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14,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4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February 14, 2022</w:t>
              </w:r>
            </w:hyperlink>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0000EE"/>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17145"/>
                    </a:xfrm>
                    <a:prstGeom prst="rect">
                      <a:avLst/>
                    </a:prstGeom>
                    <a:noFill/>
                  </pic:spPr>
                </pic:pic>
              </a:graphicData>
            </a:graphic>
          </wp:anchor>
        </w:drawing>
      </w:r>
    </w:p>
    <w:p>
      <w:pPr>
        <w:spacing w:after="0" w:line="17"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2022.</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February 14,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Bitfarms Expands Management Team to Support Growth</w:t>
      </w:r>
    </w:p>
    <w:p>
      <w:pPr>
        <w:spacing w:after="0" w:line="200" w:lineRule="exact"/>
        <w:rPr>
          <w:sz w:val="20"/>
          <w:szCs w:val="20"/>
          <w:color w:val="auto"/>
        </w:rPr>
      </w:pPr>
    </w:p>
    <w:p>
      <w:pPr>
        <w:spacing w:after="0" w:line="384" w:lineRule="exact"/>
        <w:rPr>
          <w:sz w:val="20"/>
          <w:szCs w:val="20"/>
          <w:color w:val="auto"/>
        </w:rPr>
      </w:pPr>
    </w:p>
    <w:p>
      <w:pPr>
        <w:ind w:left="760" w:right="880"/>
        <w:spacing w:after="0" w:line="277" w:lineRule="auto"/>
        <w:rPr>
          <w:sz w:val="20"/>
          <w:szCs w:val="20"/>
          <w:color w:val="auto"/>
        </w:rPr>
      </w:pPr>
      <w:r>
        <w:rPr>
          <w:rFonts w:ascii="Arial" w:cs="Arial" w:eastAsia="Arial" w:hAnsi="Arial"/>
          <w:sz w:val="18"/>
          <w:szCs w:val="18"/>
          <w:i w:val="1"/>
          <w:iCs w:val="1"/>
          <w:color w:val="545454"/>
        </w:rPr>
        <w:t>This news release constitutes a “designated news release” for the purposes of the Company’s prospectus supplement dated August 16, 2021 to its short form base shelf prospectus dated August 12, 2021.</w:t>
      </w:r>
    </w:p>
    <w:p>
      <w:pPr>
        <w:spacing w:after="0" w:line="200" w:lineRule="exact"/>
        <w:rPr>
          <w:sz w:val="20"/>
          <w:szCs w:val="20"/>
          <w:color w:val="auto"/>
        </w:rPr>
      </w:pPr>
    </w:p>
    <w:p>
      <w:pPr>
        <w:spacing w:after="0" w:line="358" w:lineRule="exact"/>
        <w:rPr>
          <w:sz w:val="20"/>
          <w:szCs w:val="20"/>
          <w:color w:val="auto"/>
        </w:rPr>
      </w:pPr>
    </w:p>
    <w:p>
      <w:pPr>
        <w:jc w:val="both"/>
        <w:ind w:hanging="8"/>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(February 14,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hired three executives for newly created positions to support its growth.</w:t>
      </w:r>
    </w:p>
    <w:p>
      <w:pPr>
        <w:spacing w:after="0" w:line="139" w:lineRule="exact"/>
        <w:rPr>
          <w:sz w:val="20"/>
          <w:szCs w:val="20"/>
          <w:color w:val="auto"/>
        </w:rPr>
      </w:pPr>
    </w:p>
    <w:p>
      <w:pPr>
        <w:jc w:val="both"/>
        <w:ind w:hanging="8"/>
        <w:spacing w:after="0" w:line="255" w:lineRule="auto"/>
        <w:rPr>
          <w:sz w:val="20"/>
          <w:szCs w:val="20"/>
          <w:color w:val="auto"/>
        </w:rPr>
      </w:pPr>
      <w:r>
        <w:rPr>
          <w:rFonts w:ascii="Arial" w:cs="Arial" w:eastAsia="Arial" w:hAnsi="Arial"/>
          <w:sz w:val="18"/>
          <w:szCs w:val="18"/>
          <w:color w:val="auto"/>
        </w:rPr>
        <w:t>“Bitfarms is driving dynamic and rapid expansion, which we expect to continue to occur both organically and through acquisitions. To support our growth, we have strengthened our management team,” said Geoff Morphy, President and COO of Bitfarms. “Philippe Fortier will help identify, evaluate, and orchestrate acquisitions and other projects as well as assist with capital markets activities. Andrea Keen Souza will advance our human resources and talent development, particularly for our international operations. Stephanie Wargo will drive our marketing, branding, and communications initiatives. We welcome these key contributors as we forge ahead in farm development and miner optimization to, ultimately, increase our bitcoin production and shareholder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Philippe Fortier, Vice President - Special Projects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Serving in various corporate finance and management roles, Fortier played an essential role in a variety of transactional and growth initiatives, both as a principal and advisor to private and listed organizations for over 10 years. Following five years as a senior auditor at Deloitte, he worked with Cendrex Industries, BDG &amp; Partners, and National Bank Financial Markets. Fortier holds a BBA from HEC Montreal and a MSc from the London School of Economics and Political Science. He is a qualified CPA and is fluent in French, Spanish, and English.</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Andrea Keen Souza, Vice President – Human Resources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Souza is a senior human resources professional with over two decades of international experience in high growth start-ups, scale-ups, and mergers and acquisitions. Most recently, she was People &amp; Culture Leader at Telus Health Virtual Care. Previously, she worked with Bombardier Aerospace and an affiliate of General Electric in South America, among others. Souza holds a Bachelor of Commerce from Mount Allison University, an MBA from the University of São Paulo, and human resources professional certificates in Canada and the United States. Souza is fluent in English, French, Portuguese, and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Stephanie Wargo, Vice President - Marketing</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Wargo brings 25 years experience and depth of knowledge working for rapidly growing financial services companies. Most recently, Wargo served six years as Vice President, Global Marketing for PrimeRevenue, where she managed content strategy, branding, advertising, media relations, among other responsibilities. Beginning her career with Wells Fargo in product management, she subsequently was Vice President, Marketing &amp; Communications for BitPay and Vice President Client Relations &amp; Marketing for FirstView Financial. She is a graduate of Agnes Scott College, Decator, GA.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00" w:lineRule="exact"/>
        <w:rPr>
          <w:sz w:val="20"/>
          <w:szCs w:val="20"/>
          <w:color w:val="auto"/>
        </w:rPr>
      </w:pPr>
    </w:p>
    <w:p>
      <w:pPr>
        <w:spacing w:after="0" w:line="205" w:lineRule="exact"/>
        <w:rPr>
          <w:sz w:val="20"/>
          <w:szCs w:val="20"/>
          <w:color w:val="auto"/>
        </w:rPr>
      </w:pPr>
    </w:p>
    <w:p>
      <w:pPr>
        <w:jc w:val="both"/>
        <w:ind w:hanging="8"/>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19"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43" w:lineRule="exact"/>
        <w:rPr>
          <w:sz w:val="20"/>
          <w:szCs w:val="20"/>
          <w:color w:val="auto"/>
        </w:rPr>
      </w:pPr>
    </w:p>
    <w:p>
      <w:pPr>
        <w:jc w:val="both"/>
        <w:ind w:hanging="8"/>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https://www.facebook.com/bitfarms/ https://twitter.com/Bitfarms_io https://www.instagram.com/bitfarms/ https://www.linkedin.com/company/bitfarms/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25" w:lineRule="exact"/>
        <w:rPr>
          <w:sz w:val="20"/>
          <w:szCs w:val="20"/>
          <w:color w:val="auto"/>
        </w:rPr>
      </w:pPr>
    </w:p>
    <w:p>
      <w:pPr>
        <w:jc w:val="both"/>
        <w:ind w:hanging="8"/>
        <w:spacing w:after="0" w:line="259" w:lineRule="auto"/>
        <w:rPr>
          <w:sz w:val="20"/>
          <w:szCs w:val="20"/>
          <w:color w:val="auto"/>
        </w:rPr>
      </w:pPr>
      <w:r>
        <w:rPr>
          <w:rFonts w:ascii="Arial" w:cs="Arial" w:eastAsia="Arial" w:hAnsi="Arial"/>
          <w:sz w:val="18"/>
          <w:szCs w:val="18"/>
          <w:i w:val="1"/>
          <w:iCs w:val="1"/>
          <w:color w:val="444444"/>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39" w:lineRule="exact"/>
        <w:rPr>
          <w:sz w:val="20"/>
          <w:szCs w:val="20"/>
          <w:color w:val="auto"/>
        </w:rPr>
      </w:pPr>
    </w:p>
    <w:p>
      <w:pPr>
        <w:jc w:val="both"/>
        <w:ind w:hanging="8"/>
        <w:spacing w:after="0" w:line="290" w:lineRule="auto"/>
        <w:rPr>
          <w:sz w:val="20"/>
          <w:szCs w:val="20"/>
          <w:color w:val="auto"/>
        </w:rPr>
      </w:pPr>
      <w:r>
        <w:rPr>
          <w:rFonts w:ascii="Arial" w:cs="Arial" w:eastAsia="Arial" w:hAnsi="Arial"/>
          <w:sz w:val="16"/>
          <w:szCs w:val="16"/>
          <w:i w:val="1"/>
          <w:iCs w:val="1"/>
          <w:color w:val="444444"/>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the Company’s expected growth, acquisitions and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jc w:val="both"/>
        <w:ind w:hanging="8"/>
        <w:spacing w:after="0" w:line="257" w:lineRule="auto"/>
        <w:rPr>
          <w:sz w:val="20"/>
          <w:szCs w:val="20"/>
          <w:color w:val="auto"/>
        </w:rPr>
      </w:pPr>
      <w:r>
        <w:rPr>
          <w:rFonts w:ascii="Arial" w:cs="Arial" w:eastAsia="Arial" w:hAnsi="Arial"/>
          <w:sz w:val="18"/>
          <w:szCs w:val="18"/>
          <w:i w:val="1"/>
          <w:iCs w:val="1"/>
          <w:color w:val="444444"/>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 w:name="page8"/>
    <w:bookmarkEnd w:id="7"/>
    <w:p>
      <w:pPr>
        <w:jc w:val="both"/>
        <w:ind w:hanging="8"/>
        <w:spacing w:after="0" w:line="283" w:lineRule="auto"/>
        <w:rPr>
          <w:sz w:val="20"/>
          <w:szCs w:val="20"/>
          <w:color w:val="auto"/>
        </w:rPr>
      </w:pPr>
      <w:r>
        <w:rPr>
          <w:rFonts w:ascii="Arial" w:cs="Arial" w:eastAsia="Arial" w:hAnsi="Arial"/>
          <w:sz w:val="16"/>
          <w:szCs w:val="16"/>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2022-02-14T16:05:54Z</dcterms:created>
  <dcterms:modified xsi:type="dcterms:W3CDTF">2022-02-14T16:05:54Z</dcterms:modified>
</cp:coreProperties>
</file>