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BITFARMS LTD.</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142875</wp:posOffset>
            </wp:positionV>
            <wp:extent cx="203136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Issues Statement to Address Misleading Claims from Riot</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Reiterates Commitment to Value Creation -</w:t>
      </w:r>
    </w:p>
    <w:p>
      <w:pPr>
        <w:spacing w:after="0" w:line="223"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4"/>
          <w:szCs w:val="24"/>
          <w:color w:val="auto"/>
        </w:rPr>
      </w:pPr>
    </w:p>
    <w:p>
      <w:pPr>
        <w:jc w:val="both"/>
        <w:ind w:hanging="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(September 4, 2024) </w:t>
      </w:r>
      <w:r>
        <w:rPr>
          <w:rFonts w:ascii="Times New Roman" w:cs="Times New Roman" w:eastAsia="Times New Roman" w:hAnsi="Times New Roman"/>
          <w:sz w:val="18"/>
          <w:szCs w:val="18"/>
          <w:color w:val="auto"/>
        </w:rPr>
        <w:t>- Bitfarms Ltd. (NASDAQ/TSX: BITF), a global leader in vertically integrated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center operations, today issued the following statement in response to the amended requisition proposal and associated misleading claims made by Riot Platforms, Inc. (“Riot”).</w:t>
      </w:r>
    </w:p>
    <w:p>
      <w:pPr>
        <w:spacing w:after="0" w:line="175" w:lineRule="exact"/>
        <w:rPr>
          <w:sz w:val="24"/>
          <w:szCs w:val="24"/>
          <w:color w:val="auto"/>
        </w:rPr>
      </w:pPr>
    </w:p>
    <w:p>
      <w:pPr>
        <w:jc w:val="both"/>
        <w:ind w:left="240" w:hanging="11"/>
        <w:spacing w:after="0" w:line="261" w:lineRule="auto"/>
        <w:rPr>
          <w:sz w:val="20"/>
          <w:szCs w:val="20"/>
          <w:color w:val="auto"/>
        </w:rPr>
      </w:pPr>
      <w:r>
        <w:rPr>
          <w:rFonts w:ascii="Times New Roman" w:cs="Times New Roman" w:eastAsia="Times New Roman" w:hAnsi="Times New Roman"/>
          <w:sz w:val="18"/>
          <w:szCs w:val="18"/>
          <w:color w:val="auto"/>
        </w:rPr>
        <w:t>“The upcoming special meeting is not about corporate governance, as Riot has repeatedly positioned it to be, but rather about Riot attempting to acquire Bitfarms at a discounted price for the benefit of Riot shareholders, not Bitfarms shareholders. Riot has declined to engage with us constructively – including by refusing to enter into a standard non-disclosure agreement with Bitfarms or put forth a revised proposal for our consideration – and has instead taken to public attacks and actions to harm the interests of other Bitfarms shareholders.</w:t>
      </w:r>
    </w:p>
    <w:p>
      <w:pPr>
        <w:spacing w:after="0" w:line="180" w:lineRule="exact"/>
        <w:rPr>
          <w:sz w:val="24"/>
          <w:szCs w:val="24"/>
          <w:color w:val="auto"/>
        </w:rPr>
      </w:pPr>
    </w:p>
    <w:p>
      <w:pPr>
        <w:jc w:val="both"/>
        <w:ind w:left="240" w:hanging="11"/>
        <w:spacing w:after="0" w:line="261" w:lineRule="auto"/>
        <w:rPr>
          <w:sz w:val="20"/>
          <w:szCs w:val="20"/>
          <w:color w:val="auto"/>
        </w:rPr>
      </w:pPr>
      <w:r>
        <w:rPr>
          <w:rFonts w:ascii="Times New Roman" w:cs="Times New Roman" w:eastAsia="Times New Roman" w:hAnsi="Times New Roman"/>
          <w:sz w:val="18"/>
          <w:szCs w:val="18"/>
          <w:color w:val="auto"/>
        </w:rPr>
        <w:t>The recent Board and leadership changes that Bitfarms has implemented were made independently of Riot, on behalf of all of our shareholders, to ensure the right team is in place to enhance shareholder value at Bitfarms, not for Riot’s benefit and approval. The Bitfarms team is best-in-class, comprising the right mix of skills and experience to effectively oversee the Company’s strategic plan. On the contrary, it is not clear how Riot’s nominees could enhance the Board.</w:t>
      </w:r>
    </w:p>
    <w:p>
      <w:pPr>
        <w:spacing w:after="0" w:line="180" w:lineRule="exact"/>
        <w:rPr>
          <w:sz w:val="24"/>
          <w:szCs w:val="24"/>
          <w:color w:val="auto"/>
        </w:rPr>
      </w:pPr>
    </w:p>
    <w:p>
      <w:pPr>
        <w:jc w:val="both"/>
        <w:ind w:left="240" w:hanging="11"/>
        <w:spacing w:after="0" w:line="261" w:lineRule="auto"/>
        <w:rPr>
          <w:sz w:val="20"/>
          <w:szCs w:val="20"/>
          <w:color w:val="auto"/>
        </w:rPr>
      </w:pPr>
      <w:r>
        <w:rPr>
          <w:rFonts w:ascii="Times New Roman" w:cs="Times New Roman" w:eastAsia="Times New Roman" w:hAnsi="Times New Roman"/>
          <w:sz w:val="18"/>
          <w:szCs w:val="18"/>
          <w:color w:val="auto"/>
        </w:rPr>
        <w:t>Our recent proposed acquisition of Stronghold is consistent with our strategy to diversify our access to power and also rebalances our energy portfolio towards the U.S. Through this transaction, we will leverage our operational expertise and proprietary data analytics system to build on Stronghold’s capabilities and further optimize its sites to advance the combined company’s position in the marketplace. The transaction could add up to 307 MW of power capacity and is expected to put Bitfarms on track to increase its energy portfolio to over 950 MW, with nearly 50% in the U.S., by year-end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left="240" w:hanging="11"/>
        <w:spacing w:after="0" w:line="282" w:lineRule="auto"/>
        <w:rPr>
          <w:sz w:val="20"/>
          <w:szCs w:val="20"/>
          <w:color w:val="auto"/>
        </w:rPr>
      </w:pPr>
      <w:r>
        <w:rPr>
          <w:rFonts w:ascii="Times New Roman" w:cs="Times New Roman" w:eastAsia="Times New Roman" w:hAnsi="Times New Roman"/>
          <w:sz w:val="18"/>
          <w:szCs w:val="18"/>
          <w:color w:val="auto"/>
        </w:rPr>
        <w:t>The Board and management team are focused on the tremendous value-enhancing opportunity this transaction presents for Bitfarms and our shareholders. We remain steadfast in our commitment to delivering exceptional value in the near- and long-term.”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will consider and respond to Riot’s amended requisition proposal in due course. No shareholder action is required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www.bitfarms.com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 = High-performance computing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 Artificial intelligence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GW or GWh – Gigawatts or gigawatt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BTC equivalent exposure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benefits of recent leadership changes made by the Company and the qualities of those candidates, the merits off the Stronghold acquisition including the Sharon mega-site with access to up to 120 MW and in respect of the letter of intent for a lease to an additional 10 MW site in Sharon (collectively, the “</w:t>
      </w:r>
      <w:r>
        <w:rPr>
          <w:rFonts w:ascii="Times New Roman" w:cs="Times New Roman" w:eastAsia="Times New Roman" w:hAnsi="Times New Roman"/>
          <w:sz w:val="18"/>
          <w:szCs w:val="18"/>
          <w:b w:val="1"/>
          <w:bCs w:val="1"/>
          <w:i w:val="1"/>
          <w:iCs w:val="1"/>
          <w:color w:val="auto"/>
        </w:rPr>
        <w:t>Sharon Acquisitions</w:t>
      </w:r>
      <w:r>
        <w:rPr>
          <w:rFonts w:ascii="Times New Roman" w:cs="Times New Roman" w:eastAsia="Times New Roman" w:hAnsi="Times New Roman"/>
          <w:sz w:val="18"/>
          <w:szCs w:val="18"/>
          <w:i w:val="1"/>
          <w:iCs w:val="1"/>
          <w:color w:val="auto"/>
        </w:rPr>
        <w:t>”), and other statements regarding future growth, plans and objectives of the Company are forward-looking information.</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Stronghold acquisition; the letter of intent on the 10 MW is subject to entering into a definitive lease agreement and TSX approval, none of which is assured; the power purchase agreements and economics thereof may not be as advantageous as expected; the inability of Bitfarms to operate the plants as anticipated following consummation of the Sharon Acquisitions;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each of Bitfarms’, Stronghold’s or the combined company’s ability to utilize an at-the-market offering program (each, an “ATM Program”) and the prices at which securities may be sold in each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any of Bitfarms, Stronghold or the combined company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Stronghold’s filings on www.sec.gov, including the Annual Report on Form 10-K for the fiscal year ended 2023, filed on March 8, 2024, the Quarterly Report on Form 10-Q for the fiscal quarter ended March 31, 2024, filed on May 8, 2024, the Quarterly Report on Form 10-Q for the fiscal quarter ended June 30, 2024, filed on August 14, 2024, and subsequent reports on Forms 10-Q and 8-K. Although each of Bitfarms and Stronghold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Accordingly, readers should not place undue reliance on any forward-looking information. Neither Bitfarms nor Stronghold undertakes any obligation to revise or update any forward-looking information other than as required by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about the Merger and Where to Find 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Merger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2024-09-04T16:45:36Z</dcterms:created>
  <dcterms:modified xsi:type="dcterms:W3CDTF">2024-09-04T16:45:36Z</dcterms:modified>
</cp:coreProperties>
</file>