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36511-6k_bitfarms.htm"/>
      <w:bookmarkStart w:id="1" w:name="ksea02365116k_bitfarms"/>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b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979" w:right="979" w:hanging="0"/>
        <w:jc w:val="center"/>
        <w:rPr>
          <w:caps w:val="false"/>
          <w:smallCaps w:val="false"/>
        </w:rPr>
      </w:pPr>
      <w:r>
        <w:rPr>
          <w:caps w:val="false"/>
          <w:smallCaps w:val="false"/>
        </w:rPr>
        <w:t> </w:t>
      </w:r>
    </w:p>
    <w:p>
      <w:pPr>
        <w:pStyle w:val="TextBody"/>
        <w:bidi w:val="0"/>
        <w:ind w:left="979" w:right="979" w:hanging="0"/>
        <w:jc w:val="left"/>
        <w:rPr>
          <w:bdr w:val="single" w:sz="12" w:space="1" w:color="000000"/>
        </w:rPr>
      </w:pPr>
      <w:r>
        <w:rPr>
          <w:bdr w:val="single" w:sz="12" w:space="1" w:color="000000"/>
        </w:rPr>
        <w:t> </w:t>
      </w:r>
    </w:p>
    <w:p>
      <w:pPr>
        <w:pStyle w:val="TextBody"/>
        <w:bidi w:val="0"/>
        <w:spacing w:before="0" w:after="0"/>
        <w:ind w:left="979" w:right="979" w:hanging="0"/>
        <w:jc w:val="center"/>
        <w:rPr>
          <w:caps w:val="false"/>
          <w:smallCaps w:val="false"/>
        </w:rPr>
      </w:pPr>
      <w:r>
        <w:rPr>
          <w:caps w:val="false"/>
          <w:smallCaps w:val="false"/>
        </w:rPr>
        <w:t> </w:t>
      </w:r>
    </w:p>
    <w:p>
      <w:pPr>
        <w:pStyle w:val="TextBody"/>
        <w:bidi w:val="0"/>
        <w:spacing w:before="0" w:after="0"/>
        <w:ind w:left="160" w:right="1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pPr>
      <w:r>
        <w:rPr>
          <w:rFonts w:ascii="Times New Roman;Times;Serif" w:hAnsi="Times New Roman;Times;Serif"/>
          <w:b w:val="false"/>
          <w:i w:val="false"/>
          <w:caps w:val="false"/>
          <w:smallCaps w:val="false"/>
          <w:sz w:val="20"/>
        </w:rPr>
        <w:t xml:space="preserve">On April 1, 2025, the Registrant filed with the Canadian Securities Regulatory Authorities on the System for Electronic Data Analysis and Retrieval + (SEDAR +) a press release, a copy of which is attached hereto as Exhibit 99.1. Exhibit 99.1 is hereby incorporated by reference into the Registration Statement of Bitfarms Ltd. on Form F-10 (File No. </w:t>
      </w:r>
      <w:hyperlink r:id="rId2">
        <w:r>
          <w:rPr>
            <w:rStyle w:val="InternetLink"/>
            <w:rFonts w:ascii="Times New Roman;Times;Serif" w:hAnsi="Times New Roman;Times;Serif"/>
            <w:b w:val="false"/>
            <w:i w:val="false"/>
            <w:caps w:val="false"/>
            <w:smallCaps w:val="false"/>
            <w:sz w:val="20"/>
          </w:rPr>
          <w:t>333-272989</w:t>
        </w:r>
      </w:hyperlink>
      <w:r>
        <w:rPr>
          <w:rFonts w:ascii="Times New Roman;Times;Serif" w:hAnsi="Times New Roman;Times;Serif"/>
          <w:b w:val="false"/>
          <w:i w:val="false"/>
          <w:caps w:val="false"/>
          <w:smallCaps w:val="false"/>
          <w:sz w:val="20"/>
        </w:rPr>
        <w:t>), as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980"/>
        <w:gridCol w:w="60"/>
        <w:gridCol w:w="2660"/>
      </w:tblGrid>
      <w:tr>
        <w:trPr/>
        <w:tc>
          <w:tcPr>
            <w:tcW w:w="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vAlign w:val="center"/>
          </w:tcPr>
          <w:p>
            <w:pPr>
              <w:pStyle w:val="TableContents"/>
              <w:bidi w:val="0"/>
              <w:spacing w:before="0" w:after="283"/>
              <w:jc w:val="left"/>
              <w:rPr/>
            </w:pPr>
            <w:r>
              <w:rPr/>
              <w:t> </w:t>
            </w:r>
          </w:p>
        </w:tc>
        <w:tc>
          <w:tcPr>
            <w:tcW w:w="26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both"/>
              <w:rPr/>
            </w:pPr>
            <w:hyperlink w:anchor="ea023651101ex99-1_bitfarms.htm">
              <w:r>
                <w:rPr>
                  <w:rStyle w:val="InternetLink"/>
                  <w:rFonts w:ascii="Times New Roman;Times;Serif" w:hAnsi="Times New Roman;Times;Serif"/>
                  <w:sz w:val="20"/>
                </w:rPr>
                <w:t>Press release dated April 1, 2025</w:t>
              </w:r>
            </w:hyperlink>
          </w:p>
        </w:tc>
      </w:tr>
    </w:tbl>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2955" w:type="dxa"/>
        <w:jc w:val="left"/>
        <w:tblInd w:w="0" w:type="dxa"/>
        <w:tblLayout w:type="fixed"/>
        <w:tblCellMar>
          <w:top w:w="0" w:type="dxa"/>
          <w:left w:w="0" w:type="dxa"/>
          <w:bottom w:w="0" w:type="dxa"/>
          <w:right w:w="0" w:type="dxa"/>
        </w:tblCellMar>
      </w:tblPr>
      <w:tblGrid>
        <w:gridCol w:w="75"/>
        <w:gridCol w:w="320"/>
        <w:gridCol w:w="545"/>
        <w:gridCol w:w="2015"/>
      </w:tblGrid>
      <w:tr>
        <w:trPr/>
        <w:tc>
          <w:tcPr>
            <w:tcW w:w="75" w:type="dxa"/>
            <w:tcBorders/>
            <w:vAlign w:val="center"/>
          </w:tcPr>
          <w:p>
            <w:pPr>
              <w:pStyle w:val="TableContents"/>
              <w:bidi w:val="0"/>
              <w:spacing w:before="0" w:after="283"/>
              <w:jc w:val="left"/>
              <w:rPr/>
            </w:pPr>
            <w:r>
              <w:rPr/>
              <w:t> </w:t>
            </w:r>
          </w:p>
        </w:tc>
        <w:tc>
          <w:tcPr>
            <w:tcW w:w="288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75" w:type="dxa"/>
            <w:tcBorders/>
            <w:vAlign w:val="center"/>
          </w:tcPr>
          <w:p>
            <w:pPr>
              <w:pStyle w:val="TableContents"/>
              <w:bidi w:val="0"/>
              <w:spacing w:before="0" w:after="283"/>
              <w:jc w:val="left"/>
              <w:rPr/>
            </w:pPr>
            <w:r>
              <w:rPr/>
              <w:t> </w:t>
            </w:r>
          </w:p>
        </w:tc>
        <w:tc>
          <w:tcPr>
            <w:tcW w:w="28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6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Ben Gagnon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15" w:type="dxa"/>
            <w:tcBorders/>
            <w:vAlign w:val="center"/>
          </w:tcPr>
          <w:p>
            <w:pPr>
              <w:pStyle w:val="TableContents"/>
              <w:bidi w:val="0"/>
              <w:spacing w:before="0" w:after="283"/>
              <w:jc w:val="left"/>
              <w:rPr/>
            </w:pPr>
            <w:r>
              <w:rPr/>
              <w:t> </w:t>
            </w:r>
            <w:r>
              <w:rPr>
                <w:rFonts w:ascii="Times New Roman;Times;Serif" w:hAnsi="Times New Roman;Times;Serif"/>
                <w:sz w:val="20"/>
              </w:rPr>
              <w:t>Ben Gagnon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pPr>
            <w:r>
              <w:rPr/>
              <w:t> </w:t>
            </w: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2025</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2</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23651101ex99-1_bitfarms.htm"/>
      <w:bookmarkStart w:id="3" w:name="ksea023651101ex991_bitfarms"/>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26193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619375" cy="43815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Bitfarms Provides March 2025 Production and Operations Update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Operational hashrate of 19.5 EHuM and fleet efficiency of 19 w/TH–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-Completes acquisition of Stronghold Digital Mining &amp; sale of Yguazu, Paraguay data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two new key HPC/AI and Infrastructure Executives-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second amended and restated prospectus supplement dated December 17, 2024, to its short form base shelf prospectus dated November 10,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(April 1, 2025)</w:t>
      </w:r>
      <w:r>
        <w:rPr>
          <w:rFonts w:ascii="Times New Roman;Times;Serif" w:hAnsi="Times New Roman;Times;Serif"/>
          <w:b w:val="false"/>
          <w:i w:val="false"/>
          <w:caps w:val="false"/>
          <w:smallCaps w:val="false"/>
          <w:sz w:val="20"/>
        </w:rPr>
        <w:t xml:space="preserve"> - Bitfarms Ltd. (NASDAQ/TSX: BITF), a global energy and compute infrastructure company, today issued its latest monthly production report. All financial references are in U.S. dollars.</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Ben Gagnon stated, “March was a very productive month for Bitfarms. We successfully closed both our transformative acquisition of Stronghold Digital Mining, the largest M&amp;A deal between two public miners in our industry, and the strategic sale of our 200 MW Yguazu data center. Through these transactions, we have rebalanced our portfolio to the U.S. where we expect to achieve greater yields per MW, reduced our average cost of power across our portfolio, minimized our 2025 capex requirements, and secured highly desirable sites that will enable us to diversify beyond Bitcoin mining into HPC/AI and energy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we advanced our HPC/AI strategy with both the appointments of James Bond, SVP of HPC, and Craig Hibbard, SVP of Infrastructure, and the continued evaluation of our three Pennsylvania sites for potential HPC conversion. Initial studies from our strategic partners confirmed that all three sites are well-suited: they are strategically located near other data center campuses and peering hubs and they have the necessary power, land and fiber infrastructure to support HPC. We expect to receive full, detailed feasibility studies in Q2. With the steps we’ve taken in Q1, we now have the properties, internal team, and strategic engineering and marketing advisors in place, taking a holistic approach to advancing our HPC/AI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of Global Mining Operations Alex Brammer said, “During March we grew our operational hashrate 21% to 19.5 EHuM and reached our Q2 efficiency target of 19 w/TH three months ahead of schedule. Our energy portfolio is now larger and more efficient, with stronger operating economics and significant U.S. growth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March 2025 Select Operating Highlights</w:t>
      </w:r>
    </w:p>
    <w:p>
      <w:pPr>
        <w:pStyle w:val="TextBody"/>
        <w:bidi w:val="0"/>
        <w:spacing w:before="0" w:after="0"/>
        <w:ind w:left="0" w:right="0" w:hanging="0"/>
        <w:jc w:val="both"/>
        <w:rPr>
          <w:caps w:val="false"/>
          <w:smallCaps w:val="false"/>
        </w:rPr>
      </w:pPr>
      <w:r>
        <w:rPr>
          <w:caps w:val="false"/>
          <w:smallCaps w:val="false"/>
        </w:rPr>
        <w:t> </w:t>
      </w:r>
    </w:p>
    <w:tbl>
      <w:tblPr>
        <w:tblW w:w="5773" w:type="dxa"/>
        <w:jc w:val="left"/>
        <w:tblInd w:w="0" w:type="dxa"/>
        <w:tblLayout w:type="fixed"/>
        <w:tblCellMar>
          <w:top w:w="0" w:type="dxa"/>
          <w:left w:w="0" w:type="dxa"/>
          <w:bottom w:w="28" w:type="dxa"/>
          <w:right w:w="0" w:type="dxa"/>
        </w:tblCellMar>
      </w:tblPr>
      <w:tblGrid>
        <w:gridCol w:w="3320"/>
        <w:gridCol w:w="60"/>
        <w:gridCol w:w="136"/>
        <w:gridCol w:w="1008"/>
        <w:gridCol w:w="60"/>
        <w:gridCol w:w="60"/>
        <w:gridCol w:w="126"/>
        <w:gridCol w:w="928"/>
        <w:gridCol w:w="75"/>
      </w:tblGrid>
      <w:tr>
        <w:trPr/>
        <w:tc>
          <w:tcPr>
            <w:tcW w:w="3320" w:type="dxa"/>
            <w:tcBorders>
              <w:bottom w:val="single" w:sz="12" w:space="0" w:color="000000"/>
            </w:tcBorders>
            <w:vAlign w:val="center"/>
          </w:tcPr>
          <w:p>
            <w:pPr>
              <w:pStyle w:val="TableContents"/>
              <w:bidi w:val="0"/>
              <w:spacing w:before="0" w:after="283"/>
              <w:jc w:val="left"/>
              <w:rPr>
                <w:b/>
              </w:rPr>
            </w:pPr>
            <w:r>
              <w:rPr>
                <w:b/>
              </w:rPr>
              <w:t>Key Performance Indicators</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March </w:t>
              <w:br/>
              <w:t>2025</w:t>
              <w:br/>
              <w:t>(proforma)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 xml:space="preserve">February </w:t>
              <w:br/>
              <w:t>2025</w:t>
            </w:r>
          </w:p>
        </w:tc>
        <w:tc>
          <w:tcPr>
            <w:tcW w:w="75" w:type="dxa"/>
            <w:tcBorders/>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Total BTC earned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8" w:type="dxa"/>
            <w:tcBorders/>
            <w:shd w:fill="CCEEFF" w:val="clear"/>
            <w:tcMar>
              <w:bottom w:w="0" w:type="dxa"/>
            </w:tcMar>
            <w:vAlign w:val="center"/>
          </w:tcPr>
          <w:p>
            <w:pPr>
              <w:pStyle w:val="TableContents"/>
              <w:bidi w:val="0"/>
              <w:spacing w:before="0" w:after="283"/>
              <w:jc w:val="right"/>
              <w:rPr/>
            </w:pPr>
            <w:r>
              <w:rPr/>
              <w:t>213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Month End Operating EHuM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8" w:type="dxa"/>
            <w:tcBorders/>
            <w:shd w:fill="FFFFFF" w:val="clear"/>
            <w:tcMar>
              <w:bottom w:w="0" w:type="dxa"/>
            </w:tcMar>
            <w:vAlign w:val="center"/>
          </w:tcPr>
          <w:p>
            <w:pPr>
              <w:pStyle w:val="TableContents"/>
              <w:bidi w:val="0"/>
              <w:spacing w:before="0" w:after="283"/>
              <w:jc w:val="right"/>
              <w:rPr/>
            </w:pPr>
            <w:r>
              <w:rPr/>
              <w:t>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BTC/Avg. EH/s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8"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Average Operating EHuM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8" w:type="dxa"/>
            <w:tcBorders/>
            <w:shd w:fill="FFFFFF" w:val="clear"/>
            <w:tcMar>
              <w:bottom w:w="0" w:type="dxa"/>
            </w:tcMar>
            <w:vAlign w:val="center"/>
          </w:tcPr>
          <w:p>
            <w:pPr>
              <w:pStyle w:val="TableContents"/>
              <w:bidi w:val="0"/>
              <w:spacing w:before="0" w:after="283"/>
              <w:jc w:val="right"/>
              <w:rPr/>
            </w:pPr>
            <w:r>
              <w:rPr/>
              <w:t>13.4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Energized Capacity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8" w:type="dxa"/>
            <w:tcBorders/>
            <w:shd w:fill="CCEEFF" w:val="clear"/>
            <w:tcMar>
              <w:bottom w:w="0" w:type="dxa"/>
            </w:tcMar>
            <w:vAlign w:val="center"/>
          </w:tcPr>
          <w:p>
            <w:pPr>
              <w:pStyle w:val="TableContents"/>
              <w:bidi w:val="0"/>
              <w:spacing w:before="0" w:after="283"/>
              <w:jc w:val="right"/>
              <w:rPr/>
            </w:pPr>
            <w:r>
              <w:rPr/>
              <w:t>437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Watts/Terahash Efficiency (w/TH)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8" w:type="dxa"/>
            <w:tcBorders/>
            <w:shd w:fill="FFFFFF" w:val="clear"/>
            <w:tcMar>
              <w:bottom w:w="0" w:type="dxa"/>
            </w:tcMar>
            <w:vAlign w:val="center"/>
          </w:tcPr>
          <w:p>
            <w:pPr>
              <w:pStyle w:val="TableContents"/>
              <w:bidi w:val="0"/>
              <w:spacing w:before="0" w:after="283"/>
              <w:jc w:val="right"/>
              <w:rPr/>
            </w:pPr>
            <w:r>
              <w:rPr/>
              <w:t>20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19.5 EHuM operational at March 31, 2025, up 21% M/M.</w:t>
            </w:r>
          </w:p>
        </w:tc>
      </w:tr>
    </w:tbl>
    <w:p>
      <w:pPr>
        <w:pStyle w:val="TextBody"/>
        <w:bidi w:val="0"/>
        <w:spacing w:before="0" w:after="283"/>
        <w:jc w:val="left"/>
        <w:rPr/>
      </w:pPr>
      <w:r>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16.4 EHuM average operational, up 22% M/M. </w:t>
            </w:r>
          </w:p>
        </w:tc>
      </w:tr>
    </w:tbl>
    <w:p>
      <w:pPr>
        <w:pStyle w:val="TextBody"/>
        <w:bidi w:val="0"/>
        <w:spacing w:before="0" w:after="283"/>
        <w:jc w:val="left"/>
        <w:rPr/>
      </w:pPr>
      <w:r>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 BTC/average EHuM, 6% higher M/M.</w:t>
            </w:r>
          </w:p>
        </w:tc>
      </w:tr>
    </w:tbl>
    <w:p>
      <w:pPr>
        <w:pStyle w:val="TextBody"/>
        <w:bidi w:val="0"/>
        <w:spacing w:before="0" w:after="283"/>
        <w:jc w:val="left"/>
        <w:rPr/>
      </w:pPr>
      <w:r>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280 BTC earned on a proforma basis, 31% higher M/M.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 BTC earned daily on average, equal to ~$738,000 per day based on a BTC price of $82,000 at March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March 2025 Financial Update</w:t>
      </w:r>
    </w:p>
    <w:p>
      <w:pPr>
        <w:pStyle w:val="TextBody"/>
        <w:bidi w:val="0"/>
        <w:spacing w:before="0" w:after="283"/>
        <w:jc w:val="left"/>
        <w:rPr/>
      </w:pPr>
      <w:r>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liquidity of $132 million, including approximately $39 million in cash at March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Treasury of 1,140 BTC, down from 1,260 BTC last month and representing $93.4 million based on the Bitcoin price of $82,000 at March 31, 2025.</w:t>
            </w:r>
          </w:p>
        </w:tc>
      </w:tr>
    </w:tbl>
    <w:p>
      <w:pPr>
        <w:pStyle w:val="TextBody"/>
        <w:bidi w:val="0"/>
        <w:spacing w:before="0" w:after="0"/>
        <w:ind w:left="360" w:right="0" w:hanging="0"/>
        <w:jc w:val="both"/>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energy and compute infrastructure company that develops, owns, and operates vertically integrated energy generation and data centers. Bitfarms currently has 15 operating data centers situated in four countries: the United States, Canada, Argentina and Paraguay.</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br/>
        <w:t>https://x.com/Bitfarms_io</w:t>
        <w:br/>
        <w:t>https://www.instagram.com/bitfarms/</w:t>
        <w:br/>
        <w:t>https://www.linkedin.com/company/bitfarms/</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Y/Y or M/M= year over year or month over month</w:t>
            </w:r>
          </w:p>
        </w:tc>
      </w:tr>
    </w:tbl>
    <w:p>
      <w:pPr>
        <w:pStyle w:val="TextBody"/>
        <w:bidi w:val="0"/>
        <w:spacing w:before="0" w:after="283"/>
        <w:jc w:val="left"/>
        <w:rPr/>
      </w:pPr>
      <w:r>
        <w:rPr/>
        <w:t> </w:t>
      </w:r>
    </w:p>
    <w:tbl>
      <w:tblPr>
        <w:tblW w:w="5000" w:type="pct"/>
        <w:jc w:val="left"/>
        <w:tblInd w:w="0" w:type="dxa"/>
        <w:shd w:fill="FEFEFE" w:val="clear"/>
        <w:tblLayout w:type="fixed"/>
        <w:tblCellMar>
          <w:top w:w="0" w:type="dxa"/>
          <w:left w:w="0" w:type="dxa"/>
          <w:bottom w:w="0" w:type="dxa"/>
          <w:right w:w="0" w:type="dxa"/>
        </w:tblCellMar>
      </w:tblPr>
      <w:tblGrid>
        <w:gridCol w:w="83"/>
        <w:gridCol w:w="375"/>
        <w:gridCol w:w="9747"/>
      </w:tblGrid>
      <w:tr>
        <w:trPr/>
        <w:tc>
          <w:tcPr>
            <w:tcW w:w="83" w:type="dxa"/>
            <w:tcBorders/>
            <w:shd w:fill="FEFEFE" w:val="clear"/>
            <w:vAlign w:val="center"/>
          </w:tcPr>
          <w:p>
            <w:pPr>
              <w:pStyle w:val="TableContents"/>
              <w:bidi w:val="0"/>
              <w:spacing w:before="0" w:after="283"/>
              <w:jc w:val="left"/>
              <w:rPr>
                <w:sz w:val="4"/>
                <w:szCs w:val="4"/>
              </w:rPr>
            </w:pPr>
            <w:r>
              <w:rPr>
                <w:sz w:val="4"/>
                <w:szCs w:val="4"/>
              </w:rPr>
            </w:r>
          </w:p>
        </w:tc>
        <w:tc>
          <w:tcPr>
            <w:tcW w:w="375" w:type="dxa"/>
            <w:tcBorders/>
            <w:shd w:fill="FEFEFE" w:val="clear"/>
            <w:vAlign w:val="center"/>
          </w:tcPr>
          <w:p>
            <w:pPr>
              <w:pStyle w:val="TableContents"/>
              <w:bidi w:val="0"/>
              <w:spacing w:before="0" w:after="283"/>
              <w:jc w:val="left"/>
              <w:rPr/>
            </w:pPr>
            <w:r>
              <w:rPr/>
              <w:t>●</w:t>
            </w:r>
          </w:p>
        </w:tc>
        <w:tc>
          <w:tcPr>
            <w:tcW w:w="9747" w:type="dxa"/>
            <w:tcBorders/>
            <w:shd w:fill="FEFEFE"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BTC or BTC/day = Bitcoin or Bitcoin per day</w:t>
            </w:r>
          </w:p>
        </w:tc>
      </w:tr>
    </w:tbl>
    <w:p>
      <w:pPr>
        <w:pStyle w:val="TextBody"/>
        <w:shd w:fill="FEFEFE"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EFEFE" w:val="clear"/>
        <w:tblLayout w:type="fixed"/>
        <w:tblCellMar>
          <w:top w:w="0" w:type="dxa"/>
          <w:left w:w="0" w:type="dxa"/>
          <w:bottom w:w="0" w:type="dxa"/>
          <w:right w:w="0" w:type="dxa"/>
        </w:tblCellMar>
      </w:tblPr>
      <w:tblGrid>
        <w:gridCol w:w="82"/>
        <w:gridCol w:w="369"/>
        <w:gridCol w:w="9754"/>
      </w:tblGrid>
      <w:tr>
        <w:trPr/>
        <w:tc>
          <w:tcPr>
            <w:tcW w:w="82" w:type="dxa"/>
            <w:tcBorders/>
            <w:shd w:fill="FEFEFE" w:val="clear"/>
            <w:vAlign w:val="center"/>
          </w:tcPr>
          <w:p>
            <w:pPr>
              <w:pStyle w:val="TableContents"/>
              <w:bidi w:val="0"/>
              <w:spacing w:before="0" w:after="283"/>
              <w:jc w:val="left"/>
              <w:rPr>
                <w:sz w:val="4"/>
                <w:szCs w:val="4"/>
              </w:rPr>
            </w:pPr>
            <w:r>
              <w:rPr>
                <w:sz w:val="4"/>
                <w:szCs w:val="4"/>
              </w:rPr>
            </w:r>
          </w:p>
        </w:tc>
        <w:tc>
          <w:tcPr>
            <w:tcW w:w="369" w:type="dxa"/>
            <w:tcBorders/>
            <w:shd w:fill="FEFEFE" w:val="clear"/>
            <w:vAlign w:val="center"/>
          </w:tcPr>
          <w:p>
            <w:pPr>
              <w:pStyle w:val="TableContents"/>
              <w:bidi w:val="0"/>
              <w:spacing w:before="0" w:after="283"/>
              <w:jc w:val="left"/>
              <w:rPr/>
            </w:pPr>
            <w:r>
              <w:rPr/>
              <w:t>●</w:t>
            </w:r>
          </w:p>
        </w:tc>
        <w:tc>
          <w:tcPr>
            <w:tcW w:w="9754" w:type="dxa"/>
            <w:tcBorders/>
            <w:shd w:fill="FEFEFE"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EH or EH/s = Exahash or exahash per second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EHuM = Exahash Under Management, which includes Bitfarms’ proprietary hashrate and hashrate being hosted by Bitfarms for third-party hosting clients </w:t>
            </w:r>
          </w:p>
        </w:tc>
      </w:tr>
    </w:tbl>
    <w:p>
      <w:pPr>
        <w:pStyle w:val="TextBody"/>
        <w:bidi w:val="0"/>
        <w:spacing w:before="0" w:after="283"/>
        <w:jc w:val="left"/>
        <w:rPr/>
      </w:pPr>
      <w:r>
        <w:rPr/>
        <w:t> </w:t>
      </w:r>
    </w:p>
    <w:tbl>
      <w:tblPr>
        <w:tblW w:w="5000" w:type="pct"/>
        <w:jc w:val="left"/>
        <w:tblInd w:w="0" w:type="dxa"/>
        <w:shd w:fill="FEFEFE" w:val="clear"/>
        <w:tblLayout w:type="fixed"/>
        <w:tblCellMar>
          <w:top w:w="0" w:type="dxa"/>
          <w:left w:w="0" w:type="dxa"/>
          <w:bottom w:w="0" w:type="dxa"/>
          <w:right w:w="0" w:type="dxa"/>
        </w:tblCellMar>
      </w:tblPr>
      <w:tblGrid>
        <w:gridCol w:w="84"/>
        <w:gridCol w:w="380"/>
        <w:gridCol w:w="9741"/>
      </w:tblGrid>
      <w:tr>
        <w:trPr/>
        <w:tc>
          <w:tcPr>
            <w:tcW w:w="84" w:type="dxa"/>
            <w:tcBorders/>
            <w:shd w:fill="FEFEFE" w:val="clear"/>
            <w:vAlign w:val="center"/>
          </w:tcPr>
          <w:p>
            <w:pPr>
              <w:pStyle w:val="TableContents"/>
              <w:bidi w:val="0"/>
              <w:spacing w:before="0" w:after="283"/>
              <w:jc w:val="left"/>
              <w:rPr>
                <w:sz w:val="4"/>
                <w:szCs w:val="4"/>
              </w:rPr>
            </w:pPr>
            <w:r>
              <w:rPr>
                <w:sz w:val="4"/>
                <w:szCs w:val="4"/>
              </w:rPr>
            </w:r>
          </w:p>
        </w:tc>
        <w:tc>
          <w:tcPr>
            <w:tcW w:w="380" w:type="dxa"/>
            <w:tcBorders/>
            <w:shd w:fill="FEFEFE" w:val="clear"/>
            <w:vAlign w:val="center"/>
          </w:tcPr>
          <w:p>
            <w:pPr>
              <w:pStyle w:val="TableContents"/>
              <w:bidi w:val="0"/>
              <w:spacing w:before="0" w:after="283"/>
              <w:jc w:val="left"/>
              <w:rPr/>
            </w:pPr>
            <w:r>
              <w:rPr/>
              <w:t>●</w:t>
            </w:r>
          </w:p>
        </w:tc>
        <w:tc>
          <w:tcPr>
            <w:tcW w:w="9741" w:type="dxa"/>
            <w:tcBorders/>
            <w:shd w:fill="FEFEFE"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MW or MWh = Megawatts or megawatt hour</w:t>
            </w:r>
          </w:p>
        </w:tc>
      </w:tr>
    </w:tbl>
    <w:p>
      <w:pPr>
        <w:pStyle w:val="TextBody"/>
        <w:shd w:fill="FEFEFE"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EFEFE" w:val="clear"/>
        <w:tblLayout w:type="fixed"/>
        <w:tblCellMar>
          <w:top w:w="0" w:type="dxa"/>
          <w:left w:w="0" w:type="dxa"/>
          <w:bottom w:w="0" w:type="dxa"/>
          <w:right w:w="0" w:type="dxa"/>
        </w:tblCellMar>
      </w:tblPr>
      <w:tblGrid>
        <w:gridCol w:w="90"/>
        <w:gridCol w:w="402"/>
        <w:gridCol w:w="9713"/>
      </w:tblGrid>
      <w:tr>
        <w:trPr/>
        <w:tc>
          <w:tcPr>
            <w:tcW w:w="90" w:type="dxa"/>
            <w:tcBorders/>
            <w:shd w:fill="FEFEFE" w:val="clear"/>
            <w:vAlign w:val="center"/>
          </w:tcPr>
          <w:p>
            <w:pPr>
              <w:pStyle w:val="TableContents"/>
              <w:bidi w:val="0"/>
              <w:spacing w:before="0" w:after="283"/>
              <w:jc w:val="left"/>
              <w:rPr>
                <w:sz w:val="4"/>
                <w:szCs w:val="4"/>
              </w:rPr>
            </w:pPr>
            <w:r>
              <w:rPr>
                <w:sz w:val="4"/>
                <w:szCs w:val="4"/>
              </w:rPr>
            </w:r>
          </w:p>
        </w:tc>
        <w:tc>
          <w:tcPr>
            <w:tcW w:w="402" w:type="dxa"/>
            <w:tcBorders/>
            <w:shd w:fill="FEFEFE" w:val="clear"/>
            <w:vAlign w:val="center"/>
          </w:tcPr>
          <w:p>
            <w:pPr>
              <w:pStyle w:val="TableContents"/>
              <w:bidi w:val="0"/>
              <w:spacing w:before="0" w:after="283"/>
              <w:jc w:val="left"/>
              <w:rPr/>
            </w:pPr>
            <w:r>
              <w:rPr/>
              <w:t>●</w:t>
            </w:r>
          </w:p>
        </w:tc>
        <w:tc>
          <w:tcPr>
            <w:tcW w:w="9713" w:type="dxa"/>
            <w:tcBorders/>
            <w:shd w:fill="FEFEFE"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GW or GWh= Gigawatts or gigawatt hour</w:t>
            </w:r>
          </w:p>
        </w:tc>
      </w:tr>
    </w:tbl>
    <w:p>
      <w:pPr>
        <w:pStyle w:val="TextBody"/>
        <w:shd w:fill="FEFEFE"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EFEFE" w:val="clear"/>
        <w:tblLayout w:type="fixed"/>
        <w:tblCellMar>
          <w:top w:w="0" w:type="dxa"/>
          <w:left w:w="0" w:type="dxa"/>
          <w:bottom w:w="0" w:type="dxa"/>
          <w:right w:w="0" w:type="dxa"/>
        </w:tblCellMar>
      </w:tblPr>
      <w:tblGrid>
        <w:gridCol w:w="44"/>
        <w:gridCol w:w="201"/>
        <w:gridCol w:w="9960"/>
      </w:tblGrid>
      <w:tr>
        <w:trPr/>
        <w:tc>
          <w:tcPr>
            <w:tcW w:w="44" w:type="dxa"/>
            <w:tcBorders/>
            <w:shd w:fill="FEFEFE" w:val="clear"/>
            <w:vAlign w:val="center"/>
          </w:tcPr>
          <w:p>
            <w:pPr>
              <w:pStyle w:val="TableContents"/>
              <w:bidi w:val="0"/>
              <w:spacing w:before="0" w:after="283"/>
              <w:jc w:val="left"/>
              <w:rPr>
                <w:sz w:val="4"/>
                <w:szCs w:val="4"/>
              </w:rPr>
            </w:pPr>
            <w:r>
              <w:rPr>
                <w:sz w:val="4"/>
                <w:szCs w:val="4"/>
              </w:rPr>
            </w:r>
          </w:p>
        </w:tc>
        <w:tc>
          <w:tcPr>
            <w:tcW w:w="201" w:type="dxa"/>
            <w:tcBorders/>
            <w:shd w:fill="FEFEFE" w:val="clear"/>
            <w:vAlign w:val="center"/>
          </w:tcPr>
          <w:p>
            <w:pPr>
              <w:pStyle w:val="TableContents"/>
              <w:bidi w:val="0"/>
              <w:spacing w:before="0" w:after="283"/>
              <w:jc w:val="left"/>
              <w:rPr/>
            </w:pPr>
            <w:r>
              <w:rPr/>
              <w:t>●</w:t>
            </w:r>
          </w:p>
        </w:tc>
        <w:tc>
          <w:tcPr>
            <w:tcW w:w="9960" w:type="dxa"/>
            <w:tcBorders/>
            <w:shd w:fill="FEFEFE"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w/TH = Watts/Terahash efficiency (includes cost of powering supplementary equipment)</w:t>
            </w:r>
          </w:p>
        </w:tc>
      </w:tr>
    </w:tbl>
    <w:p>
      <w:pPr>
        <w:pStyle w:val="TextBody"/>
        <w:shd w:fill="FEFEFE"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0"/>
        <w:gridCol w:w="272"/>
        <w:gridCol w:w="9873"/>
      </w:tblGrid>
      <w:tr>
        <w:trPr/>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72" w:type="dxa"/>
            <w:tcBorders/>
            <w:shd w:fill="FFFFFF" w:val="clear"/>
            <w:vAlign w:val="center"/>
          </w:tcPr>
          <w:p>
            <w:pPr>
              <w:pStyle w:val="TableContents"/>
              <w:bidi w:val="0"/>
              <w:spacing w:before="0" w:after="283"/>
              <w:jc w:val="left"/>
              <w:rPr/>
            </w:pPr>
            <w:r>
              <w:rPr/>
              <w:t>●</w:t>
            </w:r>
          </w:p>
        </w:tc>
        <w:tc>
          <w:tcPr>
            <w:tcW w:w="9873" w:type="dxa"/>
            <w:tcBorders/>
            <w:shd w:fill="FFFFFF"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HPC/AI = High Performance Computing / Artificial Intelligence</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99"/>
        <w:gridCol w:w="444"/>
        <w:gridCol w:w="9662"/>
      </w:tblGrid>
      <w:tr>
        <w:trPr/>
        <w:tc>
          <w:tcPr>
            <w:tcW w:w="99" w:type="dxa"/>
            <w:tcBorders/>
            <w:shd w:fill="FFFFFF" w:val="clear"/>
            <w:vAlign w:val="center"/>
          </w:tcPr>
          <w:p>
            <w:pPr>
              <w:pStyle w:val="TableContents"/>
              <w:bidi w:val="0"/>
              <w:spacing w:before="0" w:after="283"/>
              <w:jc w:val="left"/>
              <w:rPr>
                <w:sz w:val="4"/>
                <w:szCs w:val="4"/>
              </w:rPr>
            </w:pPr>
            <w:r>
              <w:rPr>
                <w:sz w:val="4"/>
                <w:szCs w:val="4"/>
              </w:rPr>
            </w:r>
          </w:p>
        </w:tc>
        <w:tc>
          <w:tcPr>
            <w:tcW w:w="444" w:type="dxa"/>
            <w:tcBorders/>
            <w:shd w:fill="FFFFFF" w:val="clear"/>
            <w:vAlign w:val="center"/>
          </w:tcPr>
          <w:p>
            <w:pPr>
              <w:pStyle w:val="TableContents"/>
              <w:bidi w:val="0"/>
              <w:spacing w:before="0" w:after="283"/>
              <w:jc w:val="left"/>
              <w:rPr/>
            </w:pPr>
            <w:r>
              <w:rPr/>
              <w:t>●</w:t>
            </w:r>
          </w:p>
        </w:tc>
        <w:tc>
          <w:tcPr>
            <w:tcW w:w="9662" w:type="dxa"/>
            <w:tcBorders/>
            <w:shd w:fill="FFFFFF"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 xml:space="preserve">Energized capacity= Power available </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the acquisition of Stronghold Digital Mining, Inc., the ability to enhance the business of the Company through adding additional human resources to HPC/AI strategies, its revenue diversification strategy, the North American energy and compute infrastructure strategy, opportunities relating to the potential of the Company’s data centers for HPC/AI opportunities, the merits and ability to secure long-term contracts associated with HPC/AI customers, the success of the Company’s HPC/AI strategy in general and its ability to capitalize on growing demand for AI computing while securing predictable cash flows, the Company’s energy pipeline and its anticipated megawatt growth, the Company’s ability to drive greater shareholder value, projected growth, target hashrate, and other statements regarding future growth, plans and objectives of the Company are forward-looking information.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successfully integrate the business of Stronghold Digital Mining, Inc. as contemplated, or at all;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management’s discussion &amp; analysis for the year-ended December 31,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Head of IR &amp; Corp. Comms.</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tkrumme@bitfarms.com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Caroline Brady Baker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Communications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cbaker@bitfarms.com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2477/000121390023052498/0001213900-23-052498-index.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2251</Words>
  <Characters>12879</Characters>
  <CharactersWithSpaces>15180</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