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497840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p>
      <w:pPr>
        <w:ind w:left="374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July 22, 2025, the Registrant filed with the Canadian Securities Regulatory Authorities on the System for Electronic Data Analysis and Retrieval + (SEDAR +) a press release, a copy of which is attached hereto as Exhibit 99.1, which is incorporated herein by reference into the Registration Statement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333-272989), as amended or supplemented.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July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7" w:lineRule="exact"/>
        <w:rPr>
          <w:sz w:val="20"/>
          <w:szCs w:val="20"/>
          <w:color w:val="auto"/>
        </w:rPr>
      </w:pPr>
    </w:p>
    <w:p>
      <w:pPr>
        <w:ind w:left="7100"/>
        <w:spacing w:after="0"/>
        <w:tabs>
          <w:tab w:leader="none" w:pos="7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156845</wp:posOffset>
            </wp:positionV>
            <wp:extent cx="246888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4688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Announces Corporate Share Buyback Program</w:t>
      </w:r>
    </w:p>
    <w:p>
      <w:pPr>
        <w:spacing w:after="0" w:line="227" w:lineRule="exact"/>
        <w:rPr>
          <w:sz w:val="20"/>
          <w:szCs w:val="20"/>
          <w:color w:val="auto"/>
        </w:rPr>
      </w:pPr>
    </w:p>
    <w:p>
      <w:pPr>
        <w:jc w:val="center"/>
        <w:ind w:left="340" w:right="10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second amended and restated prospectus supplement dated December 17, 2024, to its short form base shelf prospectus dated November 10, 2023.</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Toronto, Ontario (July 22, 2025) </w:t>
      </w:r>
      <w:r>
        <w:rPr>
          <w:rFonts w:ascii="Times New Roman" w:cs="Times New Roman" w:eastAsia="Times New Roman" w:hAnsi="Times New Roman"/>
          <w:sz w:val="18"/>
          <w:szCs w:val="18"/>
          <w:color w:val="auto"/>
        </w:rPr>
        <w:t>- Bitfarms Ltd. (Nasdaq/TSX: BITF) (“Bitfarms” or the “Company”), a global energy and compute infrastructure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that the Board of Directors has approved effective immediately the commencement of a corporate share buyback program. Toronto Stock Exchange (the “TSX”) has accepted the notice filed by the Company to establish a normal course issuer bid program (the “Program”).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Program, the Company is authorized to purchase up to 49,943,031 of its common shares (out of the 557,548,857 common shares outstanding as at July 14, 2025) representing up to 10% of the Company’s public float of 499,430,313 common shares, during the period starting on July 28, 2025 and ending on July 27, 2026.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CEO Ben Gagnon stated, “We believe that Bitfarms’ shares are currently undervalued because our Bitcoin business is underappreciated by the market, with little to no value being associated with our HPC potential. This Program demonstrates our confidence in Bitfarms’ business, our management team, and most importantly our high-performance computing data center growth strategy. We strongly believe our unique and highly desirable energy portfolio in Pennsylvania will drive long-term, sustainable growth that is financeable and enables management to leverage its balance sheet strength to drive shareholder value with this buyback program while simultaneously pursuing growth opportunities in HPC/AI to best capitalize on our substantial US energy pipeline.”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price and volume of repurchases will depend on a variety of factors including corporate liquidity requirements and priorities, as well as general market conditions, the share price, regulatory requirements and limitations, and other factors.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may purchase shares, from time to time, through the facilities of the TSX and/or the Nasdaq Stock Market (the “Nasdaq”), or by such other means as may be permitted by the TSX and/or Nasdaq or under applicable law. Daily repurchases on the TSX will be limited to a maximum of 494,918 common shares, representing 25% of the average daily trading volume for the six months ended June 30, 2025 (being 1,979,673 common shares), except where purchases are made in accordance with the “block purchase exception” of the TSX rules. Purchases of common shares through the Nasdaq will be made in the normal course and will not, during the twelve-month period ending July 27, 2026 exceed, in the aggregate, 5% of the outstanding common shares as at the commencement of the Program. All shares purchased by the Company under the Program will be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Purchases will be made by the Company in accordance with the requirements of the TSX and/or the Nasdaq and the price which the Company will pay for any such common shares will be the market price of any such common shares at the time of acquisition, or such other price as may be permitted by the TSX and/or the Nasdaq.</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Program, the Company has entered into an automatic repurchase arrangement with its designated broker to allow for purchases of its common shares during certain pre-determined blackout periods, based on Company instructions provided when not in blackout. Outside of these pre-determined blackout periods, any repurchases of common shares will be in accordance with management’s discretion, subject to applicable law. Although the Company has a present intention to acquire its common shares pursuant to the Program, the Company will not be obligated to make any purchases under said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is a North American energy and compute infrastructure company that develops, owns, and operates vertically integrated data centers. Bitfarms currently operates 15 data centers situated in four countries, which currently mine Bitcoin: the United States, Canada, Argentina and Paraguay.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http://x.com/Bitfarms_io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potential purchases under the Program, growth opportunities and prospects for the Company, and other statements regarding future growth, plans and objectives of the Company are forward-looking information.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an inability to satisfy the Panther Creek location related milestones which are conditions to loan drawdowns under the Macquarie Group financing facility; an inability to deploy the proceeds of the Macquarie Group financing facility to generate positive returns at the Panther Creek location;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former Stronghold plants which entail environmental risk and certain additional risk factors particular to the former business and operations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the risks of debt leverage and the ability to service and eventually repay the Macquarie Group financing facility;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risks related to the Company ceasing to qualify as an “emerging growth company”; risks related to unsolicited investor interest, takeover proposals, shareholder activism or proxy contests relating to the election of directors; risks relating to lawsuits and other legal proceedings and challenges;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Company's annual information form for the year ended December 31, 2024, management’s discussion &amp; analysis for the year-ended December 31, 2024 and the management's discussion and analysis for the three months ended March 31,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Laine Yonker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lyonker@bitfarms.com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12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19" Type="http://schemas.openxmlformats.org/officeDocument/2006/relationships/hyperlink" Target="http://www.sec.gov/Archives/edgar/data/1812477/000121390023052498/ea180981-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2025-07-25T16:37:23Z</dcterms:created>
  <dcterms:modified xsi:type="dcterms:W3CDTF">2025-07-25T16:37:23Z</dcterms:modified>
</cp:coreProperties>
</file>