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8)*</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3855 Ambrosia Street, Suite 301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Castle Rock, CO 80109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(303) 794-2000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 to: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William Jackman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CUSIP No. 09173B107</w:t>
            </w:r>
          </w:p>
        </w:tc>
        <w:tc>
          <w:tcPr>
            <w:tcW w:w="50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Page 2 of 5</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SCHEDULE 13D</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spacing w:after="0"/>
              <w:rPr>
                <w:sz w:val="18"/>
                <w:szCs w:val="18"/>
                <w:color w:val="auto"/>
              </w:rPr>
            </w:pPr>
          </w:p>
        </w:tc>
        <w:tc>
          <w:tcPr>
            <w:tcW w:w="6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right w:val="single" w:sz="8" w:color="auto"/>
            </w:tcBorders>
          </w:tcPr>
          <w:p>
            <w:pPr>
              <w:spacing w:after="0"/>
              <w:rPr>
                <w:sz w:val="19"/>
                <w:szCs w:val="19"/>
                <w:color w:val="auto"/>
              </w:rPr>
            </w:pPr>
          </w:p>
        </w:tc>
        <w:tc>
          <w:tcPr>
            <w:tcW w:w="89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66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Riot Platforms, Inc.</w:t>
            </w:r>
          </w:p>
        </w:tc>
        <w:tc>
          <w:tcPr>
            <w:tcW w:w="5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right w:val="single" w:sz="8" w:color="auto"/>
            </w:tcBorders>
          </w:tcPr>
          <w:p>
            <w:pPr>
              <w:spacing w:after="0"/>
              <w:rPr>
                <w:sz w:val="19"/>
                <w:szCs w:val="19"/>
                <w:color w:val="auto"/>
              </w:rPr>
            </w:pPr>
          </w:p>
        </w:tc>
        <w:tc>
          <w:tcPr>
            <w:tcW w:w="89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420" w:type="dxa"/>
            <w:vAlign w:val="bottom"/>
            <w:tcBorders>
              <w:left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20" w:type="dxa"/>
            <w:vAlign w:val="bottom"/>
            <w:tcBorders>
              <w:left w:val="single" w:sz="8" w:color="auto"/>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6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1060" w:type="dxa"/>
            <w:vAlign w:val="bottom"/>
            <w:tcBorders>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right w:val="single" w:sz="8" w:color="auto"/>
            </w:tcBorders>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50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right w:val="single" w:sz="8" w:color="auto"/>
            </w:tcBorders>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SOURCE OF FUNDS</w:t>
            </w:r>
          </w:p>
        </w:tc>
        <w:tc>
          <w:tcPr>
            <w:tcW w:w="50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WC</w:t>
            </w:r>
          </w:p>
        </w:tc>
        <w:tc>
          <w:tcPr>
            <w:tcW w:w="5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right w:val="single" w:sz="8" w:color="auto"/>
            </w:tcBorders>
          </w:tcPr>
          <w:p>
            <w:pPr>
              <w:spacing w:after="0"/>
              <w:rPr>
                <w:sz w:val="24"/>
                <w:szCs w:val="24"/>
                <w:color w:val="auto"/>
              </w:rPr>
            </w:pPr>
          </w:p>
        </w:tc>
        <w:tc>
          <w:tcPr>
            <w:tcW w:w="89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right w:val="single" w:sz="8" w:color="auto"/>
            </w:tcBorders>
          </w:tcPr>
          <w:p>
            <w:pPr>
              <w:spacing w:after="0"/>
              <w:rPr>
                <w:sz w:val="19"/>
                <w:szCs w:val="19"/>
                <w:color w:val="auto"/>
              </w:rPr>
            </w:pPr>
          </w:p>
        </w:tc>
        <w:tc>
          <w:tcPr>
            <w:tcW w:w="89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6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Nevada</w:t>
            </w:r>
          </w:p>
        </w:tc>
        <w:tc>
          <w:tcPr>
            <w:tcW w:w="5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66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2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rPr>
              <w:t>NUMBER OF</w:t>
            </w: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6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76,267,318</w:t>
            </w: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20" w:type="dxa"/>
            <w:vAlign w:val="bottom"/>
            <w:tcBorders>
              <w:lef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Borders>
              <w:right w:val="single" w:sz="8" w:color="auto"/>
            </w:tcBorders>
          </w:tcPr>
          <w:p>
            <w:pPr>
              <w:jc w:val="center"/>
              <w:ind w:right="45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16"/>
                <w:szCs w:val="16"/>
                <w:color w:val="auto"/>
              </w:rPr>
            </w:pPr>
          </w:p>
        </w:tc>
        <w:tc>
          <w:tcPr>
            <w:tcW w:w="50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66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6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86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6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OWNED BY</w:t>
            </w: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Borders>
              <w:lef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Borders>
              <w:right w:val="single" w:sz="8" w:color="auto"/>
            </w:tcBorders>
          </w:tcPr>
          <w:p>
            <w:pPr>
              <w:jc w:val="center"/>
              <w:ind w:right="45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60" w:type="dxa"/>
            <w:vAlign w:val="bottom"/>
          </w:tcPr>
          <w:p>
            <w:pPr>
              <w:spacing w:after="0"/>
              <w:rPr>
                <w:sz w:val="15"/>
                <w:szCs w:val="15"/>
                <w:color w:val="auto"/>
              </w:rPr>
            </w:pPr>
          </w:p>
        </w:tc>
        <w:tc>
          <w:tcPr>
            <w:tcW w:w="5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668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66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REPORTING</w:t>
            </w:r>
          </w:p>
        </w:tc>
        <w:tc>
          <w:tcPr>
            <w:tcW w:w="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6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Borders>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rPr>
              <w:t>PERSON</w:t>
            </w:r>
          </w:p>
        </w:tc>
        <w:tc>
          <w:tcPr>
            <w:tcW w:w="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76,267,318</w:t>
            </w:r>
          </w:p>
        </w:tc>
        <w:tc>
          <w:tcPr>
            <w:tcW w:w="6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2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Borders>
              <w:right w:val="single" w:sz="8" w:color="auto"/>
            </w:tcBorders>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Borders>
              <w:right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6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6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right w:val="single" w:sz="8" w:color="auto"/>
            </w:tcBorders>
          </w:tcPr>
          <w:p>
            <w:pPr>
              <w:spacing w:after="0"/>
              <w:rPr>
                <w:sz w:val="19"/>
                <w:szCs w:val="19"/>
                <w:color w:val="auto"/>
              </w:rPr>
            </w:pPr>
          </w:p>
        </w:tc>
        <w:tc>
          <w:tcPr>
            <w:tcW w:w="2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66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76,267,318</w:t>
            </w: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auto"/>
              <w:right w:val="single" w:sz="8" w:color="auto"/>
            </w:tcBorders>
          </w:tcPr>
          <w:p>
            <w:pPr>
              <w:spacing w:after="0"/>
              <w:rPr>
                <w:sz w:val="18"/>
                <w:szCs w:val="18"/>
                <w:color w:val="auto"/>
              </w:rPr>
            </w:pPr>
          </w:p>
        </w:tc>
        <w:tc>
          <w:tcPr>
            <w:tcW w:w="89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660" w:type="dxa"/>
            <w:vAlign w:val="bottom"/>
            <w:tcBorders>
              <w:bottom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right w:val="single" w:sz="8" w:color="auto"/>
            </w:tcBorders>
          </w:tcPr>
          <w:p>
            <w:pPr>
              <w:spacing w:after="0"/>
              <w:rPr>
                <w:sz w:val="19"/>
                <w:szCs w:val="19"/>
                <w:color w:val="auto"/>
              </w:rPr>
            </w:pPr>
          </w:p>
        </w:tc>
        <w:tc>
          <w:tcPr>
            <w:tcW w:w="89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6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16.9%</w:t>
            </w: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right w:val="single" w:sz="8" w:color="auto"/>
            </w:tcBorders>
          </w:tcPr>
          <w:p>
            <w:pPr>
              <w:spacing w:after="0"/>
              <w:rPr>
                <w:sz w:val="19"/>
                <w:szCs w:val="19"/>
                <w:color w:val="auto"/>
              </w:rPr>
            </w:pPr>
          </w:p>
        </w:tc>
        <w:tc>
          <w:tcPr>
            <w:tcW w:w="89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66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w:t>
            </w:r>
          </w:p>
        </w:tc>
        <w:tc>
          <w:tcPr>
            <w:tcW w:w="5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ind w:left="100"/>
        <w:spacing w:after="0"/>
        <w:tabs>
          <w:tab w:leader="none" w:pos="103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3 of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Amendment No. 8 to Schedule 13D (“</w:t>
      </w:r>
      <w:r>
        <w:rPr>
          <w:rFonts w:ascii="Times New Roman" w:cs="Times New Roman" w:eastAsia="Times New Roman" w:hAnsi="Times New Roman"/>
          <w:sz w:val="18"/>
          <w:szCs w:val="18"/>
          <w:u w:val="single" w:color="auto"/>
          <w:color w:val="auto"/>
        </w:rPr>
        <w:t>Amendment No. 8</w:t>
      </w:r>
      <w:r>
        <w:rPr>
          <w:rFonts w:ascii="Times New Roman" w:cs="Times New Roman" w:eastAsia="Times New Roman" w:hAnsi="Times New Roman"/>
          <w:sz w:val="18"/>
          <w:szCs w:val="18"/>
          <w:color w:val="auto"/>
        </w:rPr>
        <w:t>”) relates to the Schedule 13D filed on May 28, 2024 (as amended by Amendment No. 1, dated May 29, 2024, Amendment No. 2, dated June 4, 2024, Amendment No. 3 dated June 5, 2024, Amendment No. 4 dated June 12, 2024, Amendment No. 5 dated June 13, 2024, Amendment No. 6 dated June 24, 2024 and Amendment No. 7 dated July 31,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by Riot Platforms, Inc., a Nevada corporation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relating to the Common Shares, no par value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Bitfarms Ltd., a corporation incorporated under the Canada Business Corporations Act and continued under the Business Corporations Act (Ontario), whose principal executive offices are located at 110 Yonge Street, Suite 1601, Toronto, Ontario, M5C 1T4.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specifically amended by this Amendment No. 8, the Schedule 13D is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restated to read in full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Item 4 of the Schedule 13D (as amended by Amendment No. 8) is hereby incorporated by reference into this Item 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purchase price of the Common Shares held by the Reporting Person reported herein was US$171,161,076. The Common Shares beneficially owned by the Reporting Person were purchased using funds out of its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by adding the following information: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August 2, 2024, the Reporting Person issued a press release announcing that the Reporting Person had increased its beneficial ownership of the Common Shares to 16.9%. The foregoing summary of the press release is not intended to be complete and is qualified in its entirety by reference to the full text of the press release, which is filed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100"/>
        <w:spacing w:after="0"/>
        <w:tabs>
          <w:tab w:leader="none" w:pos="103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4 of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supplemented by adding the following information:</w:t>
      </w:r>
    </w:p>
    <w:p>
      <w:pPr>
        <w:spacing w:after="0" w:line="225" w:lineRule="exact"/>
        <w:rPr>
          <w:sz w:val="20"/>
          <w:szCs w:val="20"/>
          <w:color w:val="auto"/>
        </w:rPr>
      </w:pPr>
    </w:p>
    <w:p>
      <w:pPr>
        <w:ind w:firstLine="8"/>
        <w:spacing w:after="0" w:line="282" w:lineRule="auto"/>
        <w:tabs>
          <w:tab w:leader="none" w:pos="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concerning the Common Shares purchased by (or on behalf of) the Reporting Person during the 60-day period prior to this filing is added: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Weighted Average Price</w:t>
            </w:r>
          </w:p>
        </w:tc>
        <w:tc>
          <w:tcPr>
            <w:tcW w:w="2580" w:type="dxa"/>
            <w:vAlign w:val="bottom"/>
          </w:tcPr>
          <w:p>
            <w:pPr>
              <w:spacing w:after="0"/>
              <w:rPr>
                <w:sz w:val="18"/>
                <w:szCs w:val="18"/>
                <w:color w:val="auto"/>
              </w:rPr>
            </w:pPr>
          </w:p>
        </w:tc>
      </w:tr>
      <w:tr>
        <w:trPr>
          <w:trHeight w:val="238"/>
        </w:trPr>
        <w:tc>
          <w:tcPr>
            <w:tcW w:w="30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9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 Share (US$)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Range (US$)</w:t>
            </w:r>
          </w:p>
        </w:tc>
      </w:tr>
      <w:tr>
        <w:trPr>
          <w:trHeight w:val="209"/>
        </w:trPr>
        <w:tc>
          <w:tcPr>
            <w:tcW w:w="294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07/31/2024</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2,100,000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2.55 – 2.72</w:t>
            </w:r>
          </w:p>
        </w:tc>
      </w:tr>
      <w:tr>
        <w:trPr>
          <w:trHeight w:val="216"/>
        </w:trPr>
        <w:tc>
          <w:tcPr>
            <w:tcW w:w="29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08/01/2024</w:t>
            </w:r>
          </w:p>
        </w:tc>
        <w:tc>
          <w:tcPr>
            <w:tcW w:w="120" w:type="dxa"/>
            <w:vAlign w:val="bottom"/>
          </w:tcPr>
          <w:p>
            <w:pPr>
              <w:spacing w:after="0"/>
              <w:rPr>
                <w:sz w:val="18"/>
                <w:szCs w:val="18"/>
                <w:color w:val="auto"/>
              </w:rPr>
            </w:pPr>
          </w:p>
        </w:tc>
        <w:tc>
          <w:tcPr>
            <w:tcW w:w="2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2,228,625</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2.40 – 2.67</w:t>
            </w:r>
          </w:p>
        </w:tc>
      </w:tr>
      <w:tr>
        <w:trPr>
          <w:trHeight w:val="216"/>
        </w:trPr>
        <w:tc>
          <w:tcPr>
            <w:tcW w:w="29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08/02/2024</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380,838</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2.36 – 2.44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 Press Release of the Reporting Person, dated August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100"/>
        <w:spacing w:after="0"/>
        <w:tabs>
          <w:tab w:leader="none" w:pos="103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5 of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Dated: August 5,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Colin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Colin Yee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REPORTS BENEFICIAL OWNERSHIP OF 16.9% IN BITFARMS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CASTLE ROCK, CO, August 2, 2024 </w:t>
      </w:r>
      <w:r>
        <w:rPr>
          <w:rFonts w:ascii="Times New Roman" w:cs="Times New Roman" w:eastAsia="Times New Roman" w:hAnsi="Times New Roman"/>
          <w:sz w:val="18"/>
          <w:szCs w:val="18"/>
          <w:color w:val="auto"/>
        </w:rPr>
        <w:t>– Riot Platforms, Inc. (“</w:t>
      </w:r>
      <w:r>
        <w:rPr>
          <w:rFonts w:ascii="Times New Roman" w:cs="Times New Roman" w:eastAsia="Times New Roman" w:hAnsi="Times New Roman"/>
          <w:sz w:val="18"/>
          <w:szCs w:val="18"/>
          <w:b w:val="1"/>
          <w:bCs w:val="1"/>
          <w:color w:val="auto"/>
        </w:rPr>
        <w:t>Riot</w:t>
      </w:r>
      <w:r>
        <w:rPr>
          <w:rFonts w:ascii="Times New Roman" w:cs="Times New Roman" w:eastAsia="Times New Roman" w:hAnsi="Times New Roman"/>
          <w:sz w:val="18"/>
          <w:szCs w:val="18"/>
          <w:color w:val="auto"/>
        </w:rPr>
        <w:t>”) issues this press release pursuant to Part 3 of Canadian National Instrument 62-103</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Early Warning System and Related Take-Over Bid and Insider Reporting Issues</w:t>
      </w:r>
      <w:r>
        <w:rPr>
          <w:rFonts w:ascii="Times New Roman" w:cs="Times New Roman" w:eastAsia="Times New Roman" w:hAnsi="Times New Roman"/>
          <w:sz w:val="18"/>
          <w:szCs w:val="18"/>
          <w:color w:val="auto"/>
        </w:rPr>
        <w:t xml:space="preserve"> and Part 5 of Canadian National Instrument 62-104 – </w:t>
      </w:r>
      <w:r>
        <w:rPr>
          <w:rFonts w:ascii="Times New Roman" w:cs="Times New Roman" w:eastAsia="Times New Roman" w:hAnsi="Times New Roman"/>
          <w:sz w:val="18"/>
          <w:szCs w:val="18"/>
          <w:i w:val="1"/>
          <w:iCs w:val="1"/>
          <w:color w:val="auto"/>
        </w:rPr>
        <w:t>Take-Over Bids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Issuer Bids </w:t>
      </w:r>
      <w:r>
        <w:rPr>
          <w:rFonts w:ascii="Times New Roman" w:cs="Times New Roman" w:eastAsia="Times New Roman" w:hAnsi="Times New Roman"/>
          <w:sz w:val="18"/>
          <w:szCs w:val="18"/>
          <w:color w:val="auto"/>
        </w:rPr>
        <w:t>in respect of Bitfarms Ltd.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Riot announces that on August 2, 2024 it acquired ownership of 380,838 common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of the Company representing approximately 0.08% of the issued and outstanding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the Company (based on a report from the Company’s transfer agent dated July 29, 2024).</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Purchased Shares were acquired through normal course purchases on the Nasdaq Stock Market and other open market trades for a weighted average price of approximately US$2.40 per Purchased Share (equivalent to approximately C$3.33 per Purchased Share based on the daily exchange rate posted by the Bank of Canada on August 2, 2024 (the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at a price range per Purchased Share of approximately US$2.36 to US$2.44 (equivalent to approximately C$3.27 to C$3.38 based on the Exchange Rate) for an aggregate amount equal to US$914,468.21 (equivalent to approximately C$1,267,270.04 based on the Exchange Rate).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prior to the acquisition of Common Shares giving rise to the issuance of this press release, Riot beneficially owned 75,886,480 Common Shares, representing approximately 16.82% of the issued and outstanding Common Shares (based on a report from the Company’s transfer agent dated July 29, 2024). Following completion of the aforementioned acquisition, Riot beneficially owned 76,267,318 Common Shares, representing approximately 16.90% of the issued and outstanding Common Shares as at the date hereof (based on a report from the Company’s transfer agent dated July 29,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24, 2024, Riot announced that it has requisitioned a special meeting of shareholders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at which Riot will seek to remove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Chairman Nicolas Bonta and directors Andrés Finkielsztain and Fanny Philip from the Company’s Board of Directors (the “</w:t>
      </w:r>
      <w:r>
        <w:rPr>
          <w:rFonts w:ascii="Times New Roman" w:cs="Times New Roman" w:eastAsia="Times New Roman" w:hAnsi="Times New Roman"/>
          <w:sz w:val="18"/>
          <w:szCs w:val="18"/>
          <w:b w:val="1"/>
          <w:bCs w:val="1"/>
          <w:color w:val="auto"/>
        </w:rPr>
        <w:t>Bitfarms Board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replace these individuals, Riot has nominated three independent director candidates.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Riot intends to review its investment in the Company on a continuing basis and depending upon various factors, including without limitation, any discussion between Riot, the Company and/or the Bitfarms Board and its advisors regarding, among other things, the requisitioned Special Meeting and/or the composition of the Bitfarms Board, the Company’s financial position and strategic direction, overall market conditions, other investment opportunities available to Riot, and the availability of securities of the Company at prices that would make the purchase or sale of such securities desirable, Riot may</w:t>
      </w:r>
    </w:p>
    <w:p>
      <w:pPr>
        <w:spacing w:after="0" w:line="3" w:lineRule="exact"/>
        <w:rPr>
          <w:sz w:val="20"/>
          <w:szCs w:val="20"/>
          <w:color w:val="auto"/>
        </w:rPr>
      </w:pPr>
    </w:p>
    <w:p>
      <w:pPr>
        <w:jc w:val="both"/>
        <w:ind w:firstLine="8"/>
        <w:spacing w:after="0" w:line="252" w:lineRule="auto"/>
        <w:tabs>
          <w:tab w:leader="none" w:pos="2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its position in the Company through, among other things, the purchase or sale of securities of the Company, including through transactions involving the Common Shares and/or other equity, debt, notes, other securities, or derivative or other instruments that are based upon or relate to the value of securities of the Company in the open market or otherwise, (ii) enter into transactions that increase or hedge its economic exposure to the Common Shares without affecting its beneficial ownership of the Common Shares or (iii) consider or propose one or more of the actions described in subparagraphs (a) - (k) of Item 5 of Riot’s early warning report filed in accordance with applicable Canadian securities laws, including submitting a revised proposal to acquire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is not meant to be, nor should it be construed as, an offer (or an intention to make an offer) to buy or the solicitation of an offer to sell any of the Company’s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Riot will file the Early Warning Report in accordance with applicable securities laws, which will be available under the Company’s profile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The head office of the Company is 110 Yonge Street, Suite 1601 Toronto, Ontario M5C 1T4. The address of Riot is 3855 Ambrosia Street, Suite 301, Castle Rock, CO 80109.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and to obtain a copy of the Early Warning Report, please see the Company’s profile on the SEDAR+ website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or contact Phil McPherson, Vice President, Capital Markets &amp; Investor Relations, at (303) 794-2000 ext. 110.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the Company to achieve best-in-class execution and create successful outcomes.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Riot, a Nevada corporation, is a Bitcoin mining and digital infrastructure company focused on a vertically integrated strategy. Riot has Bitcoin mining operations in central Texas and electrical switchgear engineering and fabrication operations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the Company will enter into discussions with Riot regarding a proposed combination of Riot and the Company; the outcome of any such discussions, including the terms and conditions of any such potential combination; the future performance, liquidity and financial position of the combined company, and its ability to achieve expected synergies; and uncertainties as to timing of the Special Meeting or the outcome.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press release, may be found in Riot’s filings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to Purchase or Sell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press release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 / Chuck Garske, (877) 285-5990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jgermani@longacresquare.com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dzacchei@longacresquare.com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endash "/>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2024-08-05T06:04:29Z</dcterms:created>
  <dcterms:modified xsi:type="dcterms:W3CDTF">2024-08-05T06:04:29Z</dcterms:modified>
</cp:coreProperties>
</file>