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7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Ammann Marc-Andre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Keel Infrastructure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KEEL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74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120 BROADWAY, SUITE 1075</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10004</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74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00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jc w:val="center"/>
              <w:ind w:left="15"/>
              <w:spacing w:after="0"/>
              <w:rPr>
                <w:sz w:val="20"/>
                <w:szCs w:val="20"/>
                <w:color w:val="auto"/>
              </w:rPr>
            </w:pPr>
            <w:r>
              <w:rPr>
                <w:rFonts w:ascii="Times New Roman" w:cs="Times New Roman" w:eastAsia="Times New Roman" w:hAnsi="Times New Roman"/>
                <w:sz w:val="20"/>
                <w:szCs w:val="20"/>
                <w:color w:val="0000FF"/>
                <w:w w:val="98"/>
              </w:rPr>
              <w:t>85,441</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05/22/2029</w:t>
            </w:r>
          </w:p>
        </w:tc>
        <w:tc>
          <w:tcPr>
            <w:tcW w:w="17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8"/>
              </w:rPr>
              <w:t>37,500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1.83</w:t>
            </w:r>
            <w:r>
              <w:rPr>
                <w:rFonts w:ascii="Times New Roman" w:cs="Times New Roman" w:eastAsia="Times New Roman" w:hAnsi="Times New Roman"/>
                <w:sz w:val="25"/>
                <w:szCs w:val="25"/>
                <w:color w:val="008000"/>
                <w:w w:val="88"/>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09/30/2029</w:t>
            </w:r>
          </w:p>
        </w:tc>
        <w:tc>
          <w:tcPr>
            <w:tcW w:w="17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8"/>
              </w:rPr>
              <w:t>52,500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2.18</w:t>
            </w:r>
            <w:r>
              <w:rPr>
                <w:rFonts w:ascii="Times New Roman" w:cs="Times New Roman" w:eastAsia="Times New Roman" w:hAnsi="Times New Roman"/>
                <w:sz w:val="25"/>
                <w:szCs w:val="25"/>
                <w:color w:val="008000"/>
                <w:w w:val="88"/>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0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01/21/2031</w:t>
            </w:r>
          </w:p>
        </w:tc>
        <w:tc>
          <w:tcPr>
            <w:tcW w:w="17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5"/>
              </w:rPr>
              <w:t>220,000</w:t>
            </w:r>
          </w:p>
        </w:tc>
        <w:tc>
          <w:tcPr>
            <w:tcW w:w="10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88"/>
              </w:rPr>
              <w:t>2.66</w:t>
            </w:r>
            <w:r>
              <w:rPr>
                <w:rFonts w:ascii="Times New Roman" w:cs="Times New Roman" w:eastAsia="Times New Roman" w:hAnsi="Times New Roman"/>
                <w:sz w:val="25"/>
                <w:szCs w:val="25"/>
                <w:color w:val="008000"/>
                <w:w w:val="88"/>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("RSUs") that vest in three equal six-month installments beginning on July 10, 2025.</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common share or an equivalent value in cash at the issuer's election.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May 22, 2024 the reporting person was granted 37,500 stock options which have fully vested.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price was converted into its U.S. Dollar equivalent using the Bank of Canada daily exchange rate on March 30, 2026 (at CAD 1.00 = USD 0.718).</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September 30, 2024 the reporting person was granted 52,500 stock options which have fully vested.</w:t>
      </w:r>
    </w:p>
    <w:p>
      <w:pPr>
        <w:spacing w:after="0" w:line="52"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January 21,2026 the reporting person was granted 220,000 stock options which vest in equal installments at January 21, 2026, July 21, 2026, January 21, 2027 and July 21, 2027.</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Rachel Silverstein, as</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4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Rachel Silverstein and Rob Lovett,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194" w:lineRule="exact"/>
        <w:rPr>
          <w:sz w:val="20"/>
          <w:szCs w:val="20"/>
          <w:color w:val="auto"/>
        </w:rPr>
      </w:pPr>
    </w:p>
    <w:p>
      <w:pPr>
        <w:jc w:val="both"/>
        <w:ind w:left="1440" w:hanging="720"/>
        <w:spacing w:after="0" w:line="238" w:lineRule="auto"/>
        <w:tabs>
          <w:tab w:leader="none" w:pos="14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to enable the undersigned to submit and file documents, forms and information required by Section 16(a) of the Securities Exchange Act of 1934, as amended (the “</w:t>
      </w:r>
      <w:r>
        <w:rPr>
          <w:rFonts w:ascii="Times New Roman" w:cs="Times New Roman" w:eastAsia="Times New Roman" w:hAnsi="Times New Roman"/>
          <w:sz w:val="24"/>
          <w:szCs w:val="24"/>
          <w:u w:val="single" w:color="auto"/>
          <w:color w:val="auto"/>
        </w:rPr>
        <w:t>Exchange Act</w:t>
      </w:r>
      <w:r>
        <w:rPr>
          <w:rFonts w:ascii="Times New Roman" w:cs="Times New Roman" w:eastAsia="Times New Roman" w:hAnsi="Times New Roman"/>
          <w:sz w:val="24"/>
          <w:szCs w:val="24"/>
          <w:color w:val="auto"/>
        </w:rPr>
        <w:t>”), or any rule or regulation of the U.S. Securities and Exchange Commission (“</w:t>
      </w:r>
      <w:r>
        <w:rPr>
          <w:rFonts w:ascii="Times New Roman" w:cs="Times New Roman" w:eastAsia="Times New Roman" w:hAnsi="Times New Roman"/>
          <w:sz w:val="24"/>
          <w:szCs w:val="24"/>
          <w:u w:val="single" w:color="auto"/>
          <w:color w:val="auto"/>
        </w:rPr>
        <w:t>SEC</w:t>
      </w:r>
      <w:r>
        <w:rPr>
          <w:rFonts w:ascii="Times New Roman" w:cs="Times New Roman" w:eastAsia="Times New Roman" w:hAnsi="Times New Roman"/>
          <w:sz w:val="24"/>
          <w:szCs w:val="24"/>
          <w:color w:val="auto"/>
        </w:rPr>
        <w:t>”) via the Electronic Data Gathering and Retrieval (“</w:t>
      </w:r>
      <w:r>
        <w:rPr>
          <w:rFonts w:ascii="Times New Roman" w:cs="Times New Roman" w:eastAsia="Times New Roman" w:hAnsi="Times New Roman"/>
          <w:sz w:val="24"/>
          <w:szCs w:val="24"/>
          <w:u w:val="single" w:color="auto"/>
          <w:color w:val="auto"/>
        </w:rPr>
        <w:t>EDGAR</w:t>
      </w:r>
      <w:r>
        <w:rPr>
          <w:rFonts w:ascii="Times New Roman" w:cs="Times New Roman" w:eastAsia="Times New Roman" w:hAnsi="Times New Roman"/>
          <w:sz w:val="24"/>
          <w:szCs w:val="24"/>
          <w:color w:val="auto"/>
        </w:rPr>
        <w:t>”)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08"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Keel Infrastructure Corp. (the “</w:t>
      </w:r>
      <w:r>
        <w:rPr>
          <w:rFonts w:ascii="Times New Roman" w:cs="Times New Roman" w:eastAsia="Times New Roman" w:hAnsi="Times New Roman"/>
          <w:sz w:val="24"/>
          <w:szCs w:val="24"/>
          <w:u w:val="single" w:color="auto"/>
          <w:color w:val="auto"/>
        </w:rPr>
        <w:t>Company</w:t>
      </w:r>
      <w:r>
        <w:rPr>
          <w:rFonts w:ascii="Times New Roman" w:cs="Times New Roman" w:eastAsia="Times New Roman" w:hAnsi="Times New Roman"/>
          <w:sz w:val="24"/>
          <w:szCs w:val="24"/>
          <w:color w:val="auto"/>
        </w:rPr>
        <w:t>”), Form 3, 4 or 5 relating to the Company in accordance with Section 16(a) of the Exchange Act and the rules and regulations promulgated thereunder and Form 144 in accordance with Rule 144 under the Securities Act of 1933, as amended (the “</w:t>
      </w:r>
      <w:r>
        <w:rPr>
          <w:rFonts w:ascii="Times New Roman" w:cs="Times New Roman" w:eastAsia="Times New Roman" w:hAnsi="Times New Roman"/>
          <w:sz w:val="24"/>
          <w:szCs w:val="24"/>
          <w:u w:val="single" w:color="auto"/>
          <w:color w:val="auto"/>
        </w:rPr>
        <w:t>Securities Act</w:t>
      </w:r>
      <w:r>
        <w:rPr>
          <w:rFonts w:ascii="Times New Roman" w:cs="Times New Roman" w:eastAsia="Times New Roman" w:hAnsi="Times New Roman"/>
          <w:sz w:val="24"/>
          <w:szCs w:val="24"/>
          <w:color w:val="auto"/>
        </w:rPr>
        <w:t>”);</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2" w:lineRule="auto"/>
        <w:tabs>
          <w:tab w:leader="none" w:pos="14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w:t>
      </w:r>
    </w:p>
    <w:p>
      <w:pPr>
        <w:spacing w:after="0" w:line="199" w:lineRule="exact"/>
        <w:rPr>
          <w:rFonts w:ascii="Times New Roman" w:cs="Times New Roman" w:eastAsia="Times New Roman" w:hAnsi="Times New Roman"/>
          <w:sz w:val="24"/>
          <w:szCs w:val="24"/>
          <w:color w:val="auto"/>
        </w:rPr>
      </w:pPr>
    </w:p>
    <w:p>
      <w:pPr>
        <w:jc w:val="both"/>
        <w:ind w:left="1440" w:hanging="720"/>
        <w:spacing w:after="0" w:line="241" w:lineRule="auto"/>
        <w:tabs>
          <w:tab w:leader="none" w:pos="1440"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421005</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584" w:right="479" w:bottom="1440" w:gutter="0" w:footer="0" w:header="0"/>
        </w:sectPr>
      </w:pPr>
    </w:p>
    <w:bookmarkStart w:id="2" w:name="page3"/>
    <w:bookmarkEnd w:id="2"/>
    <w:p>
      <w:pPr>
        <w:jc w:val="both"/>
        <w:ind w:firstLine="720"/>
        <w:spacing w:after="0" w:line="238" w:lineRule="auto"/>
        <w:rPr>
          <w:sz w:val="20"/>
          <w:szCs w:val="20"/>
          <w:color w:val="auto"/>
        </w:rPr>
      </w:pPr>
      <w:r>
        <w:rPr>
          <w:rFonts w:ascii="Times New Roman" w:cs="Times New Roman" w:eastAsia="Times New Roman" w:hAnsi="Times New Roman"/>
          <w:sz w:val="24"/>
          <w:szCs w:val="24"/>
          <w:color w:val="auto"/>
        </w:rPr>
        <w:t>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w:t>
      </w:r>
    </w:p>
    <w:p>
      <w:pPr>
        <w:spacing w:after="0" w:line="5" w:lineRule="exact"/>
        <w:rPr>
          <w:sz w:val="20"/>
          <w:szCs w:val="20"/>
          <w:color w:val="auto"/>
        </w:rPr>
      </w:pPr>
    </w:p>
    <w:p>
      <w:pPr>
        <w:jc w:val="both"/>
        <w:spacing w:after="0" w:line="237" w:lineRule="auto"/>
        <w:tabs>
          <w:tab w:leader="none" w:pos="412"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w:t>
      </w:r>
    </w:p>
    <w:p>
      <w:pPr>
        <w:spacing w:after="0" w:line="200" w:lineRule="exact"/>
        <w:rPr>
          <w:sz w:val="20"/>
          <w:szCs w:val="20"/>
          <w:color w:val="auto"/>
        </w:rPr>
      </w:pPr>
    </w:p>
    <w:p>
      <w:pPr>
        <w:jc w:val="both"/>
        <w:ind w:firstLine="72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w:t>
      </w:r>
      <w:r>
        <w:rPr>
          <w:rFonts w:ascii="Times New Roman" w:cs="Times New Roman" w:eastAsia="Times New Roman" w:hAnsi="Times New Roman"/>
          <w:sz w:val="24"/>
          <w:szCs w:val="24"/>
          <w:i w:val="1"/>
          <w:iCs w:val="1"/>
          <w:color w:val="auto"/>
        </w:rPr>
        <w:t>Signature Page Follows</w:t>
      </w:r>
      <w:r>
        <w:rPr>
          <w:rFonts w:ascii="Times New Roman" w:cs="Times New Roman" w:eastAsia="Times New Roman" w:hAnsi="Times New Roman"/>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598805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0" w:right="479" w:bottom="1440" w:gutter="0" w:footer="0" w:header="0"/>
        </w:sectPr>
      </w:pPr>
    </w:p>
    <w:bookmarkStart w:id="3" w:name="page4"/>
    <w:bookmarkEnd w:id="3"/>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29 day of March,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tabs>
          <w:tab w:leader="none" w:pos="5840" w:val="left"/>
        </w:tabs>
        <w:rPr>
          <w:sz w:val="20"/>
          <w:szCs w:val="20"/>
          <w:color w:val="auto"/>
        </w:rPr>
      </w:pPr>
      <w:r>
        <w:rPr>
          <w:rFonts w:ascii="Times New Roman" w:cs="Times New Roman" w:eastAsia="Times New Roman" w:hAnsi="Times New Roman"/>
          <w:sz w:val="24"/>
          <w:szCs w:val="24"/>
          <w:color w:val="auto"/>
        </w:rPr>
        <w:t>By:</w:t>
      </w:r>
      <w:r>
        <w:rPr>
          <w:sz w:val="20"/>
          <w:szCs w:val="20"/>
          <w:color w:val="auto"/>
        </w:rPr>
        <w:tab/>
      </w:r>
      <w:r>
        <w:rPr>
          <w:rFonts w:ascii="Times New Roman" w:cs="Times New Roman" w:eastAsia="Times New Roman" w:hAnsi="Times New Roman"/>
          <w:sz w:val="24"/>
          <w:szCs w:val="24"/>
          <w:color w:val="auto"/>
        </w:rPr>
        <w:t>/s/ Marc-Andre 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15240</wp:posOffset>
            </wp:positionV>
            <wp:extent cx="21539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53920" cy="19050"/>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4"/>
          <w:szCs w:val="24"/>
          <w:color w:val="auto"/>
        </w:rPr>
        <w:t>Name: Marc-Andre Ammann</w:t>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22588" TargetMode="External"/><Relationship Id="rId11" Type="http://schemas.openxmlformats.org/officeDocument/2006/relationships/hyperlink" Target="http://www.sec.gov/cgi-bin/browse-edgar?action=getcompany&amp;CIK=00018124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2026-04-01T20:13:00Z</dcterms:created>
  <dcterms:modified xsi:type="dcterms:W3CDTF">2026-04-01T20:13:00Z</dcterms:modified>
</cp:coreProperties>
</file>