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March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00"/>
        <w:spacing w:after="0" w:line="207" w:lineRule="exact"/>
        <w:tabs>
          <w:tab w:leader="none" w:pos="57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90" w:right="1440" w:bottom="1440" w:gutter="0" w:footer="0" w:header="0"/>
        </w:sectPr>
      </w:pPr>
    </w:p>
    <w:bookmarkStart w:id="1" w:name="page2"/>
    <w:bookmarkEnd w:id="1"/>
    <w:p>
      <w:pPr>
        <w:ind w:left="4120"/>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March 8, 2023 the Registrant filed with the Canadian Securities Regulatory Authorities on the System for Electronic Data Analysis and Retrieval (SEDAR) a press release, a copy of which is attached hereto as Exhibit 99.1, and which is incorporated by reference to the Company’s Registration Statement on </w:t>
      </w:r>
      <w:hyperlink r:id="rId19">
        <w:r>
          <w:rPr>
            <w:rFonts w:ascii="Arial" w:cs="Arial" w:eastAsia="Arial" w:hAnsi="Arial"/>
            <w:sz w:val="18"/>
            <w:szCs w:val="18"/>
            <w:u w:val="single" w:color="auto"/>
            <w:color w:val="0000EE"/>
          </w:rPr>
          <w:t>Form F-10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333-258788).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March 8, 2023</w:t>
      </w:r>
    </w:p>
    <w:p>
      <w:pPr>
        <w:spacing w:after="0" w:line="200" w:lineRule="exact"/>
        <w:rPr>
          <w:sz w:val="20"/>
          <w:szCs w:val="20"/>
          <w:color w:val="auto"/>
        </w:rPr>
      </w:pPr>
    </w:p>
    <w:p>
      <w:pPr>
        <w:spacing w:after="0" w:line="24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904" w:right="839" w:bottom="1440" w:gutter="0" w:footer="0" w:header="0"/>
        </w:sectPr>
      </w:pPr>
    </w:p>
    <w:bookmarkStart w:id="2" w:name="page3"/>
    <w:bookmarkEnd w:id="2"/>
    <w:p>
      <w:pPr>
        <w:ind w:left="51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jc w:val="right"/>
        <w:spacing w:after="0"/>
        <w:tabs>
          <w:tab w:leader="none" w:pos="2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&amp;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2023</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320" w:top="908" w:right="11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154305</wp:posOffset>
            </wp:positionV>
            <wp:extent cx="2031365"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Bitfarms to Participate in Upcoming Investor Conferences</w:t>
      </w:r>
    </w:p>
    <w:p>
      <w:pPr>
        <w:spacing w:after="0" w:line="225"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Toronto, Ontario and Brossard, Québec (March 8, 2023)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 // TSX: BITF</w:t>
      </w:r>
      <w:r>
        <w:rPr>
          <w:rFonts w:ascii="Arial" w:cs="Arial" w:eastAsia="Arial" w:hAnsi="Arial"/>
          <w:sz w:val="18"/>
          <w:szCs w:val="18"/>
          <w:color w:val="auto"/>
        </w:rPr>
        <w:t>), a global Bitcoin self-mining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that management will be participating in upcoming investor conferences.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Event:</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40" w:type="dxa"/>
            <w:vAlign w:val="bottom"/>
            <w:vMerge w:val="restart"/>
          </w:tcPr>
          <w:p>
            <w:pPr>
              <w:ind w:left="220"/>
              <w:spacing w:after="0"/>
              <w:rPr>
                <w:sz w:val="20"/>
                <w:szCs w:val="20"/>
                <w:color w:val="auto"/>
              </w:rPr>
            </w:pPr>
            <w:r>
              <w:rPr>
                <w:rFonts w:ascii="Arial" w:cs="Arial" w:eastAsia="Arial" w:hAnsi="Arial"/>
                <w:sz w:val="18"/>
                <w:szCs w:val="18"/>
                <w:color w:val="auto"/>
                <w:w w:val="89"/>
              </w:rPr>
              <w:t>Roth 35</w:t>
            </w:r>
            <w:r>
              <w:rPr>
                <w:rFonts w:ascii="Arial" w:cs="Arial" w:eastAsia="Arial" w:hAnsi="Arial"/>
                <w:sz w:val="29"/>
                <w:szCs w:val="29"/>
                <w:color w:val="auto"/>
                <w:w w:val="89"/>
                <w:vertAlign w:val="superscript"/>
              </w:rPr>
              <w:t>th</w:t>
            </w:r>
            <w:r>
              <w:rPr>
                <w:rFonts w:ascii="Arial" w:cs="Arial" w:eastAsia="Arial" w:hAnsi="Arial"/>
                <w:sz w:val="18"/>
                <w:szCs w:val="18"/>
                <w:color w:val="auto"/>
                <w:w w:val="89"/>
              </w:rPr>
              <w:t xml:space="preserve"> Annual Growth Conference</w:t>
            </w:r>
          </w:p>
        </w:tc>
        <w:tc>
          <w:tcPr>
            <w:tcW w:w="0" w:type="dxa"/>
            <w:vAlign w:val="bottom"/>
          </w:tcPr>
          <w:p>
            <w:pPr>
              <w:spacing w:after="0"/>
              <w:rPr>
                <w:sz w:val="1"/>
                <w:szCs w:val="1"/>
                <w:color w:val="auto"/>
              </w:rPr>
            </w:pPr>
          </w:p>
        </w:tc>
      </w:tr>
      <w:tr>
        <w:trPr>
          <w:trHeight w:val="47"/>
        </w:trPr>
        <w:tc>
          <w:tcPr>
            <w:tcW w:w="10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Date:</w:t>
            </w:r>
          </w:p>
        </w:tc>
        <w:tc>
          <w:tcPr>
            <w:tcW w:w="2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040" w:type="dxa"/>
            <w:vAlign w:val="bottom"/>
            <w:gridSpan w:val="4"/>
            <w:vMerge w:val="continue"/>
          </w:tcPr>
          <w:p>
            <w:pPr>
              <w:spacing w:after="0"/>
              <w:rPr>
                <w:sz w:val="16"/>
                <w:szCs w:val="16"/>
                <w:color w:val="auto"/>
              </w:rPr>
            </w:pPr>
          </w:p>
        </w:tc>
        <w:tc>
          <w:tcPr>
            <w:tcW w:w="2940" w:type="dxa"/>
            <w:vAlign w:val="bottom"/>
          </w:tcPr>
          <w:p>
            <w:pPr>
              <w:ind w:left="220"/>
              <w:spacing w:after="0" w:line="190" w:lineRule="exact"/>
              <w:rPr>
                <w:sz w:val="20"/>
                <w:szCs w:val="20"/>
                <w:color w:val="auto"/>
              </w:rPr>
            </w:pPr>
            <w:r>
              <w:rPr>
                <w:rFonts w:ascii="Arial" w:cs="Arial" w:eastAsia="Arial" w:hAnsi="Arial"/>
                <w:sz w:val="18"/>
                <w:szCs w:val="18"/>
                <w:color w:val="auto"/>
              </w:rPr>
              <w:t>March 13-14, 2023</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Location:</w:t>
            </w:r>
          </w:p>
        </w:tc>
        <w:tc>
          <w:tcPr>
            <w:tcW w:w="2940" w:type="dxa"/>
            <w:vAlign w:val="bottom"/>
          </w:tcPr>
          <w:p>
            <w:pPr>
              <w:ind w:left="220"/>
              <w:spacing w:after="0" w:line="196" w:lineRule="exact"/>
              <w:rPr>
                <w:sz w:val="20"/>
                <w:szCs w:val="20"/>
                <w:color w:val="auto"/>
              </w:rPr>
            </w:pPr>
            <w:r>
              <w:rPr>
                <w:rFonts w:ascii="Arial" w:cs="Arial" w:eastAsia="Arial" w:hAnsi="Arial"/>
                <w:sz w:val="18"/>
                <w:szCs w:val="18"/>
                <w:color w:val="auto"/>
              </w:rPr>
              <w:t>Laguna Niguel, Calif.</w:t>
            </w:r>
          </w:p>
        </w:tc>
        <w:tc>
          <w:tcPr>
            <w:tcW w:w="0" w:type="dxa"/>
            <w:vAlign w:val="bottom"/>
          </w:tcPr>
          <w:p>
            <w:pPr>
              <w:spacing w:after="0"/>
              <w:rPr>
                <w:sz w:val="1"/>
                <w:szCs w:val="1"/>
                <w:color w:val="auto"/>
              </w:rPr>
            </w:pPr>
          </w:p>
        </w:tc>
      </w:tr>
      <w:tr>
        <w:trPr>
          <w:trHeight w:val="412"/>
        </w:trPr>
        <w:tc>
          <w:tcPr>
            <w:tcW w:w="5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Event:</w:t>
            </w:r>
          </w:p>
        </w:tc>
        <w:tc>
          <w:tcPr>
            <w:tcW w:w="2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tcPr>
          <w:p>
            <w:pPr>
              <w:ind w:left="220"/>
              <w:spacing w:after="0"/>
              <w:rPr>
                <w:sz w:val="20"/>
                <w:szCs w:val="20"/>
                <w:color w:val="auto"/>
              </w:rPr>
            </w:pPr>
            <w:r>
              <w:rPr>
                <w:rFonts w:ascii="Arial" w:cs="Arial" w:eastAsia="Arial" w:hAnsi="Arial"/>
                <w:sz w:val="18"/>
                <w:szCs w:val="18"/>
                <w:color w:val="auto"/>
              </w:rPr>
              <w:t>Sidoti Small-Cap Conference</w:t>
            </w:r>
          </w:p>
        </w:tc>
        <w:tc>
          <w:tcPr>
            <w:tcW w:w="0" w:type="dxa"/>
            <w:vAlign w:val="bottom"/>
          </w:tcPr>
          <w:p>
            <w:pPr>
              <w:spacing w:after="0"/>
              <w:rPr>
                <w:sz w:val="1"/>
                <w:szCs w:val="1"/>
                <w:color w:val="auto"/>
              </w:rPr>
            </w:pPr>
          </w:p>
        </w:tc>
      </w:tr>
      <w:tr>
        <w:trPr>
          <w:trHeight w:val="196"/>
        </w:trPr>
        <w:tc>
          <w:tcPr>
            <w:tcW w:w="104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Date:</w:t>
            </w:r>
          </w:p>
        </w:tc>
        <w:tc>
          <w:tcPr>
            <w:tcW w:w="2940" w:type="dxa"/>
            <w:vAlign w:val="bottom"/>
          </w:tcPr>
          <w:p>
            <w:pPr>
              <w:ind w:left="220"/>
              <w:spacing w:after="0" w:line="196" w:lineRule="exact"/>
              <w:rPr>
                <w:sz w:val="20"/>
                <w:szCs w:val="20"/>
                <w:color w:val="auto"/>
              </w:rPr>
            </w:pPr>
            <w:r>
              <w:rPr>
                <w:rFonts w:ascii="Arial" w:cs="Arial" w:eastAsia="Arial" w:hAnsi="Arial"/>
                <w:sz w:val="18"/>
                <w:szCs w:val="18"/>
                <w:color w:val="auto"/>
              </w:rPr>
              <w:t>March 22-23, 2023</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Location:</w:t>
            </w:r>
          </w:p>
        </w:tc>
        <w:tc>
          <w:tcPr>
            <w:tcW w:w="2940" w:type="dxa"/>
            <w:vAlign w:val="bottom"/>
          </w:tcPr>
          <w:p>
            <w:pPr>
              <w:ind w:left="220"/>
              <w:spacing w:after="0" w:line="196" w:lineRule="exact"/>
              <w:rPr>
                <w:sz w:val="20"/>
                <w:szCs w:val="20"/>
                <w:color w:val="auto"/>
              </w:rPr>
            </w:pPr>
            <w:r>
              <w:rPr>
                <w:rFonts w:ascii="Arial" w:cs="Arial" w:eastAsia="Arial" w:hAnsi="Arial"/>
                <w:sz w:val="18"/>
                <w:szCs w:val="18"/>
                <w:color w:val="auto"/>
              </w:rPr>
              <w:t>Virtual</w:t>
            </w:r>
          </w:p>
        </w:tc>
        <w:tc>
          <w:tcPr>
            <w:tcW w:w="0" w:type="dxa"/>
            <w:vAlign w:val="bottom"/>
          </w:tcPr>
          <w:p>
            <w:pPr>
              <w:spacing w:after="0"/>
              <w:rPr>
                <w:sz w:val="1"/>
                <w:szCs w:val="1"/>
                <w:color w:val="auto"/>
              </w:rPr>
            </w:pPr>
          </w:p>
        </w:tc>
      </w:tr>
      <w:tr>
        <w:trPr>
          <w:trHeight w:val="20"/>
        </w:trPr>
        <w:tc>
          <w:tcPr>
            <w:tcW w:w="74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w w:val="88"/>
              </w:rPr>
              <w:t>Presentation:</w:t>
            </w:r>
          </w:p>
        </w:tc>
        <w:tc>
          <w:tcPr>
            <w:tcW w:w="2940" w:type="dxa"/>
            <w:vAlign w:val="bottom"/>
          </w:tcPr>
          <w:p>
            <w:pPr>
              <w:ind w:left="220"/>
              <w:spacing w:after="0" w:line="196" w:lineRule="exact"/>
              <w:rPr>
                <w:sz w:val="20"/>
                <w:szCs w:val="20"/>
                <w:color w:val="auto"/>
              </w:rPr>
            </w:pPr>
            <w:r>
              <w:rPr>
                <w:rFonts w:ascii="Arial" w:cs="Arial" w:eastAsia="Arial" w:hAnsi="Arial"/>
                <w:sz w:val="18"/>
                <w:szCs w:val="18"/>
                <w:color w:val="auto"/>
              </w:rPr>
              <w:t>1:30 pm ET, March 23, 2023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company’s presentation at Sidoti will be webcast and available on the company’s website. For additional information or to schedule an in-person meeting at Roth or a virtual one-on-one meeting at Sidoti, please contact your institutional sales representative or Bitfarms’ IR Team at bitfarms@lhai.com.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20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Founded in 2017, Bitfarms is a global, publicly traded (NASDAQ/TSX: BITF) Bitcoin self-mining company. Bitfarms runs vertically integrated mining operations with in-house management and company-owned electrical engineering, installation service, and onsite technical repair. The Company’s proprietary data analytics system delivers best-in-class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2331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2331720"/>
                    </a:xfrm>
                    <a:prstGeom prst="rect">
                      <a:avLst/>
                    </a:prstGeom>
                    <a:noFill/>
                  </pic:spPr>
                </pic:pic>
              </a:graphicData>
            </a:graphic>
          </wp:anchor>
        </w:drawing>
      </w:r>
    </w:p>
    <w:p>
      <w:pPr>
        <w:spacing w:after="0" w:line="16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Bitfarms has 10 mining facilities around the world, which are located in four countries: Canada, the United States, Paraguay, and Argentina. Powered by predominantly environmentally friendly hydro-electric and long-term power contracts, Bitfarms is committed to using renewable, locally based, and often underutilized energy infrastructure.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601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960120"/>
                    </a:xfrm>
                    <a:prstGeom prst="rect">
                      <a:avLst/>
                    </a:prstGeom>
                    <a:noFill/>
                  </pic:spPr>
                </pic:pic>
              </a:graphicData>
            </a:graphic>
          </wp:anchor>
        </w:drawing>
        <w:t>Cautionary Statement</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Lisa Helfer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+1 646-373-9946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mediarelations@bitfarms.com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 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+1 418-693-2425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00"/>
      </w:cols>
      <w:pgMar w:left="320" w:top="88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2023-03-08T15:11:29Z</dcterms:created>
  <dcterms:modified xsi:type="dcterms:W3CDTF">2023-03-08T15:11:29Z</dcterms:modified>
</cp:coreProperties>
</file>