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40-F/A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left="5540" w:right="2260" w:hanging="3268"/>
        <w:spacing w:after="0" w:line="479" w:lineRule="auto"/>
        <w:tabs>
          <w:tab w:leader="none" w:pos="2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 of the Securities Exchange Act of 1934 or</w:t>
      </w:r>
    </w:p>
    <w:p>
      <w:pPr>
        <w:spacing w:after="0" w:line="37" w:lineRule="exact"/>
        <w:rPr>
          <w:rFonts w:ascii="MS PGothic" w:cs="MS PGothic" w:eastAsia="MS PGothic" w:hAnsi="MS PGothic"/>
          <w:sz w:val="18"/>
          <w:szCs w:val="18"/>
          <w:color w:val="auto"/>
        </w:rPr>
      </w:pPr>
    </w:p>
    <w:p>
      <w:pPr>
        <w:ind w:left="2360" w:hanging="201"/>
        <w:spacing w:after="0"/>
        <w:tabs>
          <w:tab w:leader="none" w:pos="2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13(a)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60" w:type="dxa"/>
            <w:vAlign w:val="bottom"/>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tc>
        <w:tc>
          <w:tcPr>
            <w:tcW w:w="42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tc>
      </w:tr>
      <w:tr>
        <w:trPr>
          <w:trHeight w:val="430"/>
        </w:trPr>
        <w:tc>
          <w:tcPr>
            <w:tcW w:w="30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gridSpan w:val="9"/>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r>
      <w:tr>
        <w:trPr>
          <w:trHeight w:val="439"/>
        </w:trPr>
        <w:tc>
          <w:tcPr>
            <w:tcW w:w="34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56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4"/>
        </w:trPr>
        <w:tc>
          <w:tcPr>
            <w:tcW w:w="3400" w:type="dxa"/>
            <w:vAlign w:val="bottom"/>
            <w:tcBorders>
              <w:top w:val="single" w:sz="8" w:color="auto"/>
            </w:tcBorders>
            <w:gridSpan w:val="2"/>
          </w:tcPr>
          <w:p>
            <w:pPr>
              <w:jc w:val="center"/>
              <w:ind w:left="3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(Province or other jurisdiction of</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Borders>
              <w:top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4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M5C 1T4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 in the United States)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BITF</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annual reports, indicate by check mark the information filed with this Form:</w:t>
      </w:r>
    </w:p>
    <w:p>
      <w:pPr>
        <w:spacing w:after="0" w:line="184" w:lineRule="exact"/>
        <w:rPr>
          <w:sz w:val="24"/>
          <w:szCs w:val="24"/>
          <w:color w:val="auto"/>
        </w:rPr>
      </w:pPr>
    </w:p>
    <w:p>
      <w:pPr>
        <w:ind w:left="1800"/>
        <w:spacing w:after="0" w:line="207" w:lineRule="exact"/>
        <w:tabs>
          <w:tab w:leader="none" w:pos="70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 information form</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Audited annual financial statements</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334,153,000 of the Registrant’s common shares were issued and outstanding as of December 31, 2023.</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12b-2 of the Exchange Act.</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4"/>
          <w:szCs w:val="24"/>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838" w:orient="portrait"/>
          <w:cols w:equalWidth="0" w:num="1">
            <w:col w:w="11240"/>
          </w:cols>
          <w:pgMar w:left="320" w:top="509"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tabs>
          <w:tab w:leader="none" w:pos="2360" w:val="left"/>
          <w:tab w:leader="none" w:pos="6960" w:val="left"/>
        </w:tabs>
        <w:rPr>
          <w:sz w:val="20"/>
          <w:szCs w:val="20"/>
          <w:color w:val="auto"/>
        </w:rPr>
      </w:pPr>
      <w:r>
        <w:rPr>
          <w:rFonts w:ascii="Times New Roman" w:cs="Times New Roman" w:eastAsia="Times New Roman" w:hAnsi="Times New Roman"/>
          <w:sz w:val="18"/>
          <w:szCs w:val="18"/>
          <w:color w:val="auto"/>
        </w:rPr>
        <w:t>Auditor Firm ID: 271</w:t>
      </w:r>
      <w:r>
        <w:rPr>
          <w:sz w:val="20"/>
          <w:szCs w:val="20"/>
          <w:color w:val="auto"/>
        </w:rPr>
        <w:tab/>
      </w:r>
      <w:r>
        <w:rPr>
          <w:rFonts w:ascii="Times New Roman" w:cs="Times New Roman" w:eastAsia="Times New Roman" w:hAnsi="Times New Roman"/>
          <w:sz w:val="18"/>
          <w:szCs w:val="18"/>
          <w:color w:val="auto"/>
        </w:rPr>
        <w:t>Auditor Name: PricewaterhouseCoopers LLC</w:t>
      </w:r>
      <w:r>
        <w:rPr>
          <w:sz w:val="20"/>
          <w:szCs w:val="20"/>
          <w:color w:val="auto"/>
        </w:rPr>
        <w:tab/>
      </w:r>
      <w:r>
        <w:rPr>
          <w:rFonts w:ascii="Times New Roman" w:cs="Times New Roman" w:eastAsia="Times New Roman" w:hAnsi="Times New Roman"/>
          <w:sz w:val="17"/>
          <w:szCs w:val="17"/>
          <w:color w:val="auto"/>
        </w:rPr>
        <w:t>Auditor Location: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Ltd.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filing this Amendment No. 1 (this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to its Annual Report on Form 40-F for the fiscal year ended December 31, 2023 (the “</w:t>
      </w:r>
      <w:r>
        <w:rPr>
          <w:rFonts w:ascii="Times New Roman" w:cs="Times New Roman" w:eastAsia="Times New Roman" w:hAnsi="Times New Roman"/>
          <w:sz w:val="18"/>
          <w:szCs w:val="18"/>
          <w:b w:val="1"/>
          <w:bCs w:val="1"/>
          <w:color w:val="auto"/>
        </w:rPr>
        <w:t>Original Filing</w:t>
      </w:r>
      <w:r>
        <w:rPr>
          <w:rFonts w:ascii="Times New Roman" w:cs="Times New Roman" w:eastAsia="Times New Roman" w:hAnsi="Times New Roman"/>
          <w:sz w:val="18"/>
          <w:szCs w:val="18"/>
          <w:color w:val="auto"/>
        </w:rPr>
        <w:t>”), as originally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7, 2024, to respond to a comment letter received from the SEC in connection with its review of the Original Filing and correct a material error in its audited consolidated financial statements as at and for the years ended December 31, 2023 and 2022. In connection therewith, the Company is filing restated audited consolidated financial statements of the Registrant as of and for the years ended December 31, 2023 and 2022 (the “</w:t>
      </w:r>
      <w:r>
        <w:rPr>
          <w:rFonts w:ascii="Times New Roman" w:cs="Times New Roman" w:eastAsia="Times New Roman" w:hAnsi="Times New Roman"/>
          <w:sz w:val="18"/>
          <w:szCs w:val="18"/>
          <w:b w:val="1"/>
          <w:bCs w:val="1"/>
          <w:color w:val="auto"/>
        </w:rPr>
        <w:t>Restated Financial Statements</w:t>
      </w:r>
      <w:r>
        <w:rPr>
          <w:rFonts w:ascii="Times New Roman" w:cs="Times New Roman" w:eastAsia="Times New Roman" w:hAnsi="Times New Roman"/>
          <w:sz w:val="18"/>
          <w:szCs w:val="18"/>
          <w:color w:val="auto"/>
        </w:rPr>
        <w:t>”), including the Report of Independent Registered Public Accounting Firm with respect thereto. In addition, the Registrant is including in this Amendment No. 1 its restated Management’s Discussion and Analysis for the year ended December 31, 2023 (the “</w:t>
      </w:r>
      <w:r>
        <w:rPr>
          <w:rFonts w:ascii="Times New Roman" w:cs="Times New Roman" w:eastAsia="Times New Roman" w:hAnsi="Times New Roman"/>
          <w:sz w:val="18"/>
          <w:szCs w:val="18"/>
          <w:b w:val="1"/>
          <w:bCs w:val="1"/>
          <w:color w:val="auto"/>
        </w:rPr>
        <w:t>Restated MD&amp;A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Restated Financial Statements and Restated MD&amp;A have been restated to: (a) correct a material error in the statement of cash flows by reclassifying proceeds from the sales of digital assets from cash flows from operations to cash flows from investing activities; and (b) correct errors identified in the Registrant’s accounting for the 2023 exercises of warrants issued in connection with a private placement financing in 2023, resulting in an increase in the share capital and net financial expenses. These matters are described in Note 3(e) to the Restated Financial Statements and in the Restated MD&amp;A.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by this Amendment No. 1, the Registrant is amending the Original Filing in order to restate Exhibits 99.2 and 99.3 thereto and to restate the sections of the Original Filing set forth below under “Additional Disclosure.” In addition, the Original Filing has been amended to include a currently dated consent of the Registrant’s Independent Registered Public Accounting Firm and currently dated certifications from our Chief Executive Officer and Chief Financial Officer, as required by Sections 302 and 906 of the Sarbanes-Oxley Act of 2002. The consents of the Registrant’s Independent Registered Public Accounting Firm and the certifications of its Chief Executive Officer and Chief Financial Officer are included in this Amendment No. 1 as Exhibits 99.4, 99.5, 99.6, 99.7 and 99.8, respectively.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Registrant’s management had previously identified and reported a material weakness related to controls over accounting for complex transactions in the Registrant’s internal control over financial reporting as at December 31, 2023 in its Original Filing. The errors described above also identify the same material weakness related to controls over accounting for complex transactions in the Registrant’s internal control over financial reporting as at December 31, 2023, which the Registrant’s management is still in the process of remediating in 2024. As a result of the material weakness, the Registrant’s management, under the supervision of the Registrant’s Chief Executive Officer and Chief Financial Officer have concluded that the Registrant’s internal control over financial reporting are not effective as at December 31, 2023. See “Internal Controls Over Financial Reporting” in the Restated MD&amp;A and “Additional Disclosure,” below. As a result of the material weakness, management, under supervision of the Registrant’s Chief Executive Officer and Chief Financial Officer have also concluded that the Registrant’s disclosure controls and procedures are not effective as at December 31,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expressly set forth above and under “Additional Disclosures” below, this Amendment No. 1 does not, and does not purport to, update or restate the information in the Original Filing, filed on March 7, 2024, or reflect any events that have occurred after the Original Filing was initially filed.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consolidated financial statements and related financial information for the periods contained in the Restated Financial Statements and Restated MD&amp;A contained in any reports filed furnished prior to the date hereof should no longer be relied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PRINCIPAL DOCUMENTS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documents, filed as Exhibits 99.2 and 99.3 to this Amendment No. 1, are hereby incorporated by reference into this Amendment No. 1 and supersede Exhibits 99.2 and 99.3 to the Original Filing: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Financial Statements. The Registrant’s Restated Financial Statements included in this Amendment No. 1 have been prepared in accordance with International Financial Reporting Standards, as issued by the International Accounting Standards Board. Therefore, they are not comparable in all respects to financial statements of United States companies that are prepared in accordance with United States generally accepted accounting principles.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MD&amp;A.</w:t>
      </w: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ADDITIONAL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r>
        <w:rPr>
          <w:rFonts w:ascii="Times New Roman" w:cs="Times New Roman" w:eastAsia="Times New Roman" w:hAnsi="Times New Roman"/>
          <w:sz w:val="18"/>
          <w:szCs w:val="18"/>
          <w:color w:val="auto"/>
        </w:rPr>
        <w:t>. See Exhibits 99.4, 99.5, 99.6 and 99.7 to this Amendment No. 1.</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disclosures set forth below restate and supersede the corresponding disclosures set forth under the headings “Disclosure Controls and Procedures,” “Management’s Report on Internal Control Over Financial Reporting,” Changes in Internal Control over Financial Reporting,” and “Recovery of Erroneously Awarded Compensation” in the Original Filing.</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Disclosure Controls and Procedures</w:t>
      </w:r>
      <w:r>
        <w:rPr>
          <w:rFonts w:ascii="Times New Roman" w:cs="Times New Roman" w:eastAsia="Times New Roman" w:hAnsi="Times New Roman"/>
          <w:sz w:val="18"/>
          <w:szCs w:val="18"/>
          <w:color w:val="auto"/>
        </w:rPr>
        <w:t>. As of the end of the period covered by this Annual Report, the Registrant carried out an evaluation,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supervision of the Registrant’s Chief Executive Officer and Chief Financial Officer, of the effectiveness of the Registrant’s disclosure controls and procedures (as defined in Rules 13a-15(e) and 15d-15(e)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Based upon that evaluation and the material weakness in the Registrant’s internal control over financial reporting described below, the Registrant’s Chief Executive Officer and Chief Financial Officer have concluded that, as of December 31, 2023, the Registrant’s disclosure controls and procedures were not effective to give reasonable assurance that information required to be disclosed by the Registrant in reports that it files or submits under the Exchange Act is (i) recorded, processed, summarized and reported within the time periods specified in SEC rules and forms, and (ii) accumulated and communicated to the Registrant’s management, including its principal executive officer and principal financial officer, to allow timely decisions regarding required disclosure.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r>
        <w:rPr>
          <w:rFonts w:ascii="Times New Roman" w:cs="Times New Roman" w:eastAsia="Times New Roman" w:hAnsi="Times New Roman"/>
          <w:sz w:val="18"/>
          <w:szCs w:val="18"/>
          <w:color w:val="auto"/>
        </w:rPr>
        <w:t>. Management of the Registrant, under the supervision of the Registrant’s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Officer and Chief Financial Officer, is responsible for establishing and maintaining an adequate system of “internal control over financial reporting” as defined in Rules 13a-15(f) and 15d-15(f) under the Exchange Act. Internal control over financial reporting is designed to provide reasonable assurance regarding the reliability of financial reporting and the preparation of financial statements for external purposes in accordance with IFRS Accounting Standards. Management, including the Chief Executive Officer and the Chief Financial Officer, has evaluated the effectiveness of the Registrant’s internal control over financial reporting in accordance with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this assessment, management, including the Chief Executive Officer and the Chief Financial Officer, concluded that the Registrant’s internal control over financial reporting was not effective as of December 31, 2023, as a result of a material weakness identified in the Registrant’s internal control over financial reporting, which is further described below.</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 material weakness is a deficiency, or a combination of deficiencies, in internal control over financial reporting such that there is a reasonable possibility that a material misstatement of the Registrant’s annual or interim financial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xml:space="preserve"> will not be prevented or detected on a timely basis. In conjunction with the preparation of the Registrant’s financial statements for the year ended December 31, 2023, and specifically, in connection with the accounting for private placement warrants that were issued in the fourth quarter of 2023, management identified an error in its accounting for previously issued warrants that were issued in connection with certain private placement financings in 2021.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has been reflected in the restated comparative periods presented in the Restated Financial Statements. In addition, in November 2024, management has identified a material error in the statement of cash flows, resulting in a change to correct the classification of proceeds from the sales of digital assets from cash flows from operations to cash flows from investing activities, as described in the Explanatory Note above. The accounting for the 2023 exercises of warrants issued in connection with a private placement financing in 2023 is also corrected, resulting in an increase in the share capital and net financial expenses. These errors are corrected in the Restated Financial Statements. Management has determined that the control over accounting for complex transactions did not operate effectively in these instances, which constitutes a material weakness, and management is in the process of implementing remediation measures to address the material weakness.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Registrant’s remediation efforts to date comprise expanding the finance team to include more Chartered Professional Accountants with technical expertise and experience in evaluating more complex areas of IFRS, involving the Company's legal counsel on evaluating complex agreements that involve financial instruments and engaging with external third-party consultants to assist with assessing the accounting for complex financial instruments and review of financial statements. Management’s efforts are ongoing and its remediation plan is expected to be completed during 2024. If these remedial measures are insufficient to address the material weakness described above, or are not implemented timely, or additional deficiencies arise in the future, material misstatements in the Registrant’s interim or annual financial statements may occur in the future and could have the effects described in the “Risk Factors” section of the Restated MD&amp;A.</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Except as otherwise described above, no change occurred in the Registrant’s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during the fiscal year ended December 31, 2023 that has materially affected, or is reasonably likely to materially affect, the Registrant’s internal control over financial reporting.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Registrant has adopted a compensation recovery policy (the “</w:t>
      </w:r>
      <w:r>
        <w:rPr>
          <w:rFonts w:ascii="Times New Roman" w:cs="Times New Roman" w:eastAsia="Times New Roman" w:hAnsi="Times New Roman"/>
          <w:sz w:val="18"/>
          <w:szCs w:val="18"/>
          <w:b w:val="1"/>
          <w:bCs w:val="1"/>
          <w:color w:val="auto"/>
        </w:rPr>
        <w:t>Executive Compensation Clawback Policy</w:t>
      </w:r>
      <w:r>
        <w:rPr>
          <w:rFonts w:ascii="Times New Roman" w:cs="Times New Roman" w:eastAsia="Times New Roman" w:hAnsi="Times New Roman"/>
          <w:sz w:val="18"/>
          <w:szCs w:val="18"/>
          <w:color w:val="auto"/>
        </w:rPr>
        <w:t>”) as required by the Nasdaq listing rules and Rule 10D-1 of the Exchange Act. A copy of the Executive Compensation Clawback Policy was filed as Exhibit 97.1 to the Original Filing. As described above, the Registrant was required to prepare an accounting restatement of its consolidated financial statements as at and for the years ended December 31, 2023 and 2022 which has been reflected in the Restated Financial Statements that are filed as Exhibit 99.2 to this Amendment No. 1. The Registrant concluded that it was not required under the Executive Compensation Clawback Policy to recover any previously awarded incentive-based compensation because the current and former executive officers who are subject to the Executive Compensation Clawback Policy have never received incentive-based compensation based on any financial reporting measure that was impacted by the referenced restatement.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Undertaking</w:t>
      </w:r>
      <w:r>
        <w:rPr>
          <w:rFonts w:ascii="Times New Roman" w:cs="Times New Roman" w:eastAsia="Times New Roman" w:hAnsi="Times New Roman"/>
          <w:sz w:val="18"/>
          <w:szCs w:val="18"/>
          <w:color w:val="auto"/>
        </w:rPr>
        <w:t>. The Registrant undertakes to make available, in person or by telephone, representatives to respond to inquiries made by the SEC staff,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furnish promptly, when requested to do so by the SEC staff, information relating to the securities registered pursuant to Form 40-F, in relation to which the obligation to file an annual report on Form 40-F arises or transactions in said securities.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 Consent to Service of Process</w:t>
      </w:r>
      <w:r>
        <w:rPr>
          <w:rFonts w:ascii="Times New Roman" w:cs="Times New Roman" w:eastAsia="Times New Roman" w:hAnsi="Times New Roman"/>
          <w:sz w:val="18"/>
          <w:szCs w:val="18"/>
          <w:color w:val="auto"/>
        </w:rPr>
        <w:t>. The Registrant has previously filed a Form F-X in connection with its common shares. Any change to the name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of the Registrant’s agent for service shall be communicated promptly to the Commission by amendment to the Form F-X referencing the file number of the Registrant.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240" w:type="dxa"/>
            <w:vAlign w:val="bottom"/>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documents are being filed with the Commission as Exhibits to this Registration Statement:</w:t>
            </w:r>
          </w:p>
        </w:tc>
      </w:tr>
      <w:tr>
        <w:trPr>
          <w:trHeight w:val="439"/>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8"/>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7"/>
                <w:szCs w:val="17"/>
                <w:color w:val="auto"/>
              </w:rPr>
            </w:pPr>
          </w:p>
        </w:tc>
        <w:tc>
          <w:tcPr>
            <w:tcW w:w="1022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Clawback Policy</w:t>
              </w:r>
            </w:hyperlink>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320" w:type="dxa"/>
            <w:vAlign w:val="bottom"/>
            <w:gridSpan w:val="11"/>
            <w:shd w:val="clear" w:color="auto" w:fill="CCEEFF"/>
          </w:tcPr>
          <w:p>
            <w:pPr>
              <w:ind w:left="100"/>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Annual Information Form for the year ended December 31, 2023</w:t>
              </w:r>
            </w:hyperlink>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320" w:type="dxa"/>
            <w:vAlign w:val="bottom"/>
            <w:gridSpan w:val="1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Restated Audited Consolidated Financial Statements as at and for the years ended December 31, 2023 and 2022</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0320" w:type="dxa"/>
            <w:vAlign w:val="bottom"/>
            <w:gridSpan w:val="1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Restated Management’s Discussion and Analysis for the year ended December 31, 2023</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0320" w:type="dxa"/>
            <w:vAlign w:val="bottom"/>
            <w:gridSpan w:val="1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or 15d-14(a) of the U.S. Securities Exchange Act of 1934, as amended</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0320" w:type="dxa"/>
            <w:vAlign w:val="bottom"/>
            <w:gridSpan w:val="1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15d-14(a) of the U.S. Securities Exchange Act of 1934, as amended</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99.6</w:t>
            </w:r>
          </w:p>
        </w:tc>
        <w:tc>
          <w:tcPr>
            <w:tcW w:w="10320" w:type="dxa"/>
            <w:vAlign w:val="bottom"/>
            <w:gridSpan w:val="1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99.7</w:t>
            </w:r>
          </w:p>
        </w:tc>
        <w:tc>
          <w:tcPr>
            <w:tcW w:w="10320" w:type="dxa"/>
            <w:vAlign w:val="bottom"/>
            <w:gridSpan w:val="1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99.8</w:t>
            </w:r>
          </w:p>
        </w:tc>
        <w:tc>
          <w:tcPr>
            <w:tcW w:w="10320" w:type="dxa"/>
            <w:vAlign w:val="bottom"/>
            <w:gridSpan w:val="1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gridSpan w:val="11"/>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11"/>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11"/>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11"/>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11"/>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11"/>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right="3680" w:firstLine="8"/>
        <w:spacing w:after="0" w:line="532" w:lineRule="auto"/>
        <w:tabs>
          <w:tab w:leader="none" w:pos="10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certifies that it meets all of the requirements for filing on Form 40-F/A and has duly caused this report to be signed on its behalf by the undersigned, thereto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Chief Executive Officer &amp;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NOTICE TO READER: The following audited consolidated financial statements for Bitfarms Ltd. have been restated. The statement of cash flows has been restated to reclassify the cash proceeds from the sale of digital assets, which is accounted for as an intangible asset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from cash flows from operations to cash flows from investing activities. The Company has determined that this error was material to the previously issued consolidated financial statements and as such, has restated its audited consolidated financial statements, as applicable. In addition, the Company is correcting an error in the fair value recorded for the 2023 exercises of warrants issued in connection with the private placement financing in 2023. The correction resulted in an increase in the share capital and net financial expenses in the restated consolidated financial statements. Further details are presented in Note 3e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2214880</wp:posOffset>
            </wp:positionV>
            <wp:extent cx="214312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(Restated)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7"/>
        </w:trPr>
        <w:tc>
          <w:tcPr>
            <w:tcW w:w="580" w:type="dxa"/>
            <w:vAlign w:val="bottom"/>
            <w:shd w:val="clear" w:color="auto" w:fill="CCEEFF"/>
          </w:tcPr>
          <w:p>
            <w:pPr>
              <w:spacing w:after="0"/>
              <w:rPr>
                <w:sz w:val="20"/>
                <w:szCs w:val="20"/>
                <w:color w:val="auto"/>
              </w:rPr>
            </w:pPr>
          </w:p>
        </w:tc>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 (Restated)</w:t>
            </w:r>
          </w:p>
        </w:tc>
        <w:tc>
          <w:tcPr>
            <w:tcW w:w="2920" w:type="dxa"/>
            <w:vAlign w:val="bottom"/>
            <w:shd w:val="clear" w:color="auto" w:fill="CCEEFF"/>
          </w:tcPr>
          <w:p>
            <w:pPr>
              <w:spacing w:after="0"/>
              <w:rPr>
                <w:sz w:val="20"/>
                <w:szCs w:val="20"/>
                <w:color w:val="auto"/>
              </w:rPr>
            </w:pPr>
          </w:p>
        </w:tc>
      </w:tr>
      <w:tr>
        <w:trPr>
          <w:trHeight w:val="176"/>
        </w:trPr>
        <w:tc>
          <w:tcPr>
            <w:tcW w:w="580" w:type="dxa"/>
            <w:vAlign w:val="bottom"/>
          </w:tcPr>
          <w:p>
            <w:pPr>
              <w:spacing w:after="0"/>
              <w:rPr>
                <w:sz w:val="15"/>
                <w:szCs w:val="15"/>
                <w:color w:val="auto"/>
              </w:rPr>
            </w:pPr>
          </w:p>
        </w:tc>
        <w:tc>
          <w:tcPr>
            <w:tcW w:w="77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92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580" w:type="dxa"/>
            <w:vAlign w:val="bottom"/>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rPr>
                <w:sz w:val="15"/>
                <w:szCs w:val="15"/>
                <w:color w:val="auto"/>
              </w:rPr>
            </w:pPr>
          </w:p>
        </w:tc>
        <w:tc>
          <w:tcPr>
            <w:tcW w:w="77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w:t>
            </w:r>
          </w:p>
        </w:tc>
        <w:tc>
          <w:tcPr>
            <w:tcW w:w="292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rPr>
                <w:sz w:val="15"/>
                <w:szCs w:val="15"/>
                <w:color w:val="auto"/>
              </w:rPr>
            </w:pPr>
          </w:p>
        </w:tc>
        <w:tc>
          <w:tcPr>
            <w:tcW w:w="77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Comprehensive Profit or Loss</w:t>
            </w:r>
          </w:p>
        </w:tc>
        <w:tc>
          <w:tcPr>
            <w:tcW w:w="292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580" w:type="dxa"/>
            <w:vAlign w:val="bottom"/>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77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292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580" w:type="dxa"/>
            <w:vAlign w:val="bottom"/>
            <w:tcBorders>
              <w:top w:val="single" w:sz="8" w:color="CCEEFF"/>
            </w:tcBorders>
          </w:tcPr>
          <w:p>
            <w:pPr>
              <w:spacing w:after="0"/>
              <w:rPr>
                <w:sz w:val="15"/>
                <w:szCs w:val="15"/>
                <w:color w:val="auto"/>
              </w:rPr>
            </w:pPr>
          </w:p>
        </w:tc>
        <w:tc>
          <w:tcPr>
            <w:tcW w:w="33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400" w:type="dxa"/>
            <w:vAlign w:val="bottom"/>
            <w:tcBorders>
              <w:top w:val="single" w:sz="8" w:color="CCEEFF"/>
            </w:tcBorders>
            <w:gridSpan w:val="3"/>
          </w:tcPr>
          <w:p>
            <w:pPr>
              <w:spacing w:after="0"/>
              <w:rPr>
                <w:sz w:val="15"/>
                <w:szCs w:val="15"/>
                <w:color w:val="auto"/>
              </w:rPr>
            </w:pPr>
          </w:p>
        </w:tc>
        <w:tc>
          <w:tcPr>
            <w:tcW w:w="2920" w:type="dxa"/>
            <w:vAlign w:val="bottom"/>
            <w:tcBorders>
              <w:top w:val="single" w:sz="8" w:color="CCEEFF"/>
            </w:tcBorders>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580" w:type="dxa"/>
            <w:vAlign w:val="bottom"/>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the Consolidated Financial Statements (Restated)</w:t>
            </w:r>
          </w:p>
        </w:tc>
        <w:tc>
          <w:tcPr>
            <w:tcW w:w="248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5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Nature of Operations</w:t>
            </w:r>
          </w:p>
        </w:tc>
        <w:tc>
          <w:tcPr>
            <w:tcW w:w="6660" w:type="dxa"/>
            <w:vAlign w:val="bottom"/>
            <w:tcBorders>
              <w:bottom w:val="single" w:sz="8" w:color="CCEEFF"/>
            </w:tcBorders>
            <w:gridSpan w:val="17"/>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3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Liquidity</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2480" w:type="dxa"/>
            <w:vAlign w:val="bottom"/>
            <w:shd w:val="clear" w:color="auto" w:fill="CCEEFF"/>
          </w:tcPr>
          <w:p>
            <w:pPr>
              <w:jc w:val="center"/>
              <w:ind w:left="139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476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Judgments and Estimates</w:t>
            </w:r>
          </w:p>
        </w:tc>
        <w:tc>
          <w:tcPr>
            <w:tcW w:w="3420" w:type="dxa"/>
            <w:vAlign w:val="bottom"/>
            <w:tcBorders>
              <w:top w:val="single" w:sz="8" w:color="CCEEFF"/>
            </w:tcBorders>
            <w:gridSpan w:val="3"/>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6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Acquisitions of Assets</w:t>
            </w:r>
          </w:p>
        </w:tc>
        <w:tc>
          <w:tcPr>
            <w:tcW w:w="6560" w:type="dxa"/>
            <w:vAlign w:val="bottom"/>
            <w:tcBorders>
              <w:bottom w:val="single" w:sz="8" w:color="CCEEFF"/>
            </w:tcBorders>
            <w:gridSpan w:val="15"/>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Cash</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 Receivables</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3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Other Assets</w:t>
            </w:r>
          </w:p>
        </w:tc>
        <w:tc>
          <w:tcPr>
            <w:tcW w:w="6860" w:type="dxa"/>
            <w:vAlign w:val="bottom"/>
            <w:tcBorders>
              <w:top w:val="single" w:sz="8" w:color="CCEEFF"/>
            </w:tcBorders>
            <w:gridSpan w:val="19"/>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Digital Assets</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Impairment</w:t>
            </w:r>
          </w:p>
        </w:tc>
        <w:tc>
          <w:tcPr>
            <w:tcW w:w="6720" w:type="dxa"/>
            <w:vAlign w:val="bottom"/>
            <w:tcBorders>
              <w:top w:val="single" w:sz="8" w:color="CCEEFF"/>
            </w:tcBorders>
            <w:gridSpan w:val="18"/>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2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Intangible Assets</w:t>
            </w:r>
          </w:p>
        </w:tc>
        <w:tc>
          <w:tcPr>
            <w:tcW w:w="5980" w:type="dxa"/>
            <w:vAlign w:val="bottom"/>
            <w:tcBorders>
              <w:top w:val="single" w:sz="8" w:color="CCEEFF"/>
            </w:tcBorders>
            <w:gridSpan w:val="11"/>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Long-term Deposits, Equipment Prepayments, Commitments and Other</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516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Trade Payables and Accrued Liabilities</w:t>
            </w:r>
          </w:p>
        </w:tc>
        <w:tc>
          <w:tcPr>
            <w:tcW w:w="3020" w:type="dxa"/>
            <w:vAlign w:val="bottom"/>
            <w:tcBorders>
              <w:top w:val="single" w:sz="8" w:color="CCEEFF"/>
            </w:tcBorders>
            <w:gridSpan w:val="2"/>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Long-term Debt</w:t>
            </w:r>
          </w:p>
        </w:tc>
        <w:tc>
          <w:tcPr>
            <w:tcW w:w="7020" w:type="dxa"/>
            <w:vAlign w:val="bottom"/>
            <w:tcBorders>
              <w:bottom w:val="single" w:sz="8" w:color="CCEEFF"/>
            </w:tcBorders>
            <w:gridSpan w:val="21"/>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Leases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Income Taxes</w:t>
            </w:r>
          </w:p>
        </w:tc>
        <w:tc>
          <w:tcPr>
            <w:tcW w:w="7180" w:type="dxa"/>
            <w:vAlign w:val="bottom"/>
            <w:tcBorders>
              <w:bottom w:val="single" w:sz="8" w:color="CCEEFF"/>
            </w:tcBorders>
            <w:gridSpan w:val="22"/>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Asset Retirement Provision</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Transactions and Balances with Related Parties</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34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Capital Management Policies and Procedures</w:t>
            </w:r>
          </w:p>
        </w:tc>
        <w:tc>
          <w:tcPr>
            <w:tcW w:w="4780" w:type="dxa"/>
            <w:vAlign w:val="bottom"/>
            <w:tcBorders>
              <w:top w:val="single" w:sz="8" w:color="CCEEFF"/>
            </w:tcBorders>
            <w:gridSpan w:val="7"/>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8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Subsidiaries</w:t>
            </w:r>
          </w:p>
        </w:tc>
        <w:tc>
          <w:tcPr>
            <w:tcW w:w="7300" w:type="dxa"/>
            <w:vAlign w:val="bottom"/>
            <w:tcBorders>
              <w:bottom w:val="single" w:sz="8" w:color="CCEEFF"/>
            </w:tcBorders>
            <w:gridSpan w:val="25"/>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Net Earnings (Loss) Per Share</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16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Share-based Payments</w:t>
            </w:r>
          </w:p>
        </w:tc>
        <w:tc>
          <w:tcPr>
            <w:tcW w:w="6560" w:type="dxa"/>
            <w:vAlign w:val="bottom"/>
            <w:tcBorders>
              <w:bottom w:val="single" w:sz="8" w:color="CCEEFF"/>
            </w:tcBorders>
            <w:gridSpan w:val="15"/>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818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Geographical Information</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81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81407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81407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color w:val="auto"/>
        </w:rPr>
        <w:t>Report of Independent Registered Public Accounting Firm</w:t>
      </w: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the Board of Directors and Shareholders of Bitfarms Ltd.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Bitfarms Ltd. and its subsidiaries (together, the Company) as of December 31, 2023 and 2022, and the related consolidated statements of profit or loss and comprehensive profit or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its financial performance and its cash flows for the years then ended in conformity with International Financial Reporting Standards as issued by the International Accounting Standards Board.</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Restatement of Previously Issued Financial Statements</w:t>
      </w:r>
    </w:p>
    <w:p>
      <w:pPr>
        <w:spacing w:after="0" w:line="29" w:lineRule="exact"/>
        <w:rPr>
          <w:sz w:val="20"/>
          <w:szCs w:val="20"/>
          <w:color w:val="auto"/>
        </w:rPr>
      </w:pPr>
    </w:p>
    <w:p>
      <w:pPr>
        <w:jc w:val="both"/>
        <w:ind w:left="980"/>
        <w:spacing w:after="0" w:line="260" w:lineRule="auto"/>
        <w:rPr>
          <w:sz w:val="20"/>
          <w:szCs w:val="20"/>
          <w:color w:val="auto"/>
        </w:rPr>
      </w:pPr>
      <w:r>
        <w:rPr>
          <w:rFonts w:ascii="Times New Roman" w:cs="Times New Roman" w:eastAsia="Times New Roman" w:hAnsi="Times New Roman"/>
          <w:sz w:val="18"/>
          <w:szCs w:val="18"/>
          <w:color w:val="auto"/>
        </w:rPr>
        <w:t>As discussed in Note 3(e) to the consolidated financial statements, the Company has restated its 2023 and 2022 financial statements to correct errors.</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9, 2024</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PwC Tower, 18 York Street, Suite 2500, Toronto, Ontario, Canada M5J 0B2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+1 416 863 1133, F: +1 416 365 8215, ca_toronto_18_york_fax@pwc.com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“PwC” refers to PricewaterhouseCoopers LLP, an Ontario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 -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5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 (restated - Note 3e)</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2,199</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4,512</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6,393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0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12,142</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31,870</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9, 17</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2,101</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209"/>
        </w:trPr>
        <w:tc>
          <w:tcPr>
            <w:tcW w:w="5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129,984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69,088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13, 29</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186,012</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219,428</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16,364</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44,714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38,185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3,700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378,725</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343,098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20,739</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43,054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2,857</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3,649</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20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0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10, 21</w:t>
            </w: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40,426</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55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69,154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67,413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12,993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r>
      <w:tr>
        <w:trPr>
          <w:trHeight w:val="230"/>
        </w:trPr>
        <w:tc>
          <w:tcPr>
            <w:tcW w:w="5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w:t>
            </w: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4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83,963</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87,700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0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535,009</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404,934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0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47,653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0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2,941</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(197,189)</w:t>
            </w:r>
          </w:p>
        </w:tc>
      </w:tr>
      <w:tr>
        <w:trPr>
          <w:trHeight w:val="223"/>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255,398</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378,725</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343,098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tc>
        <w:tc>
          <w:tcPr>
            <w:tcW w:w="2680" w:type="dxa"/>
            <w:vAlign w:val="bottom"/>
          </w:tcPr>
          <w:p>
            <w:pPr>
              <w:spacing w:after="0"/>
              <w:rPr>
                <w:sz w:val="20"/>
                <w:szCs w:val="20"/>
                <w:color w:val="auto"/>
              </w:rPr>
            </w:pPr>
          </w:p>
        </w:tc>
      </w:tr>
      <w:tr>
        <w:trPr>
          <w:trHeight w:val="432"/>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8, 2024</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w w:val="99"/>
              </w:rPr>
              <w:t>/s/ Brian Howlett</w:t>
            </w: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r>
      <w:tr>
        <w:trPr>
          <w:trHeight w:val="187"/>
        </w:trPr>
        <w:tc>
          <w:tcPr>
            <w:tcW w:w="2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120" w:type="dxa"/>
            <w:vAlign w:val="bottom"/>
          </w:tcPr>
          <w:p>
            <w:pPr>
              <w:spacing w:after="0"/>
              <w:rPr>
                <w:sz w:val="16"/>
                <w:szCs w:val="16"/>
                <w:color w:val="auto"/>
              </w:rPr>
            </w:pPr>
          </w:p>
        </w:tc>
        <w:tc>
          <w:tcPr>
            <w:tcW w:w="2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Chairman of the Board of</w:t>
            </w:r>
          </w:p>
        </w:tc>
        <w:tc>
          <w:tcPr>
            <w:tcW w:w="10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Chief Executive Officer &amp; Director</w:t>
            </w:r>
          </w:p>
        </w:tc>
        <w:tc>
          <w:tcPr>
            <w:tcW w:w="2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COMPREHENSIVE PROFIT OR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per share amounts - audited -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1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2023 (restated - Note 3e)</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9, 29</w:t>
            </w:r>
          </w:p>
        </w:tc>
        <w:tc>
          <w:tcPr>
            <w:tcW w:w="31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142,428</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31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(131,910)</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42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10,518</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31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31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31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2,695</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w:t>
            </w:r>
          </w:p>
        </w:tc>
        <w:tc>
          <w:tcPr>
            <w:tcW w:w="1420" w:type="dxa"/>
            <w:vAlign w:val="bottom"/>
            <w:shd w:val="clear" w:color="auto" w:fill="CCEEFF"/>
          </w:tcPr>
          <w:p>
            <w:pPr>
              <w:spacing w:after="0"/>
              <w:rPr>
                <w:sz w:val="18"/>
                <w:szCs w:val="18"/>
                <w:color w:val="auto"/>
              </w:rPr>
            </w:pPr>
          </w:p>
        </w:tc>
        <w:tc>
          <w:tcPr>
            <w:tcW w:w="31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(1,778)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equipment and</w:t>
            </w:r>
          </w:p>
        </w:tc>
        <w:tc>
          <w:tcPr>
            <w:tcW w:w="14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prepayments, property, plant and equipment and</w:t>
            </w: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314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420" w:type="dxa"/>
            <w:vAlign w:val="bottom"/>
            <w:vMerge w:val="continue"/>
          </w:tcPr>
          <w:p>
            <w:pPr>
              <w:spacing w:after="0"/>
              <w:rPr>
                <w:sz w:val="20"/>
                <w:szCs w:val="20"/>
                <w:color w:val="auto"/>
              </w:rPr>
            </w:pPr>
          </w:p>
        </w:tc>
        <w:tc>
          <w:tcPr>
            <w:tcW w:w="3140" w:type="dxa"/>
            <w:vAlign w:val="bottom"/>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31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(72,129)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(284,022)</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31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90,966</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42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(109,323)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(193,056)</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31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17,412</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31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42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(99,680)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3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(0.42)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3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262,237,117</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207,776,081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number of shares - audited -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9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224,200,170</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404,934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47,653</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(197,189)</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255,398</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 (restated - Note 3e)</w:t>
            </w:r>
          </w:p>
        </w:tc>
        <w:tc>
          <w:tcPr>
            <w:tcW w:w="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9,242</w:t>
            </w: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9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(99,680)</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 of digital assets to</w:t>
            </w:r>
          </w:p>
        </w:tc>
        <w:tc>
          <w:tcPr>
            <w:tcW w:w="9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6,301</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(6,301)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 net of tax</w:t>
            </w:r>
          </w:p>
        </w:tc>
        <w:tc>
          <w:tcPr>
            <w:tcW w:w="9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97,386,182</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93,901</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93,901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250,002</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 and warrants</w:t>
            </w: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21, 27</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12,316,976</w:t>
            </w:r>
          </w:p>
        </w:tc>
        <w:tc>
          <w:tcPr>
            <w:tcW w:w="1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35,482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34,228</w:t>
            </w: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(restated - Note 3e)</w:t>
            </w:r>
          </w:p>
        </w:tc>
        <w:tc>
          <w:tcPr>
            <w:tcW w:w="9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(restated - Note 3e)</w:t>
            </w:r>
          </w:p>
        </w:tc>
        <w:tc>
          <w:tcPr>
            <w:tcW w:w="9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334,153,330</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535,009</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(299,810)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2,941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194,805,893</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354,707</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25,845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(21,545)</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359,007</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(175,644)</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21,788</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29,324,277</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54,086</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54,121</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expense related to equity</w:t>
            </w: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21, 27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224,200,170</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404,934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47,653</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(197,189)</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 -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 (restated - Note 3e)</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 (restated - Note 3e)</w:t>
            </w:r>
          </w:p>
        </w:tc>
        <w:tc>
          <w:tcPr>
            <w:tcW w:w="0" w:type="dxa"/>
            <w:vAlign w:val="bottom"/>
          </w:tcPr>
          <w:p>
            <w:pPr>
              <w:spacing w:after="0"/>
              <w:rPr>
                <w:sz w:val="1"/>
                <w:szCs w:val="1"/>
                <w:color w:val="auto"/>
              </w:rPr>
            </w:pPr>
          </w:p>
        </w:tc>
      </w:tr>
      <w:tr>
        <w:trPr>
          <w:trHeight w:val="425"/>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72,420</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equipment and</w:t>
            </w:r>
          </w:p>
        </w:tc>
        <w:tc>
          <w:tcPr>
            <w:tcW w:w="1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prepayments, property, plant and equipment and</w:t>
            </w: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2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420" w:type="dxa"/>
            <w:vAlign w:val="bottom"/>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75,213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(141,306)</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(138,985)</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(2,695)</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w:t>
            </w:r>
          </w:p>
        </w:tc>
        <w:tc>
          <w:tcPr>
            <w:tcW w:w="1420" w:type="dxa"/>
            <w:vAlign w:val="bottom"/>
          </w:tcPr>
          <w:p>
            <w:pPr>
              <w:spacing w:after="0"/>
              <w:rPr>
                <w:sz w:val="18"/>
                <w:szCs w:val="18"/>
                <w:color w:val="auto"/>
              </w:rPr>
            </w:pP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1,778</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financial expenses paid</w:t>
            </w:r>
          </w:p>
        </w:tc>
        <w:tc>
          <w:tcPr>
            <w:tcW w:w="14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(12,136)</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refunded (paid)</w:t>
            </w:r>
          </w:p>
        </w:tc>
        <w:tc>
          <w:tcPr>
            <w:tcW w:w="1420" w:type="dxa"/>
            <w:vAlign w:val="bottom"/>
          </w:tcPr>
          <w:p>
            <w:pPr>
              <w:spacing w:after="0"/>
              <w:rPr>
                <w:sz w:val="18"/>
                <w:szCs w:val="18"/>
                <w:color w:val="auto"/>
              </w:rPr>
            </w:pP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11,590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2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1,235</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(105,711)</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129,309</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158,674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2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(48,436)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3,111</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(36,262)</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48,507</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202,379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assets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(2,394)</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digital assets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digital assets purchased</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21,055</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4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(22,869)</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70,966</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109,074</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54,086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(30,545)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21, 27</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12,983</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420" w:type="dxa"/>
            <w:vAlign w:val="bottom"/>
          </w:tcPr>
          <w:p>
            <w:pPr>
              <w:spacing w:after="0"/>
              <w:rPr>
                <w:sz w:val="18"/>
                <w:szCs w:val="18"/>
                <w:color w:val="auto"/>
              </w:rPr>
            </w:pP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14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87,878</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24,010</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53,133</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year</w:t>
            </w:r>
          </w:p>
        </w:tc>
        <w:tc>
          <w:tcPr>
            <w:tcW w:w="14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4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on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mainly consist of selling its computational power used for hashing calculations for the purpose of cryptocurrency mining in multiple jurisdictions as described in Note 29 “Geographical Information”. The Company’s operations are currently located in Canada, the United States, Argentina and Paraguay. Volta, a wholly-owned subsidiary of the Company, assists the Company in building and maintaining its server farms and provides electrician services to both commercial and residential customers in Quebec.</w:t>
      </w:r>
    </w:p>
    <w:p>
      <w:pPr>
        <w:spacing w:after="0" w:line="180"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Bitcoin Blockchain (referred to as “Mining”). Bitfarms generally operates its Miners 24 hours a day, which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in BTC on a daily basis. Bitfarms accumulates the cryptocurrency fees it receives or exchanges them for U.S. dollars through reputable and established cryptocurrency trading platforms.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8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Volta</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Argentina</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Backbone Paraguay</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Mining</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Orion</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Orion Constellation Technologies Inc.</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BTC</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BVVE</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CAD</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USD</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U.S. Dollars</w:t>
            </w:r>
          </w:p>
        </w:tc>
      </w:tr>
      <w:tr>
        <w:trPr>
          <w:trHeight w:val="216"/>
        </w:trPr>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29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ARS</w:t>
            </w:r>
          </w:p>
        </w:tc>
        <w:tc>
          <w:tcPr>
            <w:tcW w:w="78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cryptocurrency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resulting in impairment losses being recorded.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indicate that the Company will generate positive cash flow in excess of the Company’s cash commitments within the twelve-month period. These analyses are based on BTC market factors including price, difficulty and network hashrate, for the twelve-month period following the date these consolidated financial statements were authorized for issuance.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The next BTC Halving is expected to occur in April 2024, at which time BTC block rewards will decrease from 6.25 BTC per block to 3.125 BTC per block. Once 21 million BTC are generated on or about the year 2140,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any sale of its BTC treasury and BTC earned may not be sufficient to fund capital investments to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may be diluted. If the Company is unable to obtain financing from external sources or issuing securities, or if funds from operations and proceeds from any sale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accounting policies have been applied consistently in the consolidated financial statements for all periods presented unless otherwise stated.</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of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International Financial Reporting Standards as issued by the International Accounting Standards Board (“IFRS Accounting Standards”). These consolidated financial statements were approved and authorized for issue by the Board of Directors on December 8,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cost basis, except for derivative financial instruments and digital assets that are measured at fair value. The consolidated financial statements are presented in U.S. dollars and all values are rounded to the nearest thousand, except where otherwise indicated.</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present the profit or loss items using the function of expense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cycle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cycle of the Company is to exchange computational power used for hashing calculations for digital assets and then routinely deposit them into custody, or convert them to fiat currency as needed. The Company’s activities have a one-year operating cycle. Accordingly, the assets and liabilities are classified in the statement of financial position as current assets and liabilities based on the Company’s operating cycle.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consolidate the Company’s subsidiaries from the date of acquisition until the date that control is lost. The subsidiaries are controlled by the Company, where control is achieved when the Company is exposed to or has the right to variable returns from its involvement with the investee and has the current ability to direct the activities of the investee that significantly affect the investee’s returns.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and its subsidiaries are prepared as of the same dates and periods. The consolidated financial statements are prepared using uniform accounting policies by all subsidiaries of the Company. Significant intercompany balances and transactions and gains or losses resulting from intercompany transactions are eliminated in full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Goodwill is initially measured at cost (being the excess of the aggregate of the consideration transferred and the amount recognized for non-controlling interests and any previous interest held over the fair value of the net identifiable assets acquired and liabilities assumed).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initial recognition, goodwill is measured at cost less any accumulated impairment losses. For the purpose of impairment testing, goodwill acquired in a business combination is, from the acquisition date, allocated to each of the Company’s cash-generating units (“CGUs”) or group of CGUs that are expected to benefit from the combination, irrespective of whether other assets or liabilities of the acquiree are assigned to those units.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CGU or group of CGUs to which goodwill has been allocated are tested for impairment annually or more frequently when there is an indication that the CGU or group of CGUs may be impaired. If the recoverable amount of the CGU or group of CGUs is less than its carrying amount, the impairment loss is allocated first to reduce the carrying amount of any goodwill allocated to the CGU or group of CGUs and then to the other assets of the CGU or group of CGUs on a pro-rata basis of the carrying amount of each asset in the CGU or group of CGUs. An impairment loss recognized for goodwill is not reversed in a subsequent period. The Company has designated December 31 as the date for its annual impairment test.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3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Functional currency and presentation currency</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statements are presented in U.S. Dollars, which is the functional currency of the parent company, as well as the functional currency of Backbone, Backbone Argentina, Backbone Paraguay, Backbone Mining and Orion. The functional currency is the currency that best reflects the economic environment in which the Company operates and conducts its transactions.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determines the functional currency of each subsidiary. Volta, a Canadian subsidiary, has a Canadian functional currency, and, as such, assets and liabilities are translated using the exchange rate in effect at each reporting date. Revenues and expenses are translated using the average exchange rates in effect for all periods presented. The resulting translation differences are included in other comprehensive income. The translation differences on foreign currency translation of Volta were immaterial for the years ended December 31, 2023 and December 31, 2022.</w:t>
      </w:r>
    </w:p>
    <w:p>
      <w:pPr>
        <w:spacing w:after="0" w:line="17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Transactions, assets and liabilities in foreign currency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in foreign currency are initially recorded at the exchange rate in effect on the transaction date. Monetary assets and liabilities in foreign currency are subsequently translated into the functional currency at the exchange rate in effect at each reporting date. Exchange rate differences, other than those capitalized to qualifying assets or carried to equity in hedging transactions, are included in profit or loss. Non-monetary assets and liabilities in foreign currency stated at cost are translated at the exchange rate in effect at the transaction date. Non-monetary assets and liabilities in foreign currency carried at fair value are translated at the exchange rate at the date on which the fair value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8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sale of computational power used for hashing calculations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entered into arrangements with a Mining pool operator, which is the Company’s customer, and has undertaken the single performance obligation of providing a service to perform hash calculations for the Mining pool operator, which is an output of the Company’s ordinary business activities, in exchange for non-cash consideration in the form of Bitcoin, which is variable consideration. The Bitcoin are calculated based on a formula which, in turn, is based on the hashrate contributed by the Company’s provided computing power used for hashing calculations allocated to the Mining pool, assessed over a 24-hour period, and distributed daily based on the FPPS methodology. The Company assesses the estimated amount of the variable non-cash consideration to which it expects to be entitled for providing computational power used for hashing calculations at contract inception and subsequently measures if it is highly probable that a significant reversal in the amount of cumulative revenue recognized will not occur. The uncertainties regarding the daily variable consideration to which the Company is entitled for providing its computational power used for hashing calculations are no longer constrained at 23:59:59 UTC regardless of the timing of the BTC received. The amount earned is calculated based on the Company’s computing power used for hashing calculations provided to the Mining pool and the estimated (i) block subsidies and (ii) daily average transaction fees which the Mining Pool expects to earn, less (iii) a Mining pool discount.</w:t>
      </w:r>
    </w:p>
    <w:p>
      <w:pPr>
        <w:spacing w:after="0" w:line="192" w:lineRule="exact"/>
        <w:rPr>
          <w:sz w:val="20"/>
          <w:szCs w:val="20"/>
          <w:color w:val="auto"/>
        </w:rPr>
      </w:pPr>
    </w:p>
    <w:p>
      <w:pPr>
        <w:jc w:val="both"/>
        <w:ind w:firstLine="8"/>
        <w:spacing w:after="0" w:line="261" w:lineRule="auto"/>
        <w:tabs>
          <w:tab w:leader="none" w:pos="2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subsidies refers to the block reward that are expected to be generated on the BTC network as a whole. The fee earned by the Company is first calculated by dividing (a) the total amount of hashrate the Company provides to the Mining pool operator, by (b) the total BTC network’s implied hashrate (as determined by the BTC network difficulty), multiplied by (c) the total amount of block subsidies that are expected to be generated on the BTC network as a whole.</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2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refers to the total fees paid by users of the network to execute transactions. The fee paid out by the Mining pool operator to the Company is further calculated by dividing (a) the total amount of transaction fees that are actually generated on the BTC network as a whole less the 3 largest and 3 smallest transactions per block, by (b) the total amount of block subsidies that are actually generated on the BTC network as a whole, multiplied by (c) the Company’s fee earned as calculated in (i) above. The Company is entitled to its relative share of consideration even if a block is not successfully added to the blockchain by the mining pool.</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3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discount refers to the discount applied to the total FPPS payout otherwise attributed to computing power service providers for their sale of computing power used for hashing calculations as defined in the rate schedule of the agreement with the Mining pool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Revenues from sale of computational power used for hashing calculations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entitled to the fee from the Mining Pool as calculated above regardless of the actual performance of the Mining Pool operator. Therefore, even if the Mining Pool does not successfully add any block to the blockchain in a given contract period, the fee remains payable by the Mining Pool to the Company. Accordingly, the Company is not sharing in the earnings of the Mining pool operator. The Company’s enforceable right to compensation begins when, and continues as long as, the Company provides its services to the Mining pool operator, and the Company decides when to provide these services under the contracts.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agreements with the Mining pool operator provide the Mining pool operator and the Company with the enforceable right to terminate the contract at any time without substantively compensating the other party for the termination. Upon termination, the Mining pool operator is required to pay the Company the amount due related to previously satisfied performance obligations. As a result, the Company has determined that the duration of the contract is less than 24 hours and the contract is continuously renewed throughout the day. The Company has also determined that the Mining pool operator’s renewal right is not a material right as the terms, conditions, and compensation amounts are at then-current market rates.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Bitcoin earned is received in full and can be paid in fractions of cryptocurrency. Revenues from providing Bitcoin a service to perform hash calculations for the Mining pool operator are recognized upon delivery of the service, i.e., when the Mining pool operator obtains control of the hash calculations, over a 24-hour period. The Company updates the estimated transaction price of the non-cash consideration received at its fair market value. Management estimates fair value daily based on the quantity of Bitcoin received multiplied by the price quoted from Coinbase Inc. (“Coinbase”) on the day it was received. Management considers the prices quoted on Coinbase to be a level 1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from electrical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through Volta, sells electrical components and provides electrician installation of those components as well as repair and maintenance services. Revenues are recognized according to the stage of completion of the transaction as of the balance sheet date. The stage of completion is estimated based on the costs incurred for the transaction compared to the estimated cost of completion for the project. Under this method, revenues are recognized in the reporting period in which the services are provided. In the event that the outcome of the contract cannot be measured reliably, the revenues are recognized to the extent of the recoverable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Cryptocurrency on hand at the end of a reporting period, if any, is classified as digital assets, and is accounted for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as an intangible asset with an indefinite useful life initially measured at cost, deemed to be the fair value upon receipt as described above, and subsequently measured under the revaluation model. Under the revaluation model, increases in the cryptocurrency’s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cryptocurrency is sold, the revaluation increase related to it is transferred from revaluation surplus to retained earnings. The Company revalues its cryptocurrency on hand on a monthly basis and following any significant fair value fluctuations. The fair value of cryptocurrency on hand at the end of the reporting period is calculated as the quantity of cryptocurrency on hand multiplied by the price quoted on Coinbase as of the reporting date.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cryptocurrency on hand at the end of the reporting period as digital assets, which are classified as current assets as Management has determined that the cryptocurrency on hand at the end of the reporting period has markets with sufficient liquidity to allow conversion within the Company’s normal operating cycle and the Company expects to realize the digital asset within twelve months after the reporting period. The Company presents cryptocurrency pledged as collateral separate from unencumbered cryptocurrency.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income tax expense for the year comprises current and deferred taxes. These taxes are recognized in profit or loss except to the extent they relate to items which are recognized in other comprehensive income or loss or directly in shareholders’ equity.</w:t>
      </w:r>
    </w:p>
    <w:p>
      <w:pPr>
        <w:spacing w:after="0" w:line="17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taxes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current tax liability is measured using the tax rates and tax laws that have been enacted or substantively enacted by the reporting date as well as adjustments required in connection with tax liabilities in respect of previous years.</w:t>
      </w:r>
    </w:p>
    <w:p>
      <w:pPr>
        <w:spacing w:after="0" w:line="17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Deferred taxes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in respect of temporary differences between the carrying amounts in the financial statements and the amounts attributed for tax purposes. Deferred taxes are measured at the tax rate that is expected to apply when the asset is realized, or the liability is settled, based on tax laws that have been enacted or substantively enacted by the reporting date.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are reviewed at each reporting date and reduced to the extent that it is not probable they will be utilized. Deductible carryforward losses and temporary differences for which deferred tax assets had not been recognized are reviewed at each reporting date and a respective deferred tax asset is recognized to the extent that their utilization is probable.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that would apply in the event of the disposal of investments in investees have not been taken into account in computing deferred taxes as long as the disposal of the investments in investees is not probable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assesses at contract inception whether a contract is, or contains, a lease. The determination is based on whether the contract conveys the right to control the use of an identified asset for a period of time in exchange for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a lessee applies a single recognition and measurement approach for all leases except for short-term leases and leases of low-value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liabilities to make lease payments and right-of-use assets (“ROU assets”) representing the right to use the underlying assets.</w:t>
      </w:r>
    </w:p>
    <w:p>
      <w:pPr>
        <w:spacing w:after="0" w:line="20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ROU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ROU assets at the commencement date of the lease (i.e., the date the underlying asset is available for use). ROU assets are measured at cost, less any accumulated depreciation and impairment losses, and adjusted for any remeasurement of lease liabilities. The cost of ROU assets includes the amount of lease liabilities recognized, initial direct costs incurred, and lease payments made at or before the commencement date less any lease incentives received. ROU assets are depreciated over the shorter of the lease term and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4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6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premises</w:t>
            </w:r>
          </w:p>
        </w:tc>
        <w:tc>
          <w:tcPr>
            <w:tcW w:w="3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Straight-line</w:t>
            </w:r>
          </w:p>
        </w:tc>
        <w:tc>
          <w:tcPr>
            <w:tcW w:w="4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4-10 years</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other</w:t>
            </w:r>
          </w:p>
        </w:tc>
        <w:tc>
          <w:tcPr>
            <w:tcW w:w="3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Straight-line</w:t>
            </w:r>
          </w:p>
        </w:tc>
        <w:tc>
          <w:tcPr>
            <w:tcW w:w="4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 and Electrical components</w:t>
            </w:r>
          </w:p>
        </w:tc>
        <w:tc>
          <w:tcPr>
            <w:tcW w:w="34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Sum of years</w:t>
            </w:r>
          </w:p>
        </w:tc>
        <w:tc>
          <w:tcPr>
            <w:tcW w:w="46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ownership of the leased asset transfers to the Company at the end of the lease term or the cost reflects the exercise of a purchase option, the asset is depreciated over the estimated useful life of the asset and is classified with property plant and equipment. Refer to the accounting policies of property, plant and equipment in this note. The ROU assets are also subject to impairment. Refer to the accounting policies of Impairment of non-financial assets in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liabilities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commencement date of the lease, the Company recognizes lease liabilities measured at the present value of lease payments to be made over the lease term. The lease payments include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in the period in which the event or condition that triggers the payment occurs.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8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leases and leases of low value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to its short-term leases of machinery, equipment and farming facilities (i.e., those leases that have a lease term of 12 months or less from the commencement date and do not contain a purchase option). The Company also applies the lease of low-value assets recognition exemption to leases of office equipment that are considered to be low value. Lease payments on short-term leases and leases of low-value assets are recognized as an expense on a straight-line basis over the lease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Non-currents assets or a disposal group are classified as held for sale if their carrying amount is expected to be recovered principally through a sale transaction rather than through continuing use. For this to be the case, the assets must be available for immediate sale in their present condition, the Company must be committed to their sale, there must be a program to locate a buyer, and it is highly probable that a sale will be completed within one year from the date of classification. From the date of such initial classification, the assets are no longer depreciated and are presented separately as current assets at the lower of their carrying amount and fair value less costs to sell. The gain or loss on disposition of assets held for sale will be presented separately in other comprehensive income (loss) only when it qualifies as part of discontinued operations.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an entity no longer plans to sell an asset in a sale transaction, it ceases the classification of the asset as held for sale and measures it at the lower of its carrying amount had it not been classified as held for sale or the recoverable amount of the asset on the date of the decision not to sell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carried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 The cost of an item of property, plant and equipment includes the initial estimate of the costs of dismantling and removing the item and restoring the site on which the item is located.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depreciated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2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53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0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w:t>
            </w:r>
          </w:p>
        </w:tc>
        <w:tc>
          <w:tcPr>
            <w:tcW w:w="3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Sum of years</w:t>
            </w:r>
          </w:p>
        </w:tc>
        <w:tc>
          <w:tcPr>
            <w:tcW w:w="5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Mineral assets *</w:t>
            </w:r>
          </w:p>
        </w:tc>
        <w:tc>
          <w:tcPr>
            <w:tcW w:w="3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5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equipment</w:t>
            </w:r>
          </w:p>
        </w:tc>
        <w:tc>
          <w:tcPr>
            <w:tcW w:w="3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Sum of years</w:t>
            </w:r>
          </w:p>
        </w:tc>
        <w:tc>
          <w:tcPr>
            <w:tcW w:w="5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280" w:type="dxa"/>
            <w:vAlign w:val="bottom"/>
          </w:tcPr>
          <w:p>
            <w:pPr>
              <w:ind w:left="780"/>
              <w:spacing w:after="0" w:line="198" w:lineRule="exact"/>
              <w:rPr>
                <w:sz w:val="20"/>
                <w:szCs w:val="20"/>
                <w:color w:val="auto"/>
              </w:rPr>
            </w:pPr>
            <w:r>
              <w:rPr>
                <w:rFonts w:ascii="Times New Roman" w:cs="Times New Roman" w:eastAsia="Times New Roman" w:hAnsi="Times New Roman"/>
                <w:sz w:val="18"/>
                <w:szCs w:val="18"/>
                <w:color w:val="auto"/>
              </w:rPr>
              <w:t>Straight-line</w:t>
            </w:r>
          </w:p>
        </w:tc>
        <w:tc>
          <w:tcPr>
            <w:tcW w:w="536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Shorter of the lease term and the expected life of the</w:t>
            </w:r>
          </w:p>
        </w:tc>
      </w:tr>
      <w:tr>
        <w:trPr>
          <w:trHeight w:val="234"/>
        </w:trPr>
        <w:tc>
          <w:tcPr>
            <w:tcW w:w="2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improvement</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Declining balance</w:t>
            </w:r>
          </w:p>
        </w:tc>
        <w:tc>
          <w:tcPr>
            <w:tcW w:w="5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32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Declining balance</w:t>
            </w:r>
          </w:p>
        </w:tc>
        <w:tc>
          <w:tcPr>
            <w:tcW w:w="53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acquisition of mineral assets in 2018 until their disposal during the year ended December 31, 2023, there has been no production.</w:t>
      </w:r>
    </w:p>
    <w:p>
      <w:pPr>
        <w:spacing w:after="0" w:line="225"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years depreciation method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Year 5</w:t>
            </w: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5/15</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4/15</w:t>
            </w: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3/15</w:t>
            </w:r>
          </w:p>
        </w:tc>
        <w:tc>
          <w:tcPr>
            <w:tcW w:w="1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2/15</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33.33%</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26.67%</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13.33%</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Intangible assets consist of acquired software, access rights to electricity, and a below market lease acquired in a business combination used in the Company’s cryptocurrency Mining operations. Intangible assets acquired separately are initially measured at cost plus direct acquisition costs. Intangible assets acquired in business combinations are measured at their fair value as of the acquisition date.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other than access rights to electricity and favorable lease, with a finite useful life are amortized over their useful lives using the sum of years method. Access rights to electricity and favorable leases are amortized using the straight-line method over the lease term of the facility or the access rights period. Intangible assets are reviewed for impairment whenever there is an indication that the asset may be impaired. The amortization period and the amortization method for an intangible asset are reviewed at least at each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amortized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Amortization Method</w:t>
            </w:r>
          </w:p>
        </w:tc>
        <w:tc>
          <w:tcPr>
            <w:tcW w:w="5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Amortization period</w:t>
            </w:r>
          </w:p>
        </w:tc>
      </w:tr>
      <w:tr>
        <w:trPr>
          <w:trHeight w:val="20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 software</w:t>
            </w:r>
          </w:p>
        </w:tc>
        <w:tc>
          <w:tcPr>
            <w:tcW w:w="3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Sum of years</w:t>
            </w:r>
          </w:p>
        </w:tc>
        <w:tc>
          <w:tcPr>
            <w:tcW w:w="5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Access rights to electricity</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Straight-line</w:t>
            </w:r>
          </w:p>
        </w:tc>
        <w:tc>
          <w:tcPr>
            <w:tcW w:w="5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 term of the facility or the access rights period</w:t>
            </w:r>
          </w:p>
        </w:tc>
      </w:tr>
      <w:tr>
        <w:trPr>
          <w:trHeight w:val="223"/>
        </w:trPr>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 lease</w:t>
            </w:r>
          </w:p>
        </w:tc>
        <w:tc>
          <w:tcPr>
            <w:tcW w:w="32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Straight-line</w:t>
            </w:r>
          </w:p>
        </w:tc>
        <w:tc>
          <w:tcPr>
            <w:tcW w:w="53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 term</w:t>
            </w:r>
          </w:p>
        </w:tc>
      </w:tr>
    </w:tbl>
    <w:p>
      <w:pPr>
        <w:spacing w:after="0" w:line="19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Systems software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assets include computer systems comprised of hardware and software. Certain hardware comes pre-installed with firmware. Without this firmware, the hardware could not function and therefore both the hardware and firmware are classified within property, plant and equipment. In contrast, stand-alone software that adds functionality to the hardware is classified as an intangible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years amortization method for systems software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Year 5</w:t>
            </w: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5/15</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4/15</w:t>
            </w: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3/15</w:t>
            </w:r>
          </w:p>
        </w:tc>
        <w:tc>
          <w:tcPr>
            <w:tcW w:w="1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2/15</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1/15</w:t>
            </w:r>
          </w:p>
        </w:tc>
      </w:tr>
      <w:tr>
        <w:trPr>
          <w:trHeight w:val="250"/>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33.33%</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26.67%</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13.33%</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Access rights to electricity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access rights to electricity were obtained from the acquisitions of assets described in Note 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decision-maker, who is responsible for allocating resources and assessing the performance of the operating segments, and which has been identified as the Management team that makes strategic decisions.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CGU to which the asset belongs. Impairment losses are recognized in profit or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impairment loss of an asset, other than goodwill, is reversed only if there have been changes in the estimates used to determine the asset’s recoverable amount since the last impairment loss was recognized. Reversal of an impairment loss, as noted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31"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assets are initially measured at fair value plus transaction costs that can be directly attributed to the acquisition of the financial asset, except in the case of a financial asset measured at fair value through profit or loss in respect of which transaction costs are charged to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presented at amortized cost are subsequently measured using the effective interest rate method and are subject to impairment. Gains and losses are recognized in profit or loss when the asset is derecognized, modified or impaired. The Company’s financial assets at amortized cost includes trade receivables and certain items included in other assets. Net changes in financial assets measured at fair value are recognized in the statement of profit or loss. The Company’s financial assets at fair value include derivative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trade receivables, the Company applies a simplified approach in calculating ECLs. Therefore, the Company does not track changes in credit risk, but instead recognizes a loss allowance based on lifetime ECLs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established a provision matrix that is based on its historical credit loss experience, adjusted for forward-looking factors specific to the debtors and the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liabilities are classified at initial recognition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Company’s financial liabilities include trade payables, accrued liabilities, warrant liabilities and long-term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liabilities are either measured at fair value through profit or loss or at amortized cost. Financial liabilities measured at fair value through profit or loss included warrant liabilities relating to the private placement described in Note 3e, 10 and 21. After initial recognition, interest-bearing loans and borrowings are subsequently measured at amortized cost using the effective interest rate (“EIR”) method. Gains and losses are recognized in profit or loss when the liabilities are derecognized as well as through the EIR amortization process. Amortized cost is calculated by taking into account any discount or premium on acquisition and fees or costs that are an integral part of the EIR. The EIR amortization is included as financial expenses in the statement of profit or loss. This category generally applies to interest-bearing loans and borrowings.</w:t>
      </w:r>
    </w:p>
    <w:p>
      <w:pPr>
        <w:spacing w:after="0" w:line="18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are derecognized when the contractual rights to receive the cash flows from the financial asset expire, or when the Company transfers the contractual rights to a third party to receive the cash flows from the financial asset or assumes an obligation to pay the cash flows received in full to a third party without significant delay.</w:t>
      </w:r>
    </w:p>
    <w:p>
      <w:pPr>
        <w:spacing w:after="0" w:line="184"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liabilities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liabilities are derecognized when they are extinguished, which occurs when the obligation defined in the contract is fulfilled, cancelled or expires. A financial liability is fulfilled when the debtor repays the liability by paying cash, providing other financial assets, goods or services, or is otherwise legally released from the liability.</w:t>
      </w:r>
    </w:p>
    <w:p>
      <w:pPr>
        <w:spacing w:after="0" w:line="18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entered into BTC option contracts to reduce the risk of variability of cash flows resulting from future sales of digital assets. Each BTC option contract meets the definition of a cash flow hedge as per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(“IFRS 9”). IFRS 9 provides a non-compulsory accounting policy choice of hedge accounting. The Company elected to not apply hedge accounting on BTC option contracts. The changes in the fair value of the derivatives are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spacing w:after="0" w:line="176"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 Fair value measurement of non-financial assets takes into account the ability of a market participant to derive economic benefits from the asset through its best use, or by selling it to another market participant capable of using the asset to its best 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or whose fair value is disclosed are classified into categories within the fair value hierarchy, based on the lowest level input that is significant to the overall fair value measurement: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04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9"/>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0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Unadjusted quoted prices in an active market of identical assets and liabilities</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Non-quoted prices included in Level 1 that are either directly or indirectly observable</w:t>
            </w:r>
          </w:p>
        </w:tc>
      </w:tr>
      <w:tr>
        <w:trPr>
          <w:trHeight w:val="223"/>
        </w:trPr>
        <w:tc>
          <w:tcPr>
            <w:tcW w:w="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104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Data that is not based on observable market information, such as valuation techniques without the use of observable market data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represent liabilities to the Company for which the amount or timing is uncertain. Provisions are recognized when the Company has a present legal or constructive obligation as a result of past events, it is probable that an outflow of resources will be required to settle the obligations and the amounts can be reliably estimated. When the Company expects that part or all of the expense will be refunded, such as an insurance claim, the refund will be recognized as a separate asset only on the date when there is certainty of receiving the asset. The expense will be recognized in the statement of profit or loss net of the expected refund.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provisions relate to Backbone and Backbone Argentina’s legal obligation, in relation to its leased properties, to restore the properties to their original condition at the end of the lease period. The provisions are calculated at the present value of the expected costs to settle the obligations using estimated future cash flows discounted at a rate that reflects the risks specific to the obligations. Changes in the estimated future costs, or in the discount rate applied, are recorded as an adjustment of the cost of the related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settled with equity instruments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cost of employee services paid in equity instruments is measured at the fair value of the equity instruments as of the grant date. The fair value is determined using a generally accepted option pricing model. Equity settled transactions with other services providers are measured at the fair value of the goods or services received in return for the equity instruments. The cost of equity-settled transactions is recognized in profit or loss together with a corresponding increase in contributed surplus during the period in which the performance and/or service conditions are to be satisfied and ending on the date on which the relevant employees become entitled to the award (“the vesting period”). The cumulative expense recognized for equity-settled transactions at the end of each reporting period until the vesting date reflects the extent to which the vesting period has expired and Management’s best estimate of the number of equity instruments that will ultimately vest.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related to grants that do not vest are not recognized. Grants where the fair value is determined at the date of the grant based on non-vesting market conditions are treated as vested, assuming all other vesting conditions (service and/or performance) are met.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 modifies the terms of equity-settled transactions, an additional expense is recognized on the date of the modification and is calculated as the increase in the fair value of the compensation granted in excess of the original expense. Cancellation of equity settlement that has not vested is treated as if it had vested on the date of cancellation, with the unrecognized expense recognized immediately. However, if the cancellation is subsequently replaced by a new agreement and is designated as an alternative settlement, then it is treated as a modification of the original agreement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Earnings per share is calculated by dividing the net income attributable to the Company’s shareholders by the weighted average number of common shares outstanding during the period. Potential common shares are included in the calculation of diluted earnings per share if their effect dilutes earnings per share from continuing operations. Potential common shares that were converted during the period are included in diluted earnings per share only up to the conversion date, and from that date are included in basic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issue of a unit of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capital represents the amount received on the issuance of shares, less issuance costs (net of tax).</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 of a unit of securities involves the allocation of the proceeds received before issue expenses to the securities issued in the unit based on the following order: financial derivatives and other financial instruments measured at fair value in each period. Fair value is then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amendments to existing standards were adopted by the Company as of January 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Financial Statements</w:t>
      </w:r>
      <w:r>
        <w:rPr>
          <w:rFonts w:ascii="Times New Roman" w:cs="Times New Roman" w:eastAsia="Times New Roman" w:hAnsi="Times New Roman"/>
          <w:sz w:val="18"/>
          <w:szCs w:val="18"/>
          <w:b w:val="1"/>
          <w:bCs w:val="1"/>
          <w:color w:val="auto"/>
        </w:rPr>
        <w:t xml:space="preserve"> (“IAS 1”)</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Amendments to IAS 1 change the requirements in IAS 1 with regard to disclosure of accounting policies. Applying the amendments, an entity discloses its material accounting policy information instead of its significant accounting policies. Further amendments to IAS 1 explain how an entity can identify material accounting policy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8, </w:t>
      </w:r>
      <w:r>
        <w:rPr>
          <w:rFonts w:ascii="Times New Roman" w:cs="Times New Roman" w:eastAsia="Times New Roman" w:hAnsi="Times New Roman"/>
          <w:sz w:val="18"/>
          <w:szCs w:val="18"/>
          <w:b w:val="1"/>
          <w:bCs w:val="1"/>
          <w:i w:val="1"/>
          <w:iCs w:val="1"/>
          <w:color w:val="auto"/>
        </w:rPr>
        <w:t>Accounting Policies, Changes in Accounting Estimates and Errors</w:t>
      </w:r>
      <w:r>
        <w:rPr>
          <w:rFonts w:ascii="Times New Roman" w:cs="Times New Roman" w:eastAsia="Times New Roman" w:hAnsi="Times New Roman"/>
          <w:sz w:val="18"/>
          <w:szCs w:val="18"/>
          <w:b w:val="1"/>
          <w:bCs w:val="1"/>
          <w:color w:val="auto"/>
        </w:rPr>
        <w:t xml:space="preserve"> (“IAS 8”)</w:t>
      </w:r>
    </w:p>
    <w:p>
      <w:pPr>
        <w:spacing w:after="0" w:line="31" w:lineRule="exact"/>
        <w:rPr>
          <w:sz w:val="20"/>
          <w:szCs w:val="20"/>
          <w:color w:val="auto"/>
        </w:rPr>
      </w:pPr>
    </w:p>
    <w:p>
      <w:pPr>
        <w:jc w:val="both"/>
        <w:ind w:hanging="4"/>
        <w:spacing w:after="0" w:line="260" w:lineRule="auto"/>
        <w:rPr>
          <w:sz w:val="20"/>
          <w:szCs w:val="20"/>
          <w:color w:val="auto"/>
        </w:rPr>
      </w:pPr>
      <w:r>
        <w:rPr>
          <w:rFonts w:ascii="Times New Roman" w:cs="Times New Roman" w:eastAsia="Times New Roman" w:hAnsi="Times New Roman"/>
          <w:sz w:val="18"/>
          <w:szCs w:val="18"/>
          <w:color w:val="auto"/>
        </w:rPr>
        <w:t>Amendments to IAS 8 replace the definition of a change in accounting estimates. Under the new definition, accounting estimates are “monetary amounts in financial statements that are subject to measurement uncertainty.”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by the Company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to be adopted at a later date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Amendments to IAS 1</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consolidated financial statements,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7, </w:t>
      </w:r>
      <w:r>
        <w:rPr>
          <w:rFonts w:ascii="Times New Roman" w:cs="Times New Roman" w:eastAsia="Times New Roman" w:hAnsi="Times New Roman"/>
          <w:sz w:val="18"/>
          <w:szCs w:val="18"/>
          <w:b w:val="1"/>
          <w:bCs w:val="1"/>
          <w:i w:val="1"/>
          <w:iCs w:val="1"/>
          <w:color w:val="auto"/>
        </w:rPr>
        <w:t>Statement of Cash Flows</w:t>
      </w:r>
      <w:r>
        <w:rPr>
          <w:rFonts w:ascii="Times New Roman" w:cs="Times New Roman" w:eastAsia="Times New Roman" w:hAnsi="Times New Roman"/>
          <w:sz w:val="18"/>
          <w:szCs w:val="18"/>
          <w:b w:val="1"/>
          <w:bCs w:val="1"/>
          <w:color w:val="auto"/>
        </w:rPr>
        <w:t xml:space="preserve"> (“IAS 7”)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statement of cash flows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statement of cash flows has been restated to reclassify the cash proceeds from from the sale of digital assets, which is accounted for as an intangible asset under IAS 38, from cash flows from operations to cash flows from investing activities. The Company has determined that this error was material to the previously issued consolidated financial statements and as such, has restated its consolidated financial statements, as applicable.</w:t>
      </w:r>
    </w:p>
    <w:p>
      <w:pPr>
        <w:spacing w:after="0" w:line="18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on accounting for 2023 Warrants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correcting an error in the fair value recorded for the 2023 exercises of warrants issued in connection with the private placement financing in 2023 (“2023 Warrants”). The correction resulted in an increase in the share capital and net financial expenses in the restated consolidated financial statements.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effects of the restatements on the affected financial statement line items are as follows: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2022 -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36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2022 (as</w:t>
            </w:r>
          </w:p>
        </w:tc>
        <w:tc>
          <w:tcPr>
            <w:tcW w:w="152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(i) Cash flow</w:t>
            </w:r>
          </w:p>
        </w:tc>
        <w:tc>
          <w:tcPr>
            <w:tcW w:w="10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2022 (as</w:t>
            </w:r>
          </w:p>
        </w:tc>
      </w:tr>
      <w:tr>
        <w:trPr>
          <w:trHeight w:val="238"/>
        </w:trPr>
        <w:tc>
          <w:tcPr>
            <w:tcW w:w="5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reported)</w:t>
            </w: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reclassification</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(175,644)</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(175,644)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158,674</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(158,674)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7"/>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36,250</w:t>
            </w: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(158,674)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(122,424)</w:t>
            </w:r>
          </w:p>
        </w:tc>
      </w:tr>
      <w:tr>
        <w:trPr>
          <w:trHeight w:val="216"/>
        </w:trPr>
        <w:tc>
          <w:tcPr>
            <w:tcW w:w="50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158,674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158,674</w:t>
            </w:r>
          </w:p>
        </w:tc>
      </w:tr>
      <w:tr>
        <w:trPr>
          <w:trHeight w:val="216"/>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(155,011)</w:t>
            </w: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158,674</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3,663</w:t>
            </w:r>
          </w:p>
        </w:tc>
      </w:tr>
      <w:tr>
        <w:trPr>
          <w:trHeight w:val="432"/>
        </w:trPr>
        <w:tc>
          <w:tcPr>
            <w:tcW w:w="8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2023 - Restatement</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5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187"/>
        </w:trPr>
        <w:tc>
          <w:tcPr>
            <w:tcW w:w="5080" w:type="dxa"/>
            <w:vAlign w:val="bottom"/>
          </w:tcPr>
          <w:p>
            <w:pPr>
              <w:spacing w:after="0"/>
              <w:rPr>
                <w:sz w:val="16"/>
                <w:szCs w:val="16"/>
                <w:color w:val="auto"/>
              </w:rPr>
            </w:pPr>
          </w:p>
        </w:tc>
        <w:tc>
          <w:tcPr>
            <w:tcW w:w="220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3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(i) Cash flow</w:t>
            </w:r>
          </w:p>
        </w:tc>
        <w:tc>
          <w:tcPr>
            <w:tcW w:w="152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color w:val="auto"/>
                <w:w w:val="99"/>
              </w:rPr>
              <w:t>(ii) 2023</w:t>
            </w:r>
          </w:p>
        </w:tc>
        <w:tc>
          <w:tcPr>
            <w:tcW w:w="10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5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reported)</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reclassification</w:t>
            </w: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6"/>
              </w:rPr>
              <w:t>Warrants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(104,036)</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(4,886)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expenses</w:t>
            </w:r>
          </w:p>
        </w:tc>
        <w:tc>
          <w:tcPr>
            <w:tcW w:w="2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32,308</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4,886</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37,194</w:t>
            </w:r>
          </w:p>
        </w:tc>
      </w:tr>
      <w:tr>
        <w:trPr>
          <w:trHeight w:val="21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129,309</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(129,309)</w:t>
            </w: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7"/>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23,598</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(129,309)</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(105,711)</w:t>
            </w:r>
          </w:p>
        </w:tc>
      </w:tr>
      <w:tr>
        <w:trPr>
          <w:trHeight w:val="216"/>
        </w:trPr>
        <w:tc>
          <w:tcPr>
            <w:tcW w:w="5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129,309</w:t>
            </w: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129,309</w:t>
            </w:r>
          </w:p>
        </w:tc>
      </w:tr>
      <w:tr>
        <w:trPr>
          <w:trHeight w:val="216"/>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(58,343)</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129,309</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December 31, 2023 -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As of</w:t>
            </w:r>
          </w:p>
        </w:tc>
        <w:tc>
          <w:tcPr>
            <w:tcW w:w="12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45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Adjustment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87"/>
        </w:trPr>
        <w:tc>
          <w:tcPr>
            <w:tcW w:w="4520" w:type="dxa"/>
            <w:vAlign w:val="bottom"/>
          </w:tcPr>
          <w:p>
            <w:pPr>
              <w:spacing w:after="0"/>
              <w:rPr>
                <w:sz w:val="16"/>
                <w:szCs w:val="16"/>
                <w:color w:val="auto"/>
              </w:rPr>
            </w:pPr>
          </w:p>
        </w:tc>
        <w:tc>
          <w:tcPr>
            <w:tcW w:w="42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2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(ii) 2023</w:t>
            </w:r>
          </w:p>
        </w:tc>
        <w:tc>
          <w:tcPr>
            <w:tcW w:w="12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45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reported)</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530,123</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4,886</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535,009</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56,622</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56,622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4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2,941</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2,941</w:t>
            </w:r>
          </w:p>
        </w:tc>
      </w:tr>
      <w:tr>
        <w:trPr>
          <w:trHeight w:val="21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(294,924)</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r>
      <w:tr>
        <w:trPr>
          <w:trHeight w:val="217"/>
        </w:trPr>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294,762</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294,762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profit or loss and comprehensive profit or loss for the year ended December 31, 2023 - Restatement</w:t>
      </w:r>
    </w:p>
    <w:p>
      <w:pPr>
        <w:spacing w:after="0" w:line="22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22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color w:val="auto"/>
              </w:rPr>
              <w:t>(ii) 2023</w:t>
            </w:r>
          </w:p>
        </w:tc>
        <w:tc>
          <w:tcPr>
            <w:tcW w:w="118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60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reported)</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0"/>
        </w:trPr>
        <w:tc>
          <w:tcPr>
            <w:tcW w:w="60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(72,129)</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(72,129)</w:t>
            </w:r>
          </w:p>
        </w:tc>
      </w:tr>
      <w:tr>
        <w:trPr>
          <w:trHeight w:val="210"/>
        </w:trPr>
        <w:tc>
          <w:tcPr>
            <w:tcW w:w="6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28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(32,308)</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(37,194)</w:t>
            </w:r>
          </w:p>
        </w:tc>
      </w:tr>
      <w:tr>
        <w:trPr>
          <w:trHeight w:val="210"/>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(104,437)</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(109,323)</w:t>
            </w:r>
          </w:p>
        </w:tc>
      </w:tr>
      <w:tr>
        <w:trPr>
          <w:trHeight w:val="210"/>
        </w:trPr>
        <w:tc>
          <w:tcPr>
            <w:tcW w:w="60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2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401</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w:t>
            </w:r>
          </w:p>
        </w:tc>
      </w:tr>
      <w:tr>
        <w:trPr>
          <w:trHeight w:val="217"/>
        </w:trPr>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tc>
        <w:tc>
          <w:tcPr>
            <w:tcW w:w="28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(104,036)</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r>
      <w:tr>
        <w:trPr>
          <w:trHeight w:val="216"/>
        </w:trPr>
        <w:tc>
          <w:tcPr>
            <w:tcW w:w="6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0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28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9,242</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9,242</w:t>
            </w:r>
          </w:p>
        </w:tc>
      </w:tr>
      <w:tr>
        <w:trPr>
          <w:trHeight w:val="217"/>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(94,794)</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(99,680)</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(0.40)</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262,237,117</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262,237,117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undertake judgments, estimates and assumptions about recognition and measurement of assets, liabilities, income and expenses. These judgments and estimates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 Information about the significant judgments, estimates and assumptions that have the most significant effect on the recognition and measurement of assets, liabilities, income and expenses are discussed below.</w:t>
      </w:r>
    </w:p>
    <w:p>
      <w:pPr>
        <w:spacing w:after="0" w:line="176"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Judgements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Going concern</w:t>
      </w:r>
    </w:p>
    <w:p>
      <w:pPr>
        <w:spacing w:after="0" w:line="9"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exercised judgment and used assumptions to determine that it will continue to operate as a going concern. Judgments and estimates were used to determine the Company’s future estimated cash flows for the twelve-month period following December 31, 2023, based on BTC market factors, including price, difficulty and network hashrate. Due to the sensitivity of cash flows to market conditions, small changes in these assumptions may give rise to the determination that there are material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currently no specific guidance for cryptocurrencies under IFRS Accounting Standards. However, judgement is still required due to the particular characteristics of mining cryptocurrencies. The Company applies judgement to account for the revenue recognition from cryptocurrency mining. In the event that new guidance is issued by the International Accounting Standards Board, the Company may be required to change its accounting policies, which could have a material effect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 xml:space="preserve">There is currently no specific guidance for cryptocurrencies under IFRS Accounting Standards. However, judgement is still required due to the particular characteristics of holding cryptocurrencies. The Company applies judgement to account for the subsequent remeasurement of cryptocurrencies held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 the event that new guidance is issued by the International Accounting Standards Board, the Company may be required to change its accounting policies, which could have a material effect on the Company’s financial statements.</w:t>
      </w:r>
    </w:p>
    <w:p>
      <w:pPr>
        <w:spacing w:after="0" w:line="18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Estimates and assumptions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9"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application of IFRS 16 requires the Company to make judgments and estimates that affect the valuation of the lease liabilities and the valuation of ROU assets. These include the determination of contracts in scope of IFRS 16, the lease term and the interest rate used for discounting future cash flows.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lease liability at the present value of the lease payments using the implicit interest rate in the lease at the commencement of a new lease or when a lease is modified. If the rate cannot be readily determined, the Company evaluates its incremental borrowing cost using assumptions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 xml:space="preserve">SIGNIFICANT ACCOUNTING JUDGMENTS AND ESTIMATES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right="7580" w:firstLine="8"/>
        <w:spacing w:after="0" w:line="263" w:lineRule="auto"/>
        <w:tabs>
          <w:tab w:leader="none" w:pos="64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Company has the option under some of its leases to lease the assets for additional terms of three to ten years. The Company applies judgement in evaluating whether it is reasonably certain to exercise the option to renew and it considers all relevant factors that create an economic incentive for it to exercise the renewal.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commencement date, the Company reassesses the lease term if there is a significant event or change in circumstances that is within its control and affects its ability to exercise (or not to exercise) the option to renew (e.g., a change in business strategy). The Company includes the renewal period as part of the lease term for leases of most farming facilities due to the significance of those assets to its operations. The Company has not included renewal periods for farming facilities when the lease term exceeds 10 years from the commencement of the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and intangible assets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Determining whether goodwill is impaired requires an estimation of the recoverable amount of the CGU or group of CGUs. Such recoverable amount corresponds, for the purpose of impairment assessment, to the higher of the value in use or the fair value less costs of disposal of the CGU or group of CGUs to which goodwill has been allocated.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in use calculation requires Management to estimate future cash flows expected to arise from the CGU or group of CGUs and a suitable discount rate to calculate present value. The key assumptions required for the value in use estimation are the revenue per terahash, energy prices, discount rate and the terminal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value in use approach, the values assigned to key assumptions reflect past experience and external sources of information that are deemed accurate and reliable. The value in use is categorized as Level 3 in the fair value hierarchy described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 one or more key assumptions used is based on unobservable data requiring the use of judgement.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using the value in use approach, cash flows for each CGU or group of CGUs are derived from the budget for the upcoming year, which is approved on an annual basis by members of the Company’s Board of Directors, and a long-term forecast prepared by Management which covers an additional period from 4 to 5 years. The discount rate is derived from the Company’s pre-tax weighted average cost of capital and is adjusted, where applicable, to take into account any specific risks. When applicable, Management estimated the terminal value of the Miners included in the CGU for the purposes of the impairment testing based on the daily revenue per Terahash in effect at the end of the value in use calculation multiplied by the ending hashrate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 xml:space="preserve">SIGNIFICANT ACCOUNTING JUDGMENTS AND ESTIMATES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reversal of impairment of non-financial assets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reviews the need for recording impairment of mineral assets, as detailed in Note 12, for which purpose it engaged an independent external appraiser to assist in determining the value of the assets. The fair value was determined through the use of the market approach, which includes analyzing similar and comparable mineral properties and making adjustments for differences between those properties and the subject property among certain identifiable parameters.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significant judgement in estimating the inputs used to determine the value in use of its equipment and construction prepayments, property, plant and equipment, right-of-use assets and intangible assets. When there is any indication that any tangible and intangible assets other than goodwill have incurred an impairment loss, the determination of the recoverable amount of such tangible and intangible assets other than goodwill requires Management to estimate cash flows expected to arise from those assets and a suitable discount rate in order to calculate the present value in a manner described above for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31"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Contingent liability is an existing condition, situation, or set of circumstances involving uncertainty as to a possible loss that will ultimately be resolved when one or more future events occur or fail to occur. The Company is party to various legal proceedings, claims, and regulatory, tax or government inquiries and investigations that arise in the ordinary course of business. In assessing loss contingencies related to legal proceedings that are pending against the Company or unasserted claims that may result in such proceedings, the Company, with assistance from its legal counsels, evaluates the perceived merits of any legal proceedings or unasserted claims as well as the perceived merits of the amount of relief sought or expected to be sought. A provision for legal claims against the Company is recorded when the Company has a present legal or constructive obligation as a result of past events, and that is more likely than not to be settled with an outflow of economic resources that can be measured reliably.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ACQUISITIONS OF ASSETS</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assets in Baie-Comeau</w:t>
      </w:r>
    </w:p>
    <w:p>
      <w:pPr>
        <w:spacing w:after="0" w:line="229"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On July 5, 2023, the Company acquired 100% of the shares of a corporation, referred to as Orion, that owns the right to 22 MW of hydro power capacity in Baie-Comeau, Quebec. The consideration transferred at closing totaled $1,964 (CAD$2,603), of which $610 (CAD$814) was paid in cash and $1,354 (CAD$1,789) was paid through the issuance of 821,000 common shares of the Company.</w:t>
      </w:r>
    </w:p>
    <w:p>
      <w:pPr>
        <w:spacing w:after="0" w:line="174" w:lineRule="exact"/>
        <w:rPr>
          <w:sz w:val="20"/>
          <w:szCs w:val="20"/>
          <w:color w:val="auto"/>
        </w:rPr>
      </w:pPr>
    </w:p>
    <w:p>
      <w:pPr>
        <w:jc w:val="both"/>
        <w:ind w:right="20" w:hanging="4"/>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Orion does not meet the definition of a business combination under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Orion’s primary assets consist mainly of a contractual right for up to 22 MW of hydro power capacity. Therefore, the transaction has been recorded as an acquisition of a group of assets.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acquired and the liabilities assumed were recognized and measured by allocating the fair value of the consideration paid to their relative fair values at the closing date of the transaction. All financial assets acquired and financial liabilities assumed were recorded at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and the net assets acquired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July 5,</w:t>
            </w:r>
          </w:p>
        </w:tc>
      </w:tr>
      <w:tr>
        <w:trPr>
          <w:trHeight w:val="209"/>
        </w:trPr>
        <w:tc>
          <w:tcPr>
            <w:tcW w:w="67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2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consideration</w:t>
            </w: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of 821,000 common shares transferred at closing</w:t>
            </w:r>
          </w:p>
        </w:tc>
        <w:tc>
          <w:tcPr>
            <w:tcW w:w="3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6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3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67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2,182</w:t>
            </w:r>
          </w:p>
        </w:tc>
      </w:tr>
      <w:tr>
        <w:trPr>
          <w:trHeight w:val="216"/>
        </w:trPr>
        <w:tc>
          <w:tcPr>
            <w:tcW w:w="67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w:t>
            </w: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w:t>
            </w:r>
          </w:p>
        </w:tc>
        <w:tc>
          <w:tcPr>
            <w:tcW w:w="3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 access rights to electricity</w:t>
            </w:r>
          </w:p>
        </w:tc>
        <w:tc>
          <w:tcPr>
            <w:tcW w:w="3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67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separately entered into a lease agreement with a third party for a site to install the infrastructure to operate the acquired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tab/>
        <w:t xml:space="preserve">ACQUISITIONS OF ASSETS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of assets in Paraguay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14, 2023, the Company acquired 100% of the shares of two corporations that own the rights to 50 MW and 100 MW, respectively, of hydro power capacity in Villarrica (Paso Pe) and Yguazu, Paraguay, respectively. The cash considerations totaled $1,095 and $450, respectively.</w:t>
      </w:r>
    </w:p>
    <w:p>
      <w:pPr>
        <w:spacing w:after="0" w:line="162"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The transactions have been recorded as acquisitions of a group of assets as the acquirees’ primary assets consist mainly of contractual rights to electricity supply. The purchase prices and the net assets acquired as of July 14,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Villarrica</w:t>
            </w:r>
          </w:p>
        </w:tc>
        <w:tc>
          <w:tcPr>
            <w:tcW w:w="1060" w:type="dxa"/>
            <w:vAlign w:val="bottom"/>
          </w:tcPr>
          <w:p>
            <w:pPr>
              <w:spacing w:after="0"/>
              <w:rPr>
                <w:sz w:val="18"/>
                <w:szCs w:val="18"/>
                <w:color w:val="auto"/>
              </w:rPr>
            </w:pPr>
          </w:p>
        </w:tc>
      </w:tr>
      <w:tr>
        <w:trPr>
          <w:trHeight w:val="238"/>
        </w:trPr>
        <w:tc>
          <w:tcPr>
            <w:tcW w:w="56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(Paso Pe)</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Yguazu</w:t>
            </w:r>
          </w:p>
        </w:tc>
      </w:tr>
      <w:tr>
        <w:trPr>
          <w:trHeight w:val="42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payable</w:t>
            </w:r>
          </w:p>
        </w:tc>
        <w:tc>
          <w:tcPr>
            <w:tcW w:w="308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56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216"/>
        </w:trPr>
        <w:tc>
          <w:tcPr>
            <w:tcW w:w="56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 and other current assets</w:t>
            </w: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8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 access rights to electricity</w:t>
            </w:r>
          </w:p>
        </w:tc>
        <w:tc>
          <w:tcPr>
            <w:tcW w:w="3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1,065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56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4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0"/>
        </w:trPr>
        <w:tc>
          <w:tcPr>
            <w:tcW w:w="8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4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4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5000" w:type="dxa"/>
            <w:vAlign w:val="bottom"/>
            <w:shd w:val="clear" w:color="auto" w:fill="CCEEFF"/>
          </w:tcPr>
          <w:p>
            <w:pPr>
              <w:spacing w:after="0"/>
              <w:rPr>
                <w:sz w:val="18"/>
                <w:szCs w:val="18"/>
                <w:color w:val="auto"/>
              </w:rPr>
            </w:pPr>
          </w:p>
        </w:tc>
        <w:tc>
          <w:tcPr>
            <w:tcW w:w="4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74,951</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24,596</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5000" w:type="dxa"/>
            <w:vAlign w:val="bottom"/>
          </w:tcPr>
          <w:p>
            <w:pPr>
              <w:spacing w:after="0"/>
              <w:rPr>
                <w:sz w:val="18"/>
                <w:szCs w:val="18"/>
                <w:color w:val="auto"/>
              </w:rPr>
            </w:pPr>
          </w:p>
        </w:tc>
        <w:tc>
          <w:tcPr>
            <w:tcW w:w="4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8,904</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4,916</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CAD held in trust</w:t>
            </w:r>
          </w:p>
        </w:tc>
        <w:tc>
          <w:tcPr>
            <w:tcW w:w="4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ARS</w:t>
            </w:r>
          </w:p>
        </w:tc>
        <w:tc>
          <w:tcPr>
            <w:tcW w:w="50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1,297</w:t>
            </w:r>
          </w:p>
        </w:tc>
      </w:tr>
      <w:tr>
        <w:trPr>
          <w:trHeight w:val="217"/>
        </w:trPr>
        <w:tc>
          <w:tcPr>
            <w:tcW w:w="840" w:type="dxa"/>
            <w:vAlign w:val="bottom"/>
            <w:tcBorders>
              <w:bottom w:val="single" w:sz="8" w:color="auto"/>
            </w:tcBorders>
            <w:shd w:val="clear" w:color="auto" w:fill="CCEEFF"/>
          </w:tcPr>
          <w:p>
            <w:pPr>
              <w:spacing w:after="0"/>
              <w:rPr>
                <w:sz w:val="18"/>
                <w:szCs w:val="18"/>
                <w:color w:val="auto"/>
              </w:rPr>
            </w:pPr>
          </w:p>
        </w:tc>
        <w:tc>
          <w:tcPr>
            <w:tcW w:w="5000" w:type="dxa"/>
            <w:vAlign w:val="bottom"/>
            <w:tcBorders>
              <w:bottom w:val="single" w:sz="8" w:color="auto"/>
            </w:tcBorders>
            <w:shd w:val="clear" w:color="auto" w:fill="CCEEFF"/>
          </w:tcPr>
          <w:p>
            <w:pPr>
              <w:spacing w:after="0"/>
              <w:rPr>
                <w:sz w:val="18"/>
                <w:szCs w:val="18"/>
                <w:color w:val="auto"/>
              </w:rPr>
            </w:pPr>
          </w:p>
        </w:tc>
        <w:tc>
          <w:tcPr>
            <w:tcW w:w="4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4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represents the Company’s right to an amount of consideration that is unconditional (i.e., only the passage of time is required before payment of the consideration is due). Most trade receivables are derived from the sale of electrical components and services to external customers by the Company’s wholly-owned subsidiary, Volta. Trade receivables are non-interest bearing and are generally on terms of 30 to 90 days.</w:t>
      </w:r>
    </w:p>
    <w:p>
      <w:pPr>
        <w:spacing w:after="0" w:line="176" w:lineRule="exact"/>
        <w:rPr>
          <w:sz w:val="20"/>
          <w:szCs w:val="20"/>
          <w:color w:val="auto"/>
        </w:rPr>
      </w:pPr>
    </w:p>
    <w:p>
      <w:pPr>
        <w:jc w:val="both"/>
        <w:ind w:hanging="9"/>
        <w:spacing w:after="0" w:line="282" w:lineRule="auto"/>
        <w:rPr>
          <w:sz w:val="20"/>
          <w:szCs w:val="20"/>
          <w:color w:val="auto"/>
        </w:rPr>
      </w:pPr>
      <w:r>
        <w:rPr>
          <w:rFonts w:ascii="Times New Roman" w:cs="Times New Roman" w:eastAsia="Times New Roman" w:hAnsi="Times New Roman"/>
          <w:sz w:val="18"/>
          <w:szCs w:val="18"/>
          <w:color w:val="auto"/>
        </w:rPr>
        <w:t>Information about the credit risk exposure of the Company’s trade receivables as of December 31, 2023 and December 31, 2022 is detailed in the trade receivables aging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5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1 - 30 days</w:t>
            </w:r>
          </w:p>
        </w:tc>
        <w:tc>
          <w:tcPr>
            <w:tcW w:w="4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31 - 60 days</w:t>
            </w: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61 - 90 days</w:t>
            </w:r>
          </w:p>
        </w:tc>
        <w:tc>
          <w:tcPr>
            <w:tcW w:w="4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&gt; 91 days</w:t>
            </w: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ECL</w:t>
            </w:r>
          </w:p>
        </w:tc>
        <w:tc>
          <w:tcPr>
            <w:tcW w:w="4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4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5560" w:type="dxa"/>
            <w:vAlign w:val="bottom"/>
          </w:tcPr>
          <w:p>
            <w:pPr>
              <w:spacing w:after="0"/>
              <w:rPr>
                <w:sz w:val="24"/>
                <w:szCs w:val="24"/>
                <w:color w:val="auto"/>
              </w:rPr>
            </w:pP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5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3,816</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7"/>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2,199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 to Note 28c for more details about the provision applied to the Argentine value-added tax (VAT) receivable included in sales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39" w:name="page40"/>
    <w:bookmarkEnd w:id="39"/>
    <w:p>
      <w:pPr>
        <w:ind w:left="2"/>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ind w:left="2"/>
        <w:spacing w:after="0"/>
        <w:tabs>
          <w:tab w:leader="none" w:pos="961"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BTC transactions and the corresponding values for the years ended December 31, 2023 and 2022 were as follows: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60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Quantity</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3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405</w:t>
            </w:r>
          </w:p>
        </w:tc>
        <w:tc>
          <w:tcPr>
            <w:tcW w:w="1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6,705</w:t>
            </w:r>
          </w:p>
        </w:tc>
        <w:tc>
          <w:tcPr>
            <w:tcW w:w="1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3,301</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152,856</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4,928</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141,306</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5,167</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138,985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purchased</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(4,529)</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(129,309)</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disposition of digital assets**</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7,713</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gain on revaluation of digital assets**</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7,556</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187"/>
        </w:trPr>
        <w:tc>
          <w:tcPr>
            <w:tcW w:w="60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804</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33,971</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December 31,***</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(2,101)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187"/>
        </w:trPr>
        <w:tc>
          <w:tcPr>
            <w:tcW w:w="60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754</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31,870</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280</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 w:hanging="2"/>
        <w:spacing w:after="0" w:line="282" w:lineRule="auto"/>
        <w:tabs>
          <w:tab w:leader="none" w:pos="1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earned on a daily basis as the quantity of cryptocurrency received multiplied by the price quoted on Coinbase on the day it was received. Management considers the prices quoted on Coinbase to be a level 2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2" w:hanging="2"/>
        <w:spacing w:after="0" w:line="261" w:lineRule="auto"/>
        <w:tabs>
          <w:tab w:leader="none" w:pos="2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year ended December 31, 2023, a gain of $9,242, net of $3,332 of deferred income tax expense, was presented in other comprehensive income (year ended December 31, 2022: nil).</w:t>
      </w:r>
    </w:p>
    <w:p>
      <w:pPr>
        <w:spacing w:after="0" w:line="179"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for details of the Company’s long-term debt and BTC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291465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2"/>
        <w:spacing w:after="0"/>
        <w:tabs>
          <w:tab w:leader="none" w:pos="10881"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2"/>
          </w:cols>
          <w:pgMar w:left="318" w:top="9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to which gave it the right, but not the obligation, to sell digital assets at a fixed price. Options contracts are used to reduce the risk of BTC price volatility and reduce the variability of cash flows resulting from future sales of digital assets. The Company did not apply hedge accounting on these contracts. There were no derivative asset and liability activities relating to BTC option contracts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fair value measurement of derivatives (Level 2):</w:t>
      </w:r>
    </w:p>
    <w:p>
      <w:pPr>
        <w:spacing w:after="0" w:line="2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7"/>
        </w:trPr>
        <w:tc>
          <w:tcPr>
            <w:tcW w:w="7260" w:type="dxa"/>
            <w:vAlign w:val="bottom"/>
          </w:tcPr>
          <w:p>
            <w:pPr>
              <w:spacing w:after="0"/>
              <w:rPr>
                <w:sz w:val="16"/>
                <w:szCs w:val="16"/>
                <w:color w:val="auto"/>
              </w:rPr>
            </w:pPr>
          </w:p>
        </w:tc>
        <w:tc>
          <w:tcPr>
            <w:tcW w:w="28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r>
      <w:tr>
        <w:trPr>
          <w:trHeight w:val="238"/>
        </w:trPr>
        <w:tc>
          <w:tcPr>
            <w:tcW w:w="7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recognized in statement of profit or loss during the period</w:t>
            </w:r>
          </w:p>
        </w:tc>
        <w:tc>
          <w:tcPr>
            <w:tcW w:w="2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1,253</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w:t>
            </w:r>
          </w:p>
        </w:tc>
      </w:tr>
      <w:tr>
        <w:trPr>
          <w:trHeight w:val="216"/>
        </w:trPr>
        <w:tc>
          <w:tcPr>
            <w:tcW w:w="7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r>
      <w:tr>
        <w:trPr>
          <w:trHeight w:val="217"/>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expenses (income) in the consolidated statements of profit or loss and comprehensive profit or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66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4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409</w:t>
            </w:r>
          </w:p>
        </w:tc>
      </w:tr>
      <w:tr>
        <w:trPr>
          <w:trHeight w:val="216"/>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loss on settled contracts</w:t>
            </w:r>
          </w:p>
        </w:tc>
        <w:tc>
          <w:tcPr>
            <w:tcW w:w="4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r>
      <w:tr>
        <w:trPr>
          <w:trHeight w:val="216"/>
        </w:trPr>
        <w:tc>
          <w:tcPr>
            <w:tcW w:w="6600" w:type="dxa"/>
            <w:vAlign w:val="bottom"/>
            <w:tcBorders>
              <w:bottom w:val="single" w:sz="8" w:color="auto"/>
            </w:tcBorders>
            <w:shd w:val="clear" w:color="auto" w:fill="CCEEFF"/>
          </w:tcPr>
          <w:p>
            <w:pPr>
              <w:spacing w:after="0"/>
              <w:rPr>
                <w:sz w:val="18"/>
                <w:szCs w:val="18"/>
                <w:color w:val="auto"/>
              </w:rPr>
            </w:pPr>
          </w:p>
        </w:tc>
        <w:tc>
          <w:tcPr>
            <w:tcW w:w="4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which included 22,222,223 warrants and 3,000,000 broker warrants to purchase common shares, as described in Note 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warrants are convertible for a fixed number of common shares of the Company but have a contingent cashless exercise clause, which results in a classification as a financial liability and measurement at fair value through profit and loss recognized in Net financial income (expenses).</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warrant liabilities in the amount of $40,426, which includes $34,276 relating to the November 2023 private placement and $6,150 relating to the 2021 private placements (December 31, 2022: nil and $169,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Black-Scholes model and inputs below were used in determining the values of the warrants and broker warrants at initial recognition, prior to their derecognition as described in Note 21 and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tc>
        <w:tc>
          <w:tcPr>
            <w:tcW w:w="1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28, 2023 warrants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5520" w:type="dxa"/>
            <w:vAlign w:val="bottom"/>
          </w:tcPr>
          <w:p>
            <w:pPr>
              <w:spacing w:after="0"/>
              <w:rPr>
                <w:sz w:val="24"/>
                <w:szCs w:val="24"/>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27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Remeasurement on settlement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5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27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warrants</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5520" w:type="dxa"/>
            <w:vAlign w:val="bottom"/>
          </w:tcPr>
          <w:p>
            <w:pPr>
              <w:spacing w:after="0"/>
              <w:rPr>
                <w:sz w:val="16"/>
                <w:szCs w:val="16"/>
                <w:color w:val="auto"/>
              </w:rPr>
            </w:pPr>
          </w:p>
        </w:tc>
        <w:tc>
          <w:tcPr>
            <w:tcW w:w="14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November 28,</w:t>
            </w:r>
          </w:p>
        </w:tc>
        <w:tc>
          <w:tcPr>
            <w:tcW w:w="14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18,</w:t>
            </w:r>
          </w:p>
        </w:tc>
        <w:tc>
          <w:tcPr>
            <w:tcW w:w="13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4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3.96</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0.74</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2.22</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granted (exercised)</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22,222,000</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(4,963,000)</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(2,000,000)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15,259,000</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November 28, 2023 broker warrants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5520" w:type="dxa"/>
            <w:vAlign w:val="bottom"/>
          </w:tcPr>
          <w:p>
            <w:pPr>
              <w:spacing w:after="0"/>
              <w:rPr>
                <w:sz w:val="24"/>
                <w:szCs w:val="24"/>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27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Remeasurement on settlement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5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27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warrants</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5520" w:type="dxa"/>
            <w:vAlign w:val="bottom"/>
          </w:tcPr>
          <w:p>
            <w:pPr>
              <w:spacing w:after="0"/>
              <w:rPr>
                <w:sz w:val="16"/>
                <w:szCs w:val="16"/>
                <w:color w:val="auto"/>
              </w:rPr>
            </w:pPr>
          </w:p>
        </w:tc>
        <w:tc>
          <w:tcPr>
            <w:tcW w:w="14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November 28,</w:t>
            </w:r>
          </w:p>
        </w:tc>
        <w:tc>
          <w:tcPr>
            <w:tcW w:w="14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20,</w:t>
            </w:r>
          </w:p>
        </w:tc>
        <w:tc>
          <w:tcPr>
            <w:tcW w:w="13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22,</w:t>
            </w:r>
          </w:p>
        </w:tc>
        <w:tc>
          <w:tcPr>
            <w:tcW w:w="14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3.88</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0.72</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w:t>
            </w:r>
          </w:p>
        </w:tc>
      </w:tr>
      <w:tr>
        <w:trPr>
          <w:trHeight w:val="25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granted (exercised)</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3,000,000</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(1,167,000)</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(1,140,000)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693,000</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7, 2021 broker warrants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5520" w:type="dxa"/>
            <w:vAlign w:val="bottom"/>
          </w:tcPr>
          <w:p>
            <w:pPr>
              <w:spacing w:after="0"/>
              <w:rPr>
                <w:sz w:val="24"/>
                <w:szCs w:val="24"/>
                <w:color w:val="auto"/>
              </w:rPr>
            </w:pPr>
          </w:p>
        </w:tc>
        <w:tc>
          <w:tcPr>
            <w:tcW w:w="42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   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5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5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3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4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48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6.38</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148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3.72</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0.64</w:t>
            </w: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1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96,000</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14, 2021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3.63</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0.56</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559,000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559,000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559,000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14, 2021 broker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3.52</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0.43</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447,000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447,000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447,000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10, 2021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0.62</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6,156,000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6,156,000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6,156,000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10, 2021 broker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3.39</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0.50</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125,000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 2021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4.87</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0.15</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10,613,000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10,613,000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10,613,000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 2021 broker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5.49</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0.10</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1,132,000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1,132,000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assets held for sale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December 31,</w:t>
            </w:r>
          </w:p>
        </w:tc>
      </w:tr>
      <w:tr>
        <w:trPr>
          <w:trHeight w:val="209"/>
        </w:trPr>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521</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ii.</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867</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3"/>
              </w:rPr>
              <w:t>1,388</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Miners held of sale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0"/>
        </w:trPr>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Innosilicon T2T &amp; T3,</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Canaan Avalon A10</w:t>
            </w:r>
          </w:p>
        </w:tc>
        <w:tc>
          <w:tcPr>
            <w:tcW w:w="7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Antminer S9</w:t>
            </w: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and Antminer T15 &amp;</w:t>
            </w: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Bitmain S19j</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6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Miners (a)</w:t>
            </w:r>
          </w:p>
        </w:tc>
        <w:tc>
          <w:tcPr>
            <w:tcW w:w="20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S15 Miners (b)</w:t>
            </w:r>
          </w:p>
        </w:tc>
        <w:tc>
          <w:tcPr>
            <w:tcW w:w="17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M20S Miners (c)</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Pro Miners (d)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r>
      <w:tr>
        <w:trPr>
          <w:trHeight w:val="209"/>
        </w:trPr>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Qty</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Qty</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Qty</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Qty</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2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1,211</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6,060</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r>
      <w:tr>
        <w:trPr>
          <w:trHeight w:val="20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2,051</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325</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1,778</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6,122</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2,103</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(207)</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(748)</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(5,748)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(1,549)</w:t>
            </w:r>
          </w:p>
        </w:tc>
      </w:tr>
      <w:tr>
        <w:trPr>
          <w:trHeight w:val="21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(572)</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(2,650)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187"/>
        </w:trPr>
        <w:tc>
          <w:tcPr>
            <w:tcW w:w="23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38"/>
        </w:trPr>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1,272</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190</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2,512</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1,030</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3,784</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1,220</w:t>
            </w:r>
          </w:p>
        </w:tc>
      </w:tr>
      <w:tr>
        <w:trPr>
          <w:trHeight w:val="20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1,848</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198</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2,148</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403</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(714)</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r>
      <w:tr>
        <w:trPr>
          <w:trHeight w:val="21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(3,120)</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(388)</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r>
      <w:tr>
        <w:trPr>
          <w:trHeight w:val="187"/>
        </w:trPr>
        <w:tc>
          <w:tcPr>
            <w:tcW w:w="23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45"/>
        </w:trPr>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731</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316</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1,031</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w:t>
            </w:r>
          </w:p>
        </w:tc>
      </w:tr>
    </w:tbl>
    <w:p>
      <w:pPr>
        <w:spacing w:after="0" w:line="196"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Antminer S9 Miners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2021, the Company ceased using its Antminer S9 Miners. During the year ended December 31, 2022, 3,982 Antminer S9 Miners with a carrying amount of $779 were disposed for net proceeds of $101 resulting in a loss of $678. The remaining Antminer S9 Miners were not sold within 12 months since being classified as held for sale in 2021 due to the decline of the BTC price during the year ended December 31, 2022. As a result, those Miners were fully written off and an impairment loss of $432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 xml:space="preserve">ASSETS HELD FOR SALE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Miners held for sale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Innosilicon T2T, Innosilicon T3, Canaan Avalon A10, Antminer T15 and Antminer S15 Miners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2022, the Company ceased using Innosilicon T2T Miners, Canaan Avalon A10 Miners, Antminer T15 Miners and Antminer S15 Miners with plans to dispose of them within the next 12 months. During the year ended December 31, 2022, 207 Antminer T15 Miners with a carrying amount of $22 were disposed for net proceeds of $31 resulting in a gain of $9. In addition, due to the decline of the BTC price during the year ended December 31, 2022, the remaining Canaan Avalon A10 Miners, Antminer T15 Miners and Antminer S15 Miners were written off and an impairment loss of $113 was recognized.</w:t>
      </w:r>
    </w:p>
    <w:p>
      <w:pPr>
        <w:spacing w:after="0" w:line="189"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ceased using its Innosilicon T3 Miners with plans to dispose of them within the next 12 months. Due to the performance of these Miners, they were fully written off along with the remaining Innosilicon T2T Miners and an impairment loss of $388 was recognized.</w:t>
      </w:r>
    </w:p>
    <w:p>
      <w:pPr>
        <w:spacing w:after="0" w:line="174"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MicroBT WhatsMiner M20S Miners</w:t>
      </w:r>
    </w:p>
    <w:p>
      <w:pPr>
        <w:spacing w:after="0" w:line="29"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During 2022, the Company ceased using its MicroBT WhatsMiner M20S Miners and planned to dispose of them within the next 12 months. During the year ended December 31, 2022, the Company sold 1,559 MicroBT WhatsMiner M20S Miners with a carrying amount of $748 and disposed of them for net proceeds of $896 resulting in a gain of $148.</w:t>
      </w:r>
    </w:p>
    <w:p>
      <w:pPr>
        <w:spacing w:after="0" w:line="186"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1,781 MicroBT WhatsMiner M20S Miners with carrying amount of $714 and disposed of them for net proceeds of $407 resulting in a loss of $307. Management determined that the remaining MicroBT WhatsMiner M20S Miners continue to meet the criteria to be classified as held for sale as of December 31, 2023.</w:t>
      </w:r>
    </w:p>
    <w:p>
      <w:pPr>
        <w:spacing w:after="0" w:line="174"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S19j Pro Bitmain Miners</w:t>
      </w:r>
    </w:p>
    <w:p>
      <w:pPr>
        <w:spacing w:after="0" w:line="29"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2023, the Company ceased using 300 Bitmain S19j Pro Miners and planned to dispose of them within the next 12 months.</w:t>
      </w:r>
    </w:p>
    <w:p>
      <w:pPr>
        <w:spacing w:after="0" w:line="177"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Mining electrical components held for sale</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de-energized its immersion cooling pilot project in Washington State, ceased using the electrical components used in the project with a carrying value of $867, net of impairment charge of $1,882, as described in Note 12, and planned to dispose of them within the next 12 months. The Company entered into an agreement to sell the immersion cooling electrical components in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impairment loss (reversal) in the consolidated statements of profit or loss and comprehensive profit or loss:</w:t>
      </w:r>
    </w:p>
    <w:p>
      <w:pPr>
        <w:spacing w:after="0" w:line="2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91"/>
        </w:trPr>
        <w:tc>
          <w:tcPr>
            <w:tcW w:w="9040" w:type="dxa"/>
            <w:vAlign w:val="bottom"/>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Impairment on short-term prepaid deposits, equipment and construction prepayments, property, plant and equipment</w:t>
            </w:r>
          </w:p>
        </w:tc>
        <w:tc>
          <w:tcPr>
            <w:tcW w:w="126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right-of-use assets</w:t>
            </w:r>
          </w:p>
        </w:tc>
        <w:tc>
          <w:tcPr>
            <w:tcW w:w="1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75,213</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93,113</w:t>
            </w:r>
          </w:p>
        </w:tc>
        <w:tc>
          <w:tcPr>
            <w:tcW w:w="0" w:type="dxa"/>
            <w:vAlign w:val="bottom"/>
          </w:tcPr>
          <w:p>
            <w:pPr>
              <w:spacing w:after="0"/>
              <w:rPr>
                <w:sz w:val="1"/>
                <w:szCs w:val="1"/>
                <w:color w:val="auto"/>
              </w:rPr>
            </w:pPr>
          </w:p>
        </w:tc>
      </w:tr>
      <w:tr>
        <w:trPr>
          <w:trHeight w:val="432"/>
        </w:trPr>
        <w:tc>
          <w:tcPr>
            <w:tcW w:w="3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and</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prepaid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construction</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Assets held</w:t>
            </w:r>
          </w:p>
        </w:tc>
        <w:tc>
          <w:tcPr>
            <w:tcW w:w="1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plant and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prepayments</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Immersion cooling equipment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1,882</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3,000</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4,882</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Washington State cryptocurrency Mining</w:t>
            </w: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CGU (“Washington CGU”)</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6,208</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17,900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24,414</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Argentina cryptocurrency Mining CGU</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(“Argentina CGU”)</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50,326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32,027</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84,081</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Quebec cryptocurrency Mining CGU</w:t>
            </w: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(“Quebec CGU”)</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(11,641)</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Paraguay cryptocurrency Mining CGU</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(“Paraguay CGU”)</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4,200</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30,199</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2,034</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42,435</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4286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IMPAIRMENT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impairment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 During the second quarter of 2023, the Company decided to terminate the importation agreements with the external brokers as of June 30, 2023.</w:t>
      </w:r>
    </w:p>
    <w:p>
      <w:pPr>
        <w:spacing w:after="0" w:line="187"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$6,982. Accordingly, during the second quarter of 2023, the Company impaired $6,982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31"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spacing w:after="0" w:line="187"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cash-generating unit for impairment, resulting in a further impairment charge of $3,000 and bringing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electrical components during the fourth quarter of 2023</w:t>
      </w:r>
    </w:p>
    <w:p>
      <w:pPr>
        <w:spacing w:after="0" w:line="31"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right="20" w:hanging="4"/>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the Company de-energized its 2 MW immersion cooling pilot project in Washington State as the equipment did not perform to the Company’s expectations of performance and costs. With the de-energization of the immersion cooling pilot project, the 2 MW of hydro-electricity remains available to the Company to use in the future.</w:t>
      </w:r>
    </w:p>
    <w:p>
      <w:pPr>
        <w:spacing w:after="0" w:line="184"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2023, in connection with the planned disposal of the de-energized immersion cooling electrical components, Management tested those assets for impairment, resulting in an impairment charge of $1,882 before being reclassified to assets held for sale. This impairment charge is presented in the consolidated statements of profit or loss and comprehensive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IMPAIRMENT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2022 impairment loss and impairment loss reversal</w:t>
      </w:r>
    </w:p>
    <w:p>
      <w:pPr>
        <w:spacing w:after="0" w:line="31"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as a result of the decline in the BTC price, the Company performed evaluations of the recoverable amount of the assets for operating the cryptocurrency mining facilities in Quebec, Washington State, Argentina and Paraguay separately. As the group of assets for each CGU do not generate cash inflows that are independent of each other, the recoverable amount was calculated for each CGU comprised of the property, plant and equipment, ROU assets, long-term electricity deposits, long-term construction and equipment prepayments and favorable lease used in the operating cryptocurrency mining facilities in Quebec, Washington State, Argentina and Paraguay.</w:t>
      </w:r>
    </w:p>
    <w:p>
      <w:pPr>
        <w:spacing w:after="0" w:line="18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recoverable amount was calculated using the value in use model, which calculated the present value of the future cash flows expected to be derived from the Washington CGU and Argentina CGU, which were determined to be lower than their carrying amount. Based on its calculation, the Company determined that impairment losses should be recorded on its Washington CGU and Argentina CGU in the amount of $24,414 and $84,081, respectively, during the year ended December 31, 2022. The impairment losses were recognized in profit or loss under Impairment on short-term prepaid deposits, equipment and construction prepayments, property, plant and equipment and right-of-use assets and Impairment on goodwill.</w:t>
      </w:r>
    </w:p>
    <w:p>
      <w:pPr>
        <w:spacing w:after="0" w:line="18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Reversal of impairment loss</w:t>
      </w:r>
    </w:p>
    <w:p>
      <w:pPr>
        <w:spacing w:after="0" w:line="2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The renegotiation of the 48,000 unit purchase agreements, as described in Note 15a, allowed the deployment of Miners intended for the Argentina CGU to be reassigned to the Quebec CGU and Paraguay CGU. As a result, a portion of the equipment prepayments in the Argentina CGU that were impaired during the third quarter of 2022 was allocated to the Quebec CGU and Paraguay CGU. The deposits were transferred to the Quebec CGU and Paraguay CGU at the impaired amount. After performing the evaluation of the recoverable amount of the assets for these CGUs, the impairment losses previously recognized on these deposits were reversed into the Quebec CGU and Paraguay CGU by $11,641 and $8,486, respectively. The impairment reversals were recognized in profit or loss under Impairment on short-term prepaid deposits, equipment and construction prepayments, property, plant and equipment and right-of-use assets.</w:t>
      </w:r>
    </w:p>
    <w:p>
      <w:pPr>
        <w:spacing w:after="0" w:line="186"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Suni mineral asset</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In connection with the reverse acquisition of Bitfarms Ltd (Israel), the Company engaged an independent appraiser to determine the fair value as of the acquisition date, April 12, 2018, of Suni, an iron ore deposit located in Canada held by the acquiree. The appraiser’s valuation report was based on the market comparison method and the analysis of similar assets. Following certain adjustments resulting from changes in the price of iron ore, among other variables, Suni’s value at April 12, 2018 was estimated at $9,000.</w:t>
      </w:r>
    </w:p>
    <w:p>
      <w:pPr>
        <w:spacing w:after="0" w:line="189" w:lineRule="exact"/>
        <w:rPr>
          <w:sz w:val="20"/>
          <w:szCs w:val="20"/>
          <w:color w:val="auto"/>
        </w:rPr>
      </w:pPr>
    </w:p>
    <w:p>
      <w:pPr>
        <w:jc w:val="both"/>
        <w:ind w:hanging="4"/>
        <w:spacing w:after="0" w:line="256" w:lineRule="auto"/>
        <w:rPr>
          <w:sz w:val="20"/>
          <w:szCs w:val="20"/>
          <w:color w:val="auto"/>
        </w:rPr>
      </w:pPr>
      <w:r>
        <w:rPr>
          <w:rFonts w:ascii="Times New Roman" w:cs="Times New Roman" w:eastAsia="Times New Roman" w:hAnsi="Times New Roman"/>
          <w:sz w:val="18"/>
          <w:szCs w:val="18"/>
          <w:color w:val="auto"/>
        </w:rPr>
        <w:t>An independent appraiser was engaged to determine Suni’s fair value as of September 30, 2022 due to the decline in the iron ore price during the third quarter of 2022. Using the same method as the previous independent appraiser, the new appraiser determined that the fair value of Suni was $3,250, or $3,000 after reflecting estimated costs to sell, compared to $7,200 on December 31, 2021, which resulted in an impairment of $4,200 during the third quarter of 2022 to Suni’s mineral asset book value. There were no further impairment indicators as of December 31, 2022. The impairment loss was recognized in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property, plant and equipment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3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308,205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4,392</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45,278</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1,082</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367,957</w:t>
            </w: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63,598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1,348</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5,924</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272</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71,142</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(7,325)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(16,422)</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(9,688)</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(9,688)</w:t>
            </w: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(499)</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r>
      <w:tr>
        <w:trPr>
          <w:trHeight w:val="21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354,803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5,740</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1,262</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412,533</w:t>
            </w:r>
          </w:p>
        </w:tc>
      </w:tr>
      <w:tr>
        <w:trPr>
          <w:trHeight w:val="209"/>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1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120,097</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6,000</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270</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21,636</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526</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148,529</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77,551</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154</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3,556</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194</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81,455</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(5,756)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(14,834)</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(8,418)</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(8,418)</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1,882</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4,882</w:t>
            </w: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Impairment on deposits transferred to PPE</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14,438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469</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14,907</w:t>
            </w:r>
          </w:p>
        </w:tc>
      </w:tr>
      <w:tr>
        <w:trPr>
          <w:trHeight w:val="21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424</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647</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226,521</w:t>
            </w:r>
          </w:p>
        </w:tc>
      </w:tr>
      <w:tr>
        <w:trPr>
          <w:trHeight w:val="210"/>
        </w:trPr>
        <w:tc>
          <w:tcPr>
            <w:tcW w:w="30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2023</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155,009</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5,316</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25,072</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615</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186,012</w:t>
            </w: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4"/>
        </w:trPr>
        <w:tc>
          <w:tcPr>
            <w:tcW w:w="3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BVVE and</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3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09"/>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156,647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4,549</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5,783</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547</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176,526</w:t>
            </w:r>
          </w:p>
        </w:tc>
      </w:tr>
      <w:tr>
        <w:trPr>
          <w:trHeight w:val="191"/>
        </w:trPr>
        <w:tc>
          <w:tcPr>
            <w:tcW w:w="3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Measurement period adjustment to</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combination</w:t>
            </w:r>
          </w:p>
        </w:tc>
        <w:tc>
          <w:tcPr>
            <w:tcW w:w="1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(1,127)</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164,437</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3,239</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39,495</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552</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207,723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(3,609)</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(3,378)</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(8,143)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1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308,205</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4,392</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45,278</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1,082</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367,957</w:t>
            </w:r>
          </w:p>
        </w:tc>
      </w:tr>
      <w:tr>
        <w:trPr>
          <w:trHeight w:val="210"/>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35,766</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286</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1,560</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264</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39,676</w:t>
            </w: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66,319</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1,703</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68,339</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(2,562)</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(366)</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(6,040)</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24,820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13,107</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42,435</w:t>
            </w: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Impairment on deposits transferred to PPE</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1,794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5,266</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7,060</w:t>
            </w:r>
          </w:p>
        </w:tc>
      </w:tr>
      <w:tr>
        <w:trPr>
          <w:trHeight w:val="209"/>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120,097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270</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21,636</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148,529</w:t>
            </w:r>
          </w:p>
        </w:tc>
      </w:tr>
      <w:tr>
        <w:trPr>
          <w:trHeight w:val="210"/>
        </w:trPr>
        <w:tc>
          <w:tcPr>
            <w:tcW w:w="3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as of December 31,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188,108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4,122</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23,642</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-3419475</wp:posOffset>
            </wp:positionV>
            <wp:extent cx="7132320" cy="8572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BTC BVVE held by the Company as of December 31, 2023 and December 31, 2022 are as follows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98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2023</w:t>
            </w:r>
          </w:p>
        </w:tc>
        <w:tc>
          <w:tcPr>
            <w:tcW w:w="10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45,375</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7,172</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5,711</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58,258</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40" w:type="dxa"/>
            <w:vAlign w:val="bottom"/>
          </w:tcPr>
          <w:p>
            <w:pPr>
              <w:spacing w:after="0"/>
              <w:rPr>
                <w:sz w:val="18"/>
                <w:szCs w:val="18"/>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8,281</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9,289</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17,979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(1,918)</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(5,711)</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(8,138)</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2023</w:t>
            </w:r>
          </w:p>
        </w:tc>
        <w:tc>
          <w:tcPr>
            <w:tcW w:w="10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51,738</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16,361</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68,099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(731)</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(300)</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51,007</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67,068</w:t>
            </w:r>
          </w:p>
        </w:tc>
      </w:tr>
    </w:tbl>
    <w:p>
      <w:pPr>
        <w:spacing w:after="0" w:line="198" w:lineRule="exact"/>
        <w:rPr>
          <w:sz w:val="20"/>
          <w:szCs w:val="20"/>
          <w:color w:val="auto"/>
        </w:rPr>
      </w:pPr>
    </w:p>
    <w:p>
      <w:pPr>
        <w:ind w:right="1640" w:firstLine="3"/>
        <w:spacing w:after="0" w:line="498" w:lineRule="auto"/>
        <w:tabs>
          <w:tab w:leader="none" w:pos="1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731 M20S classified as assets held for sale, 36,018 M30S, 12,517 M31S and 2,473 M50 Miners as of December 31, 2023. Refer to Note 11 for more details on assets held for sale.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Canaan</w:t>
            </w:r>
          </w:p>
        </w:tc>
        <w:tc>
          <w:tcPr>
            <w:tcW w:w="8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Avalon</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800" w:type="dxa"/>
            <w:vAlign w:val="bottom"/>
          </w:tcPr>
          <w:p>
            <w:pPr>
              <w:spacing w:after="0"/>
              <w:rPr>
                <w:sz w:val="18"/>
                <w:szCs w:val="18"/>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A10</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Antminers***</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2022</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18,675</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7,172</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6,446</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1,024</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8,073</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41,390</w:t>
            </w: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28,499</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801</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29,300</w:t>
            </w:r>
          </w:p>
        </w:tc>
      </w:tr>
      <w:tr>
        <w:trPr>
          <w:trHeight w:val="216"/>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(8,073)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r>
      <w:tr>
        <w:trPr>
          <w:trHeight w:val="216"/>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2022</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45,375</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7,172</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5,711</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58,258</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16"/>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ROU asset****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7"/>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39,863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7,172</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4,439</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51,474</w:t>
            </w:r>
          </w:p>
        </w:tc>
      </w:tr>
    </w:tbl>
    <w:p>
      <w:pPr>
        <w:spacing w:after="0" w:line="198" w:lineRule="exact"/>
        <w:rPr>
          <w:sz w:val="20"/>
          <w:szCs w:val="20"/>
          <w:color w:val="auto"/>
        </w:rPr>
      </w:pPr>
    </w:p>
    <w:p>
      <w:pPr>
        <w:ind w:right="4240" w:firstLine="3"/>
        <w:spacing w:after="0" w:line="500" w:lineRule="auto"/>
        <w:tabs>
          <w:tab w:leader="none" w:pos="1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2,512 M20S classified as assets held for sale, 30,210 M30S and 12,653 M31S Miners. ** Includes 4,439 T3 and 1,272 T2T Miners classified as assets held for sale.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Included Antminer T15 and Antminer S15 Miners classified as assets held for sale and written off.</w:t>
      </w:r>
    </w:p>
    <w:p>
      <w:pPr>
        <w:spacing w:after="0" w:line="225" w:lineRule="exact"/>
        <w:rPr>
          <w:rFonts w:ascii="Times New Roman" w:cs="Times New Roman" w:eastAsia="Times New Roman" w:hAnsi="Times New Roman"/>
          <w:sz w:val="18"/>
          <w:szCs w:val="18"/>
          <w:color w:val="auto"/>
        </w:rPr>
      </w:pPr>
    </w:p>
    <w:p>
      <w:pPr>
        <w:ind w:right="47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3,000 WhatsMiner M31S+ with a net book value of approximately $3,330. Refer to Note 11 for more details on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INTANGIBLE ASSETS</w:t>
            </w: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Access rights</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Favorable</w:t>
            </w:r>
          </w:p>
        </w:tc>
        <w:tc>
          <w:tcPr>
            <w:tcW w:w="1020" w:type="dxa"/>
            <w:vAlign w:val="bottom"/>
          </w:tcPr>
          <w:p>
            <w:pPr>
              <w:spacing w:after="0"/>
              <w:rPr>
                <w:sz w:val="24"/>
                <w:szCs w:val="24"/>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 electricity</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7,150</w:t>
            </w: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3,801</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3,801</w:t>
            </w:r>
          </w:p>
        </w:tc>
      </w:tr>
      <w:tr>
        <w:trPr>
          <w:trHeight w:val="209"/>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3,801</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10,951</w:t>
            </w:r>
          </w:p>
        </w:tc>
      </w:tr>
      <w:tr>
        <w:trPr>
          <w:trHeight w:val="210"/>
        </w:trPr>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3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5,117</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7,117</w:t>
            </w: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113</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w:t>
            </w:r>
          </w:p>
        </w:tc>
      </w:tr>
      <w:tr>
        <w:trPr>
          <w:trHeight w:val="21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113</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7,251</w:t>
            </w:r>
          </w:p>
        </w:tc>
      </w:tr>
      <w:tr>
        <w:trPr>
          <w:trHeight w:val="209"/>
        </w:trPr>
        <w:tc>
          <w:tcPr>
            <w:tcW w:w="47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2023</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3,688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3,700</w:t>
            </w:r>
          </w:p>
        </w:tc>
      </w:tr>
      <w:tr>
        <w:trPr>
          <w:trHeight w:val="216"/>
        </w:trPr>
        <w:tc>
          <w:tcPr>
            <w:tcW w:w="4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4"/>
        </w:trPr>
        <w:tc>
          <w:tcPr>
            <w:tcW w:w="4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Systems</w:t>
            </w:r>
          </w:p>
        </w:tc>
        <w:tc>
          <w:tcPr>
            <w:tcW w:w="14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Access rights</w:t>
            </w:r>
          </w:p>
        </w:tc>
        <w:tc>
          <w:tcPr>
            <w:tcW w:w="1460" w:type="dxa"/>
            <w:vAlign w:val="bottom"/>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Favorable</w:t>
            </w:r>
          </w:p>
        </w:tc>
        <w:tc>
          <w:tcPr>
            <w:tcW w:w="1020" w:type="dxa"/>
            <w:vAlign w:val="bottom"/>
          </w:tcPr>
          <w:p>
            <w:pPr>
              <w:spacing w:after="0"/>
              <w:rPr>
                <w:sz w:val="16"/>
                <w:szCs w:val="16"/>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 electricity</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5,150</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6,950</w:t>
            </w: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Measurement period adjustment to business combination</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09"/>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5,150</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r>
      <w:tr>
        <w:trPr>
          <w:trHeight w:val="210"/>
        </w:trPr>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3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5,008</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1,739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1,848</w:t>
            </w:r>
          </w:p>
        </w:tc>
      </w:tr>
      <w:tr>
        <w:trPr>
          <w:trHeight w:val="20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5,117</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7,117</w:t>
            </w:r>
          </w:p>
        </w:tc>
      </w:tr>
      <w:tr>
        <w:trPr>
          <w:trHeight w:val="210"/>
        </w:trPr>
        <w:tc>
          <w:tcPr>
            <w:tcW w:w="47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2022</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7200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Additions related to acquisitions of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the Company made three acquisitions of groups of assets, resulting in additional access rights to electricity. The access rights represent a contractual right to hydro power capacity and are classified as intangible assets. The assets acquired, including the intangible assets, and the liabilities assumed were recognized and measured by allocating the fair value of the consideration paid to their relative fair values at the closing date of the transactions. Refer to Note 5 for more details. The following table summarizes the access rights: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900" w:type="dxa"/>
            <w:vAlign w:val="bottom"/>
          </w:tcPr>
          <w:p>
            <w:pPr>
              <w:spacing w:after="0"/>
              <w:rPr>
                <w:sz w:val="18"/>
                <w:szCs w:val="18"/>
                <w:color w:val="auto"/>
              </w:rPr>
            </w:pPr>
          </w:p>
        </w:tc>
      </w:tr>
      <w:tr>
        <w:trPr>
          <w:trHeight w:val="23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1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Quebec</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termination date</w:t>
            </w: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Straight-line over the lease term of the facility</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Villarrica (Paso Pe), Paraguay</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MW*</w:t>
            </w:r>
          </w:p>
        </w:tc>
        <w:tc>
          <w:tcPr>
            <w:tcW w:w="2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16"/>
        </w:trPr>
        <w:tc>
          <w:tcPr>
            <w:tcW w:w="2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Yguazu, Paraguay</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24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9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17"/>
        </w:trPr>
        <w:tc>
          <w:tcPr>
            <w:tcW w:w="2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3,801</w:t>
            </w:r>
          </w:p>
        </w:tc>
        <w:tc>
          <w:tcPr>
            <w:tcW w:w="11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 MW</w:t>
            </w:r>
          </w:p>
        </w:tc>
        <w:tc>
          <w:tcPr>
            <w:tcW w:w="24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15:  LONG-TERM DEPOSITS, EQUIPMENT PREPAYMENTS, COMMITMENTS AND OTHER</w:t>
            </w:r>
          </w:p>
        </w:tc>
        <w:tc>
          <w:tcPr>
            <w:tcW w:w="1660" w:type="dxa"/>
            <w:vAlign w:val="bottom"/>
          </w:tcPr>
          <w:p>
            <w:pPr>
              <w:spacing w:after="0"/>
              <w:rPr>
                <w:sz w:val="20"/>
                <w:szCs w:val="20"/>
                <w:color w:val="auto"/>
              </w:rPr>
            </w:pPr>
          </w:p>
        </w:tc>
      </w:tr>
      <w:tr>
        <w:trPr>
          <w:trHeight w:val="432"/>
        </w:trPr>
        <w:tc>
          <w:tcPr>
            <w:tcW w:w="55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5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2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23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4,901</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3,872</w:t>
            </w:r>
          </w:p>
        </w:tc>
      </w:tr>
      <w:tr>
        <w:trPr>
          <w:trHeight w:val="216"/>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2320" w:type="dxa"/>
            <w:vAlign w:val="bottom"/>
            <w:tcBorders>
              <w:bottom w:val="single" w:sz="8" w:color="auto"/>
            </w:tcBorders>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39,813</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32,230</w:t>
            </w:r>
          </w:p>
        </w:tc>
      </w:tr>
      <w:tr>
        <w:trPr>
          <w:trHeight w:val="217"/>
        </w:trPr>
        <w:tc>
          <w:tcPr>
            <w:tcW w:w="55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44,714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38,185</w:t>
            </w:r>
          </w:p>
        </w:tc>
      </w:tr>
    </w:tbl>
    <w:p>
      <w:pPr>
        <w:spacing w:after="0" w:line="194"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has deposits for BVVE and electrical components in the amount of $32,642, which includes $17,561 of credits for orders placed at fixed prices, but not yet received, as described below, with a book value of $11,330 due to previously recorded impairments of $6,231. In addition, the Company has deposits for construction work and materials in the amount of $7,171, mainly for the Paraguay expansion.</w:t>
      </w:r>
    </w:p>
    <w:p>
      <w:pPr>
        <w:spacing w:after="0" w:line="186"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which was fully utilized during the year ended December 31, 2023 for the acquisition of hydro Miners and hydro containers. These items were not received as of December 31, 2023 and are scheduled to be received in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placed a firm purchase order for 35,888 Bitmain T21 Miners totaling $95,462 with deliveries scheduled from March 2024 to May 2024 and made a non-refundable deposit of $9,464. In addition, the Company secured a purchase option for an additional 28,000 Bitmain T21 Miners totaling $74,480 and made a non-refundable deposit of $7,448. This purchase option gives the Company the right, exercisable until December 31, 2024, but not the obligation, to purchase, in whole or in part, 28,000 additional Bitmain T21 Miners.</w:t>
      </w:r>
    </w:p>
    <w:p>
      <w:pPr>
        <w:spacing w:after="0" w:line="176"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remaining payment obligations in connection with the 35,888 Bitmain T21 Miners purchase order are outlined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618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March 31, 2024</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41,446</w:t>
            </w:r>
          </w:p>
        </w:tc>
      </w:tr>
      <w:tr>
        <w:trPr>
          <w:trHeight w:val="216"/>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June 30, 2024</w:t>
            </w: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44,551</w:t>
            </w:r>
          </w:p>
        </w:tc>
      </w:tr>
      <w:tr>
        <w:trPr>
          <w:trHeight w:val="217"/>
        </w:trPr>
        <w:tc>
          <w:tcPr>
            <w:tcW w:w="6180" w:type="dxa"/>
            <w:vAlign w:val="bottom"/>
            <w:tcBorders>
              <w:bottom w:val="single" w:sz="8" w:color="auto"/>
            </w:tcBorders>
            <w:shd w:val="clear" w:color="auto" w:fill="CCEEFF"/>
          </w:tcPr>
          <w:p>
            <w:pPr>
              <w:spacing w:after="0"/>
              <w:rPr>
                <w:sz w:val="18"/>
                <w:szCs w:val="18"/>
                <w:color w:val="auto"/>
              </w:rPr>
            </w:pPr>
          </w:p>
        </w:tc>
        <w:tc>
          <w:tcPr>
            <w:tcW w:w="5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85,997</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taken against the Company which may include damages and forced continuance of the contractual arrangement. Under such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their manufacture in China, and notified the Company of a potential assessment of a U.S. importation duty of 25%.</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the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TRADE PAYABLES AND ACCRUED LIABILITIES</w:t>
            </w:r>
          </w:p>
        </w:tc>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6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65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12,897</w:t>
            </w: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11,662</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7,644</w:t>
            </w:r>
          </w:p>
        </w:tc>
      </w:tr>
      <w:tr>
        <w:trPr>
          <w:trHeight w:val="217"/>
        </w:trPr>
        <w:tc>
          <w:tcPr>
            <w:tcW w:w="650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20,739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20,541</w:t>
            </w: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  LONG-TERM DEBT</w:t>
            </w: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6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65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47,020</w:t>
            </w: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 loans</w:t>
            </w: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(43,054)</w:t>
            </w: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w:t>
            </w: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6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65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47,147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11,167</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67,201</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(12,580)</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7,311</w:t>
            </w:r>
          </w:p>
        </w:tc>
      </w:tr>
      <w:tr>
        <w:trPr>
          <w:trHeight w:val="217"/>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 xml:space="preserve">LONG-TERM DEBT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right="7960" w:firstLine="8"/>
        <w:spacing w:after="0" w:line="263" w:lineRule="auto"/>
        <w:tabs>
          <w:tab w:leader="none" w:pos="65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Equipment financing activity </w:t>
      </w:r>
      <w:r>
        <w:rPr>
          <w:rFonts w:ascii="Times New Roman" w:cs="Times New Roman" w:eastAsia="Times New Roman" w:hAnsi="Times New Roman"/>
          <w:sz w:val="18"/>
          <w:szCs w:val="18"/>
          <w:b w:val="1"/>
          <w:bCs w:val="1"/>
          <w:i w:val="1"/>
          <w:iCs w:val="1"/>
          <w:color w:val="auto"/>
        </w:rPr>
        <w:t>Repayment of Foundry Loans #2, #3 and #4</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the loan with BlockFi Lending LLC (“BlockFi”)</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jc w:val="both"/>
        <w:ind w:right="20" w:hanging="4"/>
        <w:spacing w:after="0" w:line="282" w:lineRule="auto"/>
        <w:rPr>
          <w:sz w:val="20"/>
          <w:szCs w:val="20"/>
          <w:color w:val="auto"/>
        </w:rPr>
      </w:pPr>
      <w:r>
        <w:rPr>
          <w:rFonts w:ascii="Times New Roman" w:cs="Times New Roman" w:eastAsia="Times New Roman" w:hAnsi="Times New Roman"/>
          <w:sz w:val="18"/>
          <w:szCs w:val="18"/>
          <w:color w:val="auto"/>
        </w:rPr>
        <w:t>In December 2022, Backbone Mining ceased making installment payments, which constituted a default under the loan agreement, and the BlockFi Loan was classified as current.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year ended December 31, 2023. Upon settlement, all of Backbone Mining’s assets, including the 6,100 Miners collateralizing the loan, were unencumbered.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NYDIG Loan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is required to maintain in a segregated wallet an approximate quantity of BTC whose value equates to at least one month of interest and principal payments on the outstanding loan. The Company pledged 50 BTC as collateral with a fair market value of $2,101 as of December 31, 2023. The pledged BTC is held in a segregated Coinbase Custody account, which BTC is owned by the Company unless there is an event of default under the NYDIG Loan.</w:t>
      </w:r>
    </w:p>
    <w:p>
      <w:pPr>
        <w:spacing w:after="0" w:line="186"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equipment financing</w:t>
      </w:r>
    </w:p>
    <w:p>
      <w:pPr>
        <w:spacing w:after="0" w:line="31"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As of December 31, 2023, the Company’s equipment financing consisted only of the NYDIG Loan. The NYDIG Loan balance and the net book value (“NBV”) of its related collateral, as of December 31, 2023,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Monthly</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NBV of</w:t>
            </w:r>
          </w:p>
        </w:tc>
        <w:tc>
          <w:tcPr>
            <w:tcW w:w="1240" w:type="dxa"/>
            <w:vAlign w:val="bottom"/>
          </w:tcPr>
          <w:p>
            <w:pPr>
              <w:spacing w:after="0"/>
              <w:rPr>
                <w:sz w:val="18"/>
                <w:szCs w:val="18"/>
                <w:color w:val="auto"/>
              </w:rPr>
            </w:pPr>
          </w:p>
        </w:tc>
      </w:tr>
      <w:tr>
        <w:trPr>
          <w:trHeight w:val="238"/>
        </w:trPr>
        <w:tc>
          <w:tcPr>
            <w:tcW w:w="1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Stated rate</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Effective rate*</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repayment ($)</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Collateral ($)</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Collateral**</w:t>
            </w:r>
          </w:p>
        </w:tc>
      </w:tr>
      <w:tr>
        <w:trPr>
          <w:trHeight w:val="217"/>
        </w:trPr>
        <w:tc>
          <w:tcPr>
            <w:tcW w:w="1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NYDIG Loan</w:t>
            </w:r>
          </w:p>
        </w:tc>
        <w:tc>
          <w:tcPr>
            <w:tcW w:w="1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February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2,043</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21,840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10,395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implied interest rate after capitalizing financing and origination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quantity of WhatsMiners received in connection with the equipment financing and pledged as collateral for the related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NYDIG Loan balance was fully repaid, and the Company’s 10,395 Miners collateralizing the loan and BTC pledged as collateral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tab/>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are the carrying amounts of the Company’s right-of-use (“ROU”) assets and lease liabilities and their activity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17,864</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1,020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534</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1,554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to property, plant and equipment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(364)</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(364)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(2,952)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(213)</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(3,197)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lease liabilities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1,391</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345</w:t>
            </w:r>
          </w:p>
        </w:tc>
      </w:tr>
      <w:tr>
        <w:trPr>
          <w:trHeight w:val="21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13,762</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15,850</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r>
      <w:tr>
        <w:trPr>
          <w:trHeight w:val="21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12,993</w:t>
            </w:r>
          </w:p>
        </w:tc>
      </w:tr>
      <w:tr>
        <w:trPr>
          <w:trHeight w:val="410"/>
        </w:trPr>
        <w:tc>
          <w:tcPr>
            <w:tcW w:w="4060" w:type="dxa"/>
            <w:vAlign w:val="bottom"/>
          </w:tcPr>
          <w:p>
            <w:pPr>
              <w:spacing w:after="0"/>
              <w:rPr>
                <w:sz w:val="24"/>
                <w:szCs w:val="24"/>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9,038</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9,397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13,573</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9,526</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118</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1,693</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11,337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(1,975)</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(2,225)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(791)</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(1,243)</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(2,034)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17,864</w:t>
            </w:r>
          </w:p>
        </w:tc>
      </w:tr>
      <w:tr>
        <w:trPr>
          <w:trHeight w:val="21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17"/>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14,215</w:t>
            </w:r>
          </w:p>
        </w:tc>
      </w:tr>
    </w:tbl>
    <w:p>
      <w:pPr>
        <w:spacing w:after="0" w:line="194" w:lineRule="exact"/>
        <w:rPr>
          <w:sz w:val="20"/>
          <w:szCs w:val="20"/>
          <w:color w:val="auto"/>
        </w:rPr>
      </w:pPr>
    </w:p>
    <w:p>
      <w:pPr>
        <w:ind w:right="9080" w:firstLine="8"/>
        <w:spacing w:after="0" w:line="263" w:lineRule="auto"/>
        <w:tabs>
          <w:tab w:leader="none" w:pos="64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lease activities Reliz Lease</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2023, the Company negotiated a modification to its lease agreement with Reliz Ltd. (where BlockFi was the lender to Reliz Ltd.) in order to settle its outstanding lease liability of $373 for a payment of $118. Refer to Note 28 for more details.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Baie-Comeau</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5, 2023, in conjunction with the Baie-Comeau acquisition, the Company entered into a lease agreement with a third party for a site to install the infrastructure to operate the acquired capacity. The lease agreement is for an industrial site in Baie-Comeau for an initial term of 10 years at $16 (CAD$21) a month with an annual adjustment at the lesser of (i) the change in the Consumer Price Index and (ii) 3%. The lease agreement also provides the Company with the option to purchase the site for $2,248 (CAD$3,000) with an annual adjustment at the lesser of (i) the change in the Consumer Price Index and (ii) 3% throughout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 lease activities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maintained one lease agreement for Mining hardware, consisting of 3,000 WhatsMiner M31S+ Miners, with a net book value of approximately $3,330, classified as property, plant and equipment under BVVE and electrical equipment as described in Note 13.</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loss of $2,034 on the Company’s ROU assets. Refer to Note 12 for more details.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INCOME TAXES (Restated)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20" w:type="dxa"/>
            <w:vAlign w:val="bottom"/>
            <w:tcBorders>
              <w:top w:val="single" w:sz="8" w:color="auto"/>
              <w:bottom w:val="single" w:sz="8" w:color="auto"/>
            </w:tcBorders>
          </w:tcPr>
          <w:p>
            <w:pPr>
              <w:spacing w:after="0"/>
              <w:rPr>
                <w:sz w:val="18"/>
                <w:szCs w:val="18"/>
                <w:color w:val="auto"/>
              </w:rPr>
            </w:pPr>
          </w:p>
        </w:tc>
        <w:tc>
          <w:tcPr>
            <w:tcW w:w="43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tax (expense) recovery:</w:t>
            </w:r>
          </w:p>
        </w:tc>
        <w:tc>
          <w:tcPr>
            <w:tcW w:w="4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4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(2,679)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w:t>
            </w:r>
          </w:p>
        </w:tc>
      </w:tr>
      <w:tr>
        <w:trPr>
          <w:trHeight w:val="216"/>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4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(252)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592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(2,931)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8,962</w:t>
            </w:r>
          </w:p>
        </w:tc>
      </w:tr>
      <w:tr>
        <w:trPr>
          <w:trHeight w:val="210"/>
        </w:trPr>
        <w:tc>
          <w:tcPr>
            <w:tcW w:w="59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 recovery:</w:t>
            </w:r>
          </w:p>
        </w:tc>
        <w:tc>
          <w:tcPr>
            <w:tcW w:w="4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4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4,703</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8,446</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4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59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3,332</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8,450</w:t>
            </w:r>
          </w:p>
        </w:tc>
      </w:tr>
      <w:tr>
        <w:trPr>
          <w:trHeight w:val="216"/>
        </w:trPr>
        <w:tc>
          <w:tcPr>
            <w:tcW w:w="592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current tax recovery represents the expected tax refund as a result of losses realized in 2022 that will be carried back to offset prior period taxable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10"/>
        </w:trPr>
        <w:tc>
          <w:tcPr>
            <w:tcW w:w="55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 (restated - Note 3e)</w:t>
            </w:r>
          </w:p>
        </w:tc>
        <w:tc>
          <w:tcPr>
            <w:tcW w:w="1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at statutory rate of 26.5%</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28,971</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51,160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103</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0.1%</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(1,070)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year</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(1,623)</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Non-taxable warrant loss (gain) and other permanent differences</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(23,391)</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(21.4)%</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16,894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(3,659)</w:t>
            </w: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(49,508)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7"/>
        </w:trPr>
        <w:tc>
          <w:tcPr>
            <w:tcW w:w="55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401</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0.4%</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17,412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 As at December 31, 2023, the Company has analyzed the recoverability of its deferred tax assets and has concluded that it is not more likely than not that sufficient taxable profit is expected to utilize these deferred tax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Movement in deferred tax asset for the years ending December 31, 2023 and 2022, without taking into consideration the offsetting of balances within the same tax jurisdiction,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98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forward</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fees</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PPE</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3,141</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3,751</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1,288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43,713</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1,020</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144</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15,855</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11,335</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72,109</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profit or loss</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(43,713)</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(5,795)</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(49,508)</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statements of equity</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(3,895)</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4,161</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10,538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12,623</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27,448</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52,743</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3,332</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(5,884)</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(6,564)</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43,500</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(45,377)</w:t>
            </w:r>
          </w:p>
        </w:tc>
        <w:tc>
          <w:tcPr>
            <w:tcW w:w="10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(45,377)</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profit or loss</w:t>
            </w:r>
          </w:p>
        </w:tc>
        <w:tc>
          <w:tcPr>
            <w:tcW w:w="130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(3,332)</w:t>
            </w: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(3,332)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statements of equity</w:t>
            </w:r>
          </w:p>
        </w:tc>
        <w:tc>
          <w:tcPr>
            <w:tcW w:w="1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7,366</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4,020</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140</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4,654</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6,059</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22,239</w:t>
            </w:r>
          </w:p>
        </w:tc>
        <w:tc>
          <w:tcPr>
            <w:tcW w:w="0" w:type="dxa"/>
            <w:vAlign w:val="bottom"/>
          </w:tcPr>
          <w:p>
            <w:pPr>
              <w:spacing w:after="0"/>
              <w:rPr>
                <w:sz w:val="1"/>
                <w:szCs w:val="1"/>
                <w:color w:val="auto"/>
              </w:rPr>
            </w:pP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Offsetting deferred tax liabilities as of</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(22,239)</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deferred tax assets as of December 31,</w:t>
            </w:r>
          </w:p>
        </w:tc>
        <w:tc>
          <w:tcPr>
            <w:tcW w:w="1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Movement in deferred tax liability for the years ending December 31, 2023 and 2022, without taking into consideration the offsetting of balances within the same tax jurisdiction,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040" w:type="dxa"/>
            <w:vAlign w:val="bottom"/>
          </w:tcPr>
          <w:p>
            <w:pPr>
              <w:spacing w:after="0"/>
              <w:rPr>
                <w:sz w:val="18"/>
                <w:szCs w:val="18"/>
                <w:color w:val="auto"/>
              </w:rPr>
            </w:pPr>
          </w:p>
        </w:tc>
      </w:tr>
      <w:tr>
        <w:trPr>
          <w:trHeight w:val="238"/>
        </w:trPr>
        <w:tc>
          <w:tcPr>
            <w:tcW w:w="5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PPE</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ROU Asset</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9,287</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4,010</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13,297</w:t>
            </w:r>
          </w:p>
        </w:tc>
      </w:tr>
      <w:tr>
        <w:trPr>
          <w:trHeight w:val="216"/>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Charged to statements of profit or loss</w:t>
            </w:r>
          </w:p>
        </w:tc>
        <w:tc>
          <w:tcPr>
            <w:tcW w:w="2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12,231</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1,920</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14,151</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21,518</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5,930</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27,448</w:t>
            </w:r>
          </w:p>
        </w:tc>
      </w:tr>
      <w:tr>
        <w:trPr>
          <w:trHeight w:val="216"/>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2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(4,164)</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(2,333)</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(5,209)</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17,354</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3,597</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22,239</w:t>
            </w:r>
          </w:p>
        </w:tc>
      </w:tr>
      <w:tr>
        <w:trPr>
          <w:trHeight w:val="223"/>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Offsetting deferred tax assets as of December 31, 2023</w:t>
            </w:r>
          </w:p>
        </w:tc>
        <w:tc>
          <w:tcPr>
            <w:tcW w:w="2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(22,239)</w:t>
            </w:r>
          </w:p>
        </w:tc>
      </w:tr>
      <w:tr>
        <w:trPr>
          <w:trHeight w:val="223"/>
        </w:trPr>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 as of December 31, 2023</w:t>
            </w:r>
          </w:p>
        </w:tc>
        <w:tc>
          <w:tcPr>
            <w:tcW w:w="2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  ASSET RETIREMENT PROVISION</w:t>
            </w:r>
          </w:p>
        </w:tc>
        <w:tc>
          <w:tcPr>
            <w:tcW w:w="36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59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9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3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3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the foreign exchange rate</w:t>
            </w:r>
          </w:p>
        </w:tc>
        <w:tc>
          <w:tcPr>
            <w:tcW w:w="3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3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period end</w:t>
            </w: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estimated the costs of restoring its leased premises to their original state at the end of their respective lease terms to be $4,326 (December 31, 2022: $3,950), discounted to present value of $1,816 (December 31, 2022: $1,979) using annual discount rates between 7% and 17% (December 31, 2022: between 7% and 10%) over the lease periods, which were estimated to range from seven to ten years depending on the location.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 of change in discount rate was accounted for as a reduction of asset retirement provision totaling $598 and a decrease of $499 in the related property, plant and equipment. As the decrease in the asset retirement provision exceeded the carrying amount of the related property, plant and equipment, the excess of $99 was recognized as a gain in the consolidated statements of profit or loss and comprehensive profit or loss under Net financial (expenses) income.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SHARE CAPITAL (Restated)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As of December 31, 2023, the Company had 334,153,330 issued and outstanding common shares (December 31, 2022: 224,200,170).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4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187"/>
        </w:trPr>
        <w:tc>
          <w:tcPr>
            <w:tcW w:w="41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4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60" w:type="dxa"/>
            <w:vAlign w:val="bottom"/>
          </w:tcPr>
          <w:p>
            <w:pPr>
              <w:spacing w:after="0"/>
              <w:rPr>
                <w:sz w:val="16"/>
                <w:szCs w:val="16"/>
                <w:color w:val="auto"/>
              </w:rPr>
            </w:pPr>
          </w:p>
        </w:tc>
        <w:tc>
          <w:tcPr>
            <w:tcW w:w="12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140" w:type="dxa"/>
            <w:vAlign w:val="bottom"/>
          </w:tcPr>
          <w:p>
            <w:pPr>
              <w:spacing w:after="0"/>
              <w:rPr>
                <w:sz w:val="18"/>
                <w:szCs w:val="18"/>
                <w:color w:val="auto"/>
              </w:rPr>
            </w:pPr>
          </w:p>
        </w:tc>
        <w:tc>
          <w:tcPr>
            <w:tcW w:w="3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38"/>
        </w:trPr>
        <w:tc>
          <w:tcPr>
            <w:tcW w:w="4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(USD)</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19,152,797</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4.21</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19,427,797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25,222,223</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1.18</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(9,269,630)</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1.18</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3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(300,000)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17"/>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w:t>
            </w:r>
          </w:p>
        </w:tc>
        <w:tc>
          <w:tcPr>
            <w:tcW w:w="3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35,105,390</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19,152,797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December 31, 2023 was 1.6 years (December 31, 2022: 1.4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31"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Garlock Acquisition</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the first quarter of 2022, the Company acquired a building in Quebec referred to as “Garlock” in exchange for cash consideration of $1,783 and the issuance of 25,000 warrants granted with a strike price of $3.47 and a contractual life of 2 years.</w:t>
      </w:r>
    </w:p>
    <w:p>
      <w:pPr>
        <w:spacing w:after="0" w:line="179"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commenced an at-the-market equity offering program (the “ATM program”) on August 16, 2021, pursuant to which the Company may, at its discretion and from time-to-time, sell common shares of the Company, resulting in the Company receiving aggregate proceeds of up to $500,000. The ATM program expired on September 12, 2023.</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52,120,899 common shares in the ATM program in exchange for gross proceeds of $70,770 at an average share price of approximately $1.36. The Company received net proceeds of $68,504 after paying commissions of $2,187 to the sales agent for the program and $79 in other transaction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issued 29,324,277 common shares in the ATM program in exchange for gross proceeds of $55,960 at an average share price of approximately $1.91. The Company received net proceeds of $54,086 after paying commissions of $1,791 to the sales agent and $83 in other transaction costs.</w:t>
      </w:r>
    </w:p>
    <w:p>
      <w:pPr>
        <w:spacing w:after="0" w:line="174"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option holders exercised stock options to acquire 3,047,346 common shares (year ended December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 resulting in proceeds of approximately $1,999 (year ended December 31, 2022: $21) being paid to the Company.</w:t>
      </w:r>
    </w:p>
    <w:p>
      <w:pPr>
        <w:spacing w:after="0" w:line="205"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2023 private placement</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for total gross proceeds of $43,799 (CAD$60,001) in exchange for 44,444,446 common shares and 22,222,223 warrants to purchase common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5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28, 2023</w:t>
            </w: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(CAD)</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60,001</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w:t>
            </w:r>
          </w:p>
        </w:tc>
        <w:tc>
          <w:tcPr>
            <w:tcW w:w="5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44,444,446</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22,222,223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Warrant strike price (USD)</w:t>
            </w:r>
          </w:p>
        </w:tc>
        <w:tc>
          <w:tcPr>
            <w:tcW w:w="5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life (years)</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Commission paid</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warrants issued*</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Broker warrant strike price (USD)</w:t>
            </w:r>
          </w:p>
        </w:tc>
        <w:tc>
          <w:tcPr>
            <w:tcW w:w="5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warrant life (years)</w:t>
            </w:r>
          </w:p>
        </w:tc>
        <w:tc>
          <w:tcPr>
            <w:tcW w:w="5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warrants issued are for the purchase of one common share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Significant transactions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2023 private placement (Continued) (Restated)</w:t>
      </w:r>
    </w:p>
    <w:p>
      <w:pPr>
        <w:spacing w:after="0" w:line="9" w:lineRule="exact"/>
        <w:rPr>
          <w:sz w:val="20"/>
          <w:szCs w:val="20"/>
          <w:color w:val="auto"/>
        </w:rPr>
      </w:pPr>
    </w:p>
    <w:p>
      <w:pPr>
        <w:ind w:left="20" w:right="20" w:hanging="4"/>
        <w:spacing w:after="0" w:line="260" w:lineRule="auto"/>
        <w:rPr>
          <w:sz w:val="20"/>
          <w:szCs w:val="20"/>
          <w:color w:val="auto"/>
        </w:rPr>
      </w:pPr>
      <w:r>
        <w:rPr>
          <w:rFonts w:ascii="Times New Roman" w:cs="Times New Roman" w:eastAsia="Times New Roman" w:hAnsi="Times New Roman"/>
          <w:sz w:val="18"/>
          <w:szCs w:val="18"/>
          <w:color w:val="auto"/>
        </w:rPr>
        <w:t>In December 2023, 6,962,693 warrants and 2,306,667 broker warrants related to the private placement that closed on November 28, 2023, were exercised resulting in the issuance of 9,269,360 common shares for proceeds of approximately $10,984.</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Black Scholes model and the inputs described in Note 10 were used in determining the values of the warrants and broker warrants prior to their derecognition, which resulted in a non-cash loss on revaluation of warrants of $19,359 included in Net financial expenses (income).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categories and fair value</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5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714</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689</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4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86,722</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31,696</w:t>
            </w:r>
          </w:p>
        </w:tc>
      </w:tr>
      <w:tr>
        <w:trPr>
          <w:trHeight w:val="210"/>
        </w:trPr>
        <w:tc>
          <w:tcPr>
            <w:tcW w:w="5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12,897</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6"/>
        </w:trPr>
        <w:tc>
          <w:tcPr>
            <w:tcW w:w="5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40,426</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4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53,525</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60,213</w:t>
            </w:r>
          </w:p>
        </w:tc>
      </w:tr>
      <w:tr>
        <w:trPr>
          <w:trHeight w:val="210"/>
        </w:trPr>
        <w:tc>
          <w:tcPr>
            <w:tcW w:w="55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16"/>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4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33,197</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other receivables, trade payables and accrued liabilities and long-term debt presented in the table above are a reasonable approximation of their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 liabilities related to the 2021 and 2023 private placements are classified as financial liabilities at fair value through profit or loss with the change in fair value recorded to Net financial expenses (income). The fair value measurement is categorized as Level 2 in the fair value hierarchy, is a recurring measurement and is calculated using a Black-Scholes pricing model at each reporting date.</w:t>
      </w:r>
    </w:p>
    <w:p>
      <w:pPr>
        <w:spacing w:after="0" w:line="172"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foreign currency risk, credit risk, counterparty risk, liquidity risk and concentration risk. The Company’s senior Management monitors these risks. In addition, during 2023, the Company established a Risk Committee to monitor these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Company’s functional currency is the US Dollar as all of its cryptocurrency Mining revenues, most of its capital expenditures and most of its financing are primarily measured or transacted in US dollars. The Company is exposed to variability in the Canadian dollar and Argentine peso to US dollar exchange rates when making expenditures payable in Canadian dollars and Argentine pesos. The Company funds foreign currency transactions by buying the foreign currency at the spot rate when required. A 5% increase or decrease in the USD/CAD and USD/ARS exchange rates may have an impact of an increase or decrease of $44 on retained earnings at December 31, 2023 (December 31, 2022: $215).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denominated in Canadian dollars and Argentine pesos included in the consolidated statements of financial position, presented in thousands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a of December 31,</w:t>
            </w:r>
          </w:p>
        </w:tc>
        <w:tc>
          <w:tcPr>
            <w:tcW w:w="2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of December 31,</w:t>
            </w:r>
          </w:p>
        </w:tc>
      </w:tr>
      <w:tr>
        <w:trPr>
          <w:trHeight w:val="210"/>
        </w:trPr>
        <w:tc>
          <w:tcPr>
            <w:tcW w:w="46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46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CAD</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ARS</w:t>
            </w: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CAD</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ARS</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9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8,904</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183</w:t>
            </w: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4,994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714</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(8,372)</w:t>
            </w:r>
          </w:p>
        </w:tc>
        <w:tc>
          <w:tcPr>
            <w:tcW w:w="13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r>
      <w:tr>
        <w:trPr>
          <w:trHeight w:val="216"/>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8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1,246</w:t>
            </w: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(361)</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(751)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policy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counterparty risk</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Credit risk is the risk of an unexpected loss if a third party fails to meet its contractual obligations, including cash and cash equivalents. The risk regarding cash is mitigated by holding the majority of the Company’s cash with a Canadian chartered bank.</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counterparty risk through the significant deposits it places with suppliers of Mining hardware to secure orders and delivery dates as well as deposits it places with construction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larger, more established suppliers and those with whom the Company has existing relationships and knowledge of their reputation in the market as well as by insuring deposits placed for construction work and materials.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risk regarding trade receivables is derived mainly from sales to Volta’s third-party customers. The Company performs ongoing credit evaluations of its customers. The Company maintains an allowance for expected credit losses to provide for the estimated amount of doubtful of collection. The allowance for expected credit losses is based on Management’s assessment of a customer’s credit quality as well as subjective factors and trends, including the aging of receivable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risk is a risk that the Company will not be able to pay its financial obligations when they are due. The Company’s policy is to monitor its cash balances and planned cash flows generated from operations to ensure that it maintains sufficient liquidity in order to pay its projected financial liabilities. Refer to Note 2 for more details about the Company’s liquidity.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undiscounted contractual maturities of financial liabilities with estimated future interest payments as of December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960" w:type="dxa"/>
            <w:vAlign w:val="bottom"/>
            <w:tcBorders>
              <w:top w:val="single" w:sz="8" w:color="auto"/>
            </w:tcBorders>
          </w:tcPr>
          <w:p>
            <w:pPr>
              <w:spacing w:after="0"/>
              <w:rPr>
                <w:sz w:val="18"/>
                <w:szCs w:val="18"/>
                <w:color w:val="auto"/>
              </w:rPr>
            </w:pPr>
          </w:p>
        </w:tc>
      </w:tr>
      <w:tr>
        <w:trPr>
          <w:trHeight w:val="238"/>
        </w:trPr>
        <w:tc>
          <w:tcPr>
            <w:tcW w:w="3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1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9,077</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9,077</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4,022</w:t>
            </w:r>
          </w:p>
        </w:tc>
      </w:tr>
      <w:tr>
        <w:trPr>
          <w:trHeight w:val="216"/>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4,087</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8,079</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20,526</w:t>
            </w:r>
          </w:p>
        </w:tc>
      </w:tr>
      <w:tr>
        <w:trPr>
          <w:trHeight w:val="217"/>
        </w:trPr>
        <w:tc>
          <w:tcPr>
            <w:tcW w:w="3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17,186</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8,079</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future cash payments associated with warrant liabilities, and accordingly, they are not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policy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Concentration risk arises as a result of the concentration of exposures within the same category, whether it is geographical location, product type, industry sector or counterparty type. The cryptocurrency Mining industry is highly volatile with significant inherent risk. The Company also holds a portion of its working capital in BTC.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Starting in the first quarter of 2023, the Company purchased BTC option contracts to which gave it the right, but not the obligation, to sell digital assets at a fixed price. Options contracts are used to reduce the risk of BTC price volatility and reduce the variability of cash flows resulting from future sales of digital assets. Refer to Note 10 for more details.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23:  TRANSACTIONS AND BALANCES WITH RELATED PARTIES</w:t>
            </w: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balances payable to related parties:</w:t>
            </w:r>
          </w:p>
        </w:tc>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70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70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1,567</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06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1,679</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related parties are unsecured, non-interest bearing and payable on demand.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the Company made rent payments totaling approximately $273 to companies controlled by certain directors of the Company. No such payments were made for the year ended December 31, 2023. The rent payments were classified as interest included in financial expenses and principal repayment of lease liabilities. During the year ended December 31, 2022, the Company’s leases with companies controlled by directors were renewed with third parties.</w:t>
      </w:r>
    </w:p>
    <w:p>
      <w:pPr>
        <w:spacing w:after="0" w:line="18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December 2022, the Company’s consulting agreements with two of its executive officers were terminated, their roles and responsibilities were reduced and termination payments totaling $1,466 were accrued and included in trade payables and accrued liabilities as at December 31, 2022 (as of December 31, 2023, balance accrued: nil). The consulting fees totaled approximately $1,466 for the year ended December 31, 2022 (for the year ended December 31, 2023: nil).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transactions described above were incurred in the normal course of operations. These transactions are included in the consolidated statements of profit or loss and comprehensive profit or loss as follows:</w:t>
      </w:r>
    </w:p>
    <w:p>
      <w:pPr>
        <w:spacing w:after="0" w:line="15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60" w:type="dxa"/>
            <w:vAlign w:val="bottom"/>
            <w:tcBorders>
              <w:top w:val="single" w:sz="8" w:color="auto"/>
              <w:bottom w:val="single" w:sz="8" w:color="auto"/>
            </w:tcBorders>
          </w:tcPr>
          <w:p>
            <w:pPr>
              <w:spacing w:after="0"/>
              <w:rPr>
                <w:sz w:val="18"/>
                <w:szCs w:val="18"/>
                <w:color w:val="auto"/>
              </w:rPr>
            </w:pPr>
          </w:p>
        </w:tc>
        <w:tc>
          <w:tcPr>
            <w:tcW w:w="41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4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7"/>
        </w:trPr>
        <w:tc>
          <w:tcPr>
            <w:tcW w:w="6060" w:type="dxa"/>
            <w:vAlign w:val="bottom"/>
            <w:tcBorders>
              <w:bottom w:val="single" w:sz="8" w:color="auto"/>
            </w:tcBorders>
            <w:shd w:val="clear" w:color="auto" w:fill="CCEEFF"/>
          </w:tcPr>
          <w:p>
            <w:pPr>
              <w:spacing w:after="0"/>
              <w:rPr>
                <w:sz w:val="18"/>
                <w:szCs w:val="18"/>
                <w:color w:val="auto"/>
              </w:rPr>
            </w:pPr>
          </w:p>
        </w:tc>
        <w:tc>
          <w:tcPr>
            <w:tcW w:w="4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TRANSACTIONS AND BALANCES WITH RELATED PARTIES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key management and directors</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The Company considers its Directors, Chief Officers and Vice Presidents to be key management personnel. The remuneration paid to directors and other members of key management personnel, to the extent that they are not included in the consulting agreements described above are as follows:</w:t>
      </w:r>
    </w:p>
    <w:p>
      <w:pPr>
        <w:spacing w:after="0" w:line="17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60" w:type="dxa"/>
            <w:vAlign w:val="bottom"/>
            <w:tcBorders>
              <w:top w:val="single" w:sz="8" w:color="auto"/>
              <w:bottom w:val="single" w:sz="8" w:color="auto"/>
            </w:tcBorders>
          </w:tcPr>
          <w:p>
            <w:pPr>
              <w:spacing w:after="0"/>
              <w:rPr>
                <w:sz w:val="18"/>
                <w:szCs w:val="18"/>
                <w:color w:val="auto"/>
              </w:rPr>
            </w:pPr>
          </w:p>
        </w:tc>
        <w:tc>
          <w:tcPr>
            <w:tcW w:w="47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benefits</w:t>
            </w:r>
          </w:p>
        </w:tc>
        <w:tc>
          <w:tcPr>
            <w:tcW w:w="4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1,520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payments</w:t>
            </w:r>
          </w:p>
        </w:tc>
        <w:tc>
          <w:tcPr>
            <w:tcW w:w="4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w:t>
            </w:r>
          </w:p>
        </w:tc>
      </w:tr>
      <w:tr>
        <w:trPr>
          <w:trHeight w:val="216"/>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7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9,169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19,077</w:t>
            </w:r>
          </w:p>
        </w:tc>
      </w:tr>
      <w:tr>
        <w:trPr>
          <w:trHeight w:val="217"/>
        </w:trPr>
        <w:tc>
          <w:tcPr>
            <w:tcW w:w="54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10,689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20,591</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CAPITAL MANAGEMENT POLICIES AND PROCEDURES</w:t>
      </w:r>
    </w:p>
    <w:p>
      <w:pPr>
        <w:spacing w:after="0" w:line="22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Company’s capital management objectives are to maximize the return to its shareholders. The Company’s definition of capital includes all components of equity. Capital for the reporting period is summarized in Note 21 and in the consolidated statement of changes in equity. In order to meet its objectives, the Company monitors its capital structure and makes adjustments as required in light of changes in economic conditions and the risk characteristics of the underlying assets. These objectives will be achieved by maintaining a strong capital base so as to maintain investor confidence to sustain future development of the business, maintain a flexible capital structure that optimizes the cost of capital at acceptable risk and preserves the ability to meet financial obligations and ensuring sufficient liquidity to pursue organic growth. In order to maintain or adjust the capital structure, the Company may issue new common shares or debt.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tab/>
        <w:t>SUBSIDIARIES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2023, the Company acquired Orion and two corporations in Paraguay. Refer to note 5 for more details. The Company’s significant subsidiaries as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Main place of</w:t>
            </w:r>
          </w:p>
        </w:tc>
        <w:tc>
          <w:tcPr>
            <w:tcW w:w="14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w:t>
            </w:r>
          </w:p>
        </w:tc>
        <w:tc>
          <w:tcPr>
            <w:tcW w:w="2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Backbone Argentina</w:t>
            </w:r>
          </w:p>
        </w:tc>
        <w:tc>
          <w:tcPr>
            <w:tcW w:w="2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ARG</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Paraguay</w:t>
            </w:r>
          </w:p>
        </w:tc>
        <w:tc>
          <w:tcPr>
            <w:tcW w:w="2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PAR</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Backbone Mining</w:t>
            </w:r>
          </w:p>
        </w:tc>
        <w:tc>
          <w:tcPr>
            <w:tcW w:w="2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USA</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w:t>
            </w:r>
          </w:p>
        </w:tc>
        <w:tc>
          <w:tcPr>
            <w:tcW w:w="2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Volta</w:t>
            </w:r>
          </w:p>
        </w:tc>
        <w:tc>
          <w:tcPr>
            <w:tcW w:w="2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Substantially all of the assets, liabilities, revenues, expenses and cash flows in the consolidated financial statements are those of Backbone, Backbone Argentina, Backbone Paraguay, Backbone Mining, Orion and of Volta. Refer to Note 29 for geographic information of revenues and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r>
      <w:r>
        <w:rPr>
          <w:sz w:val="20"/>
          <w:szCs w:val="20"/>
          <w:color w:val="auto"/>
        </w:rPr>
        <w:tab/>
      </w:r>
      <w:r>
        <w:rPr>
          <w:rFonts w:ascii="Times New Roman" w:cs="Times New Roman" w:eastAsia="Times New Roman" w:hAnsi="Times New Roman"/>
          <w:sz w:val="17"/>
          <w:szCs w:val="17"/>
          <w:b w:val="1"/>
          <w:bCs w:val="1"/>
          <w:color w:val="auto"/>
        </w:rPr>
        <w:t>NET EARNINGS (LOSS) PER SHARE</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potentially dilutive securities have not been included in the calculation of diluted earnings (loss) per share because their effect is anti-dilutive. The additional potentially dilutive securities that would have been included in the calculation of diluted earnings per share, had their effect not been anti-dilutive for the year ended December 31, 2023, would have totaled approximately 4,964,361 (year ended December 31, 2022: 1,747,992).</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27:</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and restricted stock units (“RSU”) for employees, directors, consultants and former employees received was as follows:</w:t>
      </w:r>
    </w:p>
    <w:p>
      <w:pPr>
        <w:spacing w:after="0" w:line="15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60" w:type="dxa"/>
            <w:vAlign w:val="bottom"/>
            <w:tcBorders>
              <w:top w:val="single" w:sz="8" w:color="auto"/>
              <w:bottom w:val="single" w:sz="8" w:color="auto"/>
            </w:tcBorders>
          </w:tcPr>
          <w:p>
            <w:pPr>
              <w:spacing w:after="0"/>
              <w:rPr>
                <w:sz w:val="18"/>
                <w:szCs w:val="18"/>
                <w:color w:val="auto"/>
              </w:rPr>
            </w:pPr>
          </w:p>
        </w:tc>
        <w:tc>
          <w:tcPr>
            <w:tcW w:w="4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6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4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On March 31, 2023, upon the voluntary surrender by option holders, the Company cancelled outstanding options exercisable for 10,535,000 common shares. The Company intended, but had no obligation, to the persons who formerly held the cancelled options to grant new options no less than 90 days after the cancellation date of the original options. As the options were cancelled without the concurrent grant of a replacement award, the cancellation was treated as a settlement for no consideration, and all remaining unrecognized share-based payment expense associated with the cancelled options was accelerated for an amount of $914 during the first quarter of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Board of Directors approved stock option grants to purchase 13,156,250 common shares in accordance with the Long-Term Incentive Plan (the “LTIP Plan”) adopted on May 18, 2021 (year ended December 31, 2022: 9,592,500 common shares). All options issued according to the LTIP Plan become exercisable when they vest and can be exercised for a maximum period of 5 years from the date of the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10"/>
        </w:trPr>
        <w:tc>
          <w:tcPr>
            <w:tcW w:w="4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7"/>
        </w:trPr>
        <w:tc>
          <w:tcPr>
            <w:tcW w:w="41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6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tcPr>
          <w:p>
            <w:pPr>
              <w:spacing w:after="0"/>
              <w:rPr>
                <w:sz w:val="16"/>
                <w:szCs w:val="16"/>
                <w:color w:val="auto"/>
              </w:rPr>
            </w:pPr>
          </w:p>
        </w:tc>
        <w:tc>
          <w:tcPr>
            <w:tcW w:w="12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1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180" w:type="dxa"/>
            <w:vAlign w:val="bottom"/>
          </w:tcPr>
          <w:p>
            <w:pPr>
              <w:spacing w:after="0"/>
              <w:rPr>
                <w:sz w:val="18"/>
                <w:szCs w:val="18"/>
                <w:color w:val="auto"/>
              </w:rPr>
            </w:pPr>
          </w:p>
        </w:tc>
        <w:tc>
          <w:tcPr>
            <w:tcW w:w="3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38"/>
        </w:trPr>
        <w:tc>
          <w:tcPr>
            <w:tcW w:w="4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r>
      <w:tr>
        <w:trPr>
          <w:trHeight w:val="210"/>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3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21,804,233</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3.47</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12,546,733</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13,156,250</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2.58</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9,592,500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(3,047,346)</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0.85</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(205,000)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3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(10,633,750)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5.15</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(340,000)</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5.47</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w:t>
            </w:r>
          </w:p>
        </w:tc>
        <w:tc>
          <w:tcPr>
            <w:tcW w:w="3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20,939,387</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21,804,233</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 December 31,</w:t>
            </w:r>
          </w:p>
        </w:tc>
        <w:tc>
          <w:tcPr>
            <w:tcW w:w="3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11,112,519</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2,306,375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stock options as of December 31, 2023 was 4.1 years (December 31, 2022: 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27:</w:t>
      </w:r>
      <w:r>
        <w:rPr>
          <w:sz w:val="20"/>
          <w:szCs w:val="20"/>
          <w:color w:val="auto"/>
        </w:rPr>
        <w:tab/>
      </w:r>
      <w:r>
        <w:rPr>
          <w:rFonts w:ascii="Times New Roman" w:cs="Times New Roman" w:eastAsia="Times New Roman" w:hAnsi="Times New Roman"/>
          <w:sz w:val="17"/>
          <w:szCs w:val="17"/>
          <w:b w:val="1"/>
          <w:bCs w:val="1"/>
          <w:color w:val="auto"/>
        </w:rPr>
        <w:t xml:space="preserve">SHARE-BASED 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22,</w:t>
            </w:r>
          </w:p>
        </w:tc>
      </w:tr>
      <w:tr>
        <w:trPr>
          <w:trHeight w:val="238"/>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4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4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4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4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1.89</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4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0.84</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4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4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8,471,250</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4,685,000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 Units (“RSU”)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RSUs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7"/>
        </w:trPr>
        <w:tc>
          <w:tcPr>
            <w:tcW w:w="42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36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80" w:type="dxa"/>
            <w:vAlign w:val="bottom"/>
          </w:tcPr>
          <w:p>
            <w:pPr>
              <w:spacing w:after="0"/>
              <w:rPr>
                <w:sz w:val="16"/>
                <w:szCs w:val="16"/>
                <w:color w:val="auto"/>
              </w:rPr>
            </w:pPr>
          </w:p>
        </w:tc>
        <w:tc>
          <w:tcPr>
            <w:tcW w:w="12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2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200" w:type="dxa"/>
            <w:vAlign w:val="bottom"/>
          </w:tcPr>
          <w:p>
            <w:pPr>
              <w:spacing w:after="0"/>
              <w:rPr>
                <w:sz w:val="18"/>
                <w:szCs w:val="18"/>
                <w:color w:val="auto"/>
              </w:rPr>
            </w:pP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 Price</w:t>
            </w:r>
          </w:p>
        </w:tc>
      </w:tr>
      <w:tr>
        <w:trPr>
          <w:trHeight w:val="238"/>
        </w:trPr>
        <w:tc>
          <w:tcPr>
            <w:tcW w:w="4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r>
      <w:tr>
        <w:trPr>
          <w:trHeight w:val="210"/>
        </w:trPr>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3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3.73</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3.83</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3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(250,002)</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3.13</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w:t>
            </w:r>
          </w:p>
        </w:tc>
        <w:tc>
          <w:tcPr>
            <w:tcW w:w="3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624,998</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4.05</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400,000</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On December 22, 2023, the Board of Directors approved the grant of 475,000 RSUs (year ended December 31, 2022: 200,000 RSUs) to certain members of senior Management and to the Directors which vest 25% at the time of grant and an additional 25% every 6 months. The value of the RSUs on the grant date was $2.89 per unit (year ended December 31, 2022: $1.91 per unit).</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 (Restated)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Borders>
              <w:top w:val="single" w:sz="8" w:color="auto"/>
              <w:bottom w:val="single" w:sz="8" w:color="auto"/>
            </w:tcBorders>
          </w:tcPr>
          <w:p>
            <w:pPr>
              <w:spacing w:after="0"/>
              <w:rPr>
                <w:sz w:val="18"/>
                <w:szCs w:val="18"/>
                <w:color w:val="auto"/>
              </w:rPr>
            </w:pPr>
          </w:p>
        </w:tc>
        <w:tc>
          <w:tcPr>
            <w:tcW w:w="42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4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(78,942)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(72,420)</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4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(2,580)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16"/>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4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(1,561)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17"/>
        </w:trPr>
        <w:tc>
          <w:tcPr>
            <w:tcW w:w="59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NOTE 28: 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share-based payments</w:t>
            </w:r>
          </w:p>
        </w:tc>
        <w:tc>
          <w:tcPr>
            <w:tcW w:w="2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(24,105)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100" w:type="dxa"/>
            <w:vAlign w:val="bottom"/>
          </w:tcPr>
          <w:p>
            <w:pPr>
              <w:spacing w:after="0"/>
              <w:rPr>
                <w:sz w:val="18"/>
                <w:szCs w:val="18"/>
                <w:color w:val="auto"/>
              </w:rPr>
            </w:pPr>
          </w:p>
        </w:tc>
        <w:tc>
          <w:tcPr>
            <w:tcW w:w="2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(7,608)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(5,668)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100" w:type="dxa"/>
            <w:vAlign w:val="bottom"/>
          </w:tcPr>
          <w:p>
            <w:pPr>
              <w:spacing w:after="0"/>
              <w:rPr>
                <w:sz w:val="18"/>
                <w:szCs w:val="18"/>
                <w:color w:val="auto"/>
              </w:rPr>
            </w:pPr>
          </w:p>
        </w:tc>
        <w:tc>
          <w:tcPr>
            <w:tcW w:w="2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(1,018)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2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(491)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7"/>
        </w:trPr>
        <w:tc>
          <w:tcPr>
            <w:tcW w:w="610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w:t>
            </w: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income (expenses)</w:t>
            </w:r>
          </w:p>
        </w:tc>
        <w:tc>
          <w:tcPr>
            <w:tcW w:w="2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6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187"/>
        </w:trPr>
        <w:tc>
          <w:tcPr>
            <w:tcW w:w="6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2023 (restated</w:t>
            </w:r>
          </w:p>
        </w:tc>
        <w:tc>
          <w:tcPr>
            <w:tcW w:w="840" w:type="dxa"/>
            <w:vAlign w:val="bottom"/>
          </w:tcPr>
          <w:p>
            <w:pPr>
              <w:spacing w:after="0"/>
              <w:rPr>
                <w:sz w:val="16"/>
                <w:szCs w:val="16"/>
                <w:color w:val="auto"/>
              </w:rPr>
            </w:pPr>
          </w:p>
        </w:tc>
      </w:tr>
      <w:tr>
        <w:trPr>
          <w:trHeight w:val="238"/>
        </w:trPr>
        <w:tc>
          <w:tcPr>
            <w:tcW w:w="6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2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Note 3e)</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2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(42,974)</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63,406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2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a</w:t>
            </w:r>
          </w:p>
        </w:tc>
        <w:tc>
          <w:tcPr>
            <w:tcW w:w="2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51,649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21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b</w:t>
            </w:r>
          </w:p>
        </w:tc>
        <w:tc>
          <w:tcPr>
            <w:tcW w:w="2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12,835</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00" w:type="dxa"/>
            <w:vAlign w:val="bottom"/>
          </w:tcPr>
          <w:p>
            <w:pPr>
              <w:spacing w:after="0"/>
              <w:rPr>
                <w:sz w:val="18"/>
                <w:szCs w:val="18"/>
                <w:color w:val="auto"/>
              </w:rPr>
            </w:pPr>
          </w:p>
        </w:tc>
        <w:tc>
          <w:tcPr>
            <w:tcW w:w="2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1,420</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2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(7,842)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credit facility and long-term debt</w:t>
            </w:r>
          </w:p>
        </w:tc>
        <w:tc>
          <w:tcPr>
            <w:tcW w:w="2100" w:type="dxa"/>
            <w:vAlign w:val="bottom"/>
          </w:tcPr>
          <w:p>
            <w:pPr>
              <w:spacing w:after="0"/>
              <w:rPr>
                <w:sz w:val="18"/>
                <w:szCs w:val="18"/>
                <w:color w:val="auto"/>
              </w:rPr>
            </w:pPr>
          </w:p>
        </w:tc>
        <w:tc>
          <w:tcPr>
            <w:tcW w:w="2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(2,688)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(2,000)</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expense on VAT receivable</w:t>
            </w:r>
          </w:p>
        </w:tc>
        <w:tc>
          <w:tcPr>
            <w:tcW w:w="2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c</w:t>
            </w:r>
          </w:p>
        </w:tc>
        <w:tc>
          <w:tcPr>
            <w:tcW w:w="2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(5,903)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(1,391)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income (expenses)</w:t>
            </w:r>
          </w:p>
        </w:tc>
        <w:tc>
          <w:tcPr>
            <w:tcW w:w="2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(896)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610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90,966</w:t>
            </w:r>
          </w:p>
        </w:tc>
      </w:tr>
    </w:tbl>
    <w:p>
      <w:pPr>
        <w:spacing w:after="0" w:line="194"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and 2022, the Company funded its expansion in Argentina through the acquisition of marketable securities and the in-kind contribution of those securities to the Company’s subsidiary in Argentina. The subsequent disposition of those marketable securities in exchange for Argentine Pesos gave rise to a gain as the amount received in ARS exceeds the amount of ARS the Company would have received from a direct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ind w:left="20" w:hanging="9"/>
        <w:spacing w:after="0" w:line="263" w:lineRule="auto"/>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 xml:space="preserve"> </w:t>
      </w:r>
      <w:r>
        <w:rPr>
          <w:rFonts w:ascii="Times New Roman" w:cs="Times New Roman" w:eastAsia="Times New Roman" w:hAnsi="Times New Roman"/>
          <w:sz w:val="18"/>
          <w:szCs w:val="18"/>
          <w:b w:val="1"/>
          <w:bCs w:val="1"/>
          <w:color w:val="auto"/>
        </w:rPr>
        <w:t xml:space="preserve">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financial income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extinguishment of the BlockFi loan and Reliz lease liability</w:t>
      </w:r>
    </w:p>
    <w:p>
      <w:pPr>
        <w:spacing w:after="0" w:line="31" w:lineRule="exact"/>
        <w:rPr>
          <w:sz w:val="20"/>
          <w:szCs w:val="20"/>
          <w:color w:val="auto"/>
        </w:rPr>
      </w:pPr>
    </w:p>
    <w:p>
      <w:pPr>
        <w:ind w:left="20" w:hanging="9"/>
        <w:spacing w:after="0" w:line="260" w:lineRule="auto"/>
        <w:rPr>
          <w:sz w:val="20"/>
          <w:szCs w:val="20"/>
          <w:color w:val="auto"/>
        </w:rPr>
      </w:pPr>
      <w:r>
        <w:rPr>
          <w:rFonts w:ascii="Times New Roman" w:cs="Times New Roman" w:eastAsia="Times New Roman" w:hAnsi="Times New Roman"/>
          <w:sz w:val="18"/>
          <w:szCs w:val="18"/>
          <w:color w:val="auto"/>
        </w:rPr>
        <w:t>In February 2023, the Company negotiated a settlement of its loan agreement with BlockFi with a then outstanding debt balance of $20,330 for a payment of $7,750. As a result, a gain on extinguishment of long-term debt was recognized in the amount of $12,580 during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the Company modified its lease agreement with Reliz Ltd. in order to settle its outstanding lease liability of $373 for a payment of $118.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a gain on extinguishment of lease liabilities was recognized in the amount of $255 during the year ended December 31, 2023.</w:t>
      </w:r>
    </w:p>
    <w:p>
      <w:pPr>
        <w:spacing w:after="0" w:line="203"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expense on VAT receivable</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Due to the political and economic uncertainties in Argentina, the Company is uncertain when, or if at all, the Argentine VAT receivable will be settled. As a result, the Company has recorded a provision to reduce the Argentine VAT receivable to nil. The provision is classified within Net financial income (expenses) during the year ended December 31, 2023. Previously, the Argentine VAT not expected to be settled within the next 12 months was classified as a long-term receivable in Note 15 with the short-term portion included in sales tax receivable in Note 8.</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server farms that support the validation and verification of transactions on the BTC blockchain, earning cryptocurrency for providing these services, as described in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Borders>
              <w:top w:val="single" w:sz="8" w:color="auto"/>
              <w:bottom w:val="single" w:sz="8" w:color="auto"/>
            </w:tcBorders>
          </w:tcPr>
          <w:p>
            <w:pPr>
              <w:spacing w:after="0"/>
              <w:rPr>
                <w:sz w:val="18"/>
                <w:szCs w:val="18"/>
                <w:color w:val="auto"/>
              </w:rPr>
            </w:pPr>
          </w:p>
        </w:tc>
        <w:tc>
          <w:tcPr>
            <w:tcW w:w="52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5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104,434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112,106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5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15,966</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25,095</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5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19,050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5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6,916</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3,772</w:t>
            </w:r>
          </w:p>
        </w:tc>
      </w:tr>
      <w:tr>
        <w:trPr>
          <w:trHeight w:val="216"/>
        </w:trPr>
        <w:tc>
          <w:tcPr>
            <w:tcW w:w="4980" w:type="dxa"/>
            <w:vAlign w:val="bottom"/>
            <w:tcBorders>
              <w:bottom w:val="single" w:sz="8" w:color="auto"/>
            </w:tcBorders>
            <w:shd w:val="clear" w:color="auto" w:fill="CCEEFF"/>
          </w:tcPr>
          <w:p>
            <w:pPr>
              <w:spacing w:after="0"/>
              <w:rPr>
                <w:sz w:val="18"/>
                <w:szCs w:val="18"/>
                <w:color w:val="auto"/>
              </w:rPr>
            </w:pPr>
          </w:p>
        </w:tc>
        <w:tc>
          <w:tcPr>
            <w:tcW w:w="5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142,428</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 During the years ended December 31, 2023 and 2022, the Company earned 97% and 98% of its revenues, respectively, from one Mining pool. The Company has the ability to switch Mining Pools or to mine independently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(Restated)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 xml:space="preserve">GEOGRAPHICAL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property, plant and equipment by country is as follows:</w:t>
      </w:r>
    </w:p>
    <w:p>
      <w:pPr>
        <w:spacing w:after="0" w:line="203" w:lineRule="exact"/>
        <w:rPr>
          <w:sz w:val="20"/>
          <w:szCs w:val="20"/>
          <w:color w:val="auto"/>
        </w:rPr>
      </w:pPr>
    </w:p>
    <w:p>
      <w:pPr>
        <w:ind w:left="798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December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5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101,454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142,654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18,154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32,664</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5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54,657</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31,927</w:t>
            </w:r>
          </w:p>
        </w:tc>
      </w:tr>
      <w:tr>
        <w:trPr>
          <w:trHeight w:val="216"/>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11,747</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12,183</w:t>
            </w:r>
          </w:p>
        </w:tc>
      </w:tr>
      <w:tr>
        <w:trPr>
          <w:trHeight w:val="217"/>
        </w:trPr>
        <w:tc>
          <w:tcPr>
            <w:tcW w:w="774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186,012</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219,428</w:t>
            </w: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30:   ADDITIONAL DETAILS TO THE STATEMENTS OF CASH FLOWS</w:t>
            </w: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7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7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receivables, net</w:t>
            </w:r>
          </w:p>
        </w:tc>
        <w:tc>
          <w:tcPr>
            <w:tcW w:w="2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deposits</w:t>
            </w:r>
          </w:p>
        </w:tc>
        <w:tc>
          <w:tcPr>
            <w:tcW w:w="2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trade payables and accrued liabilities</w:t>
            </w:r>
          </w:p>
        </w:tc>
        <w:tc>
          <w:tcPr>
            <w:tcW w:w="2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(315</w:t>
            </w: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taxes payable</w:t>
            </w:r>
          </w:p>
        </w:tc>
        <w:tc>
          <w:tcPr>
            <w:tcW w:w="2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77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in connection with acquisitions of assets</w:t>
            </w:r>
          </w:p>
        </w:tc>
        <w:tc>
          <w:tcPr>
            <w:tcW w:w="2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1,354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of ROU assets, property, plant and equipment and related lease liabilities</w:t>
            </w:r>
          </w:p>
        </w:tc>
        <w:tc>
          <w:tcPr>
            <w:tcW w:w="2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1,553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11,354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2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1,365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2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7,372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54,135</w:t>
            </w:r>
          </w:p>
        </w:tc>
      </w:tr>
      <w:tr>
        <w:trPr>
          <w:trHeight w:val="237"/>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expense related to equity issuance costs</w:t>
            </w:r>
          </w:p>
        </w:tc>
        <w:tc>
          <w:tcPr>
            <w:tcW w:w="2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70" w:name="page71"/>
    <w:bookmarkEnd w:id="70"/>
    <w:p>
      <w:pPr>
        <w:ind w:left="1012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NOTICE TO READER: The following Management’s Discussion and Analysis for Bitfarms Ltd. has been restated as described below in Section 1 -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Management considers these restatements to constitute a material weakness that requires remediation, and Management is in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implementing remediation measures to address the material weakness. Further details are presented in Section 16 - </w:t>
      </w:r>
      <w:r>
        <w:rPr>
          <w:rFonts w:ascii="Times New Roman" w:cs="Times New Roman" w:eastAsia="Times New Roman" w:hAnsi="Times New Roman"/>
          <w:sz w:val="18"/>
          <w:szCs w:val="18"/>
          <w:i w:val="1"/>
          <w:iCs w:val="1"/>
          <w:color w:val="auto"/>
        </w:rPr>
        <w:t>Internal Controls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603250</wp:posOffset>
            </wp:positionV>
            <wp:extent cx="6995160" cy="905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Highlights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Fourth Quarter 2023 Financial Results and Operational Highlights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Full year 2023 Results and Operational Highlights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Performance</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Non-IFRS and Other Financial Measures and Ratios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Material Accounting Policy Information and New Accounting Policies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Cautionary Note Regarding Non-IFRS and Other Financial Measures and Ratios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439"/>
        </w:trPr>
        <w:tc>
          <w:tcPr>
            <w:tcW w:w="3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4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10420" w:type="dxa"/>
            <w:vAlign w:val="bottom"/>
            <w:tcBorders>
              <w:right w:val="single" w:sz="8" w:color="auto"/>
            </w:tcBorders>
            <w:gridSpan w:val="26"/>
          </w:tcPr>
          <w:p>
            <w:pPr>
              <w:ind w:left="102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restated Management’s Discussion and Analysis (the “MD&amp;A”) for Bitfarms Ltd. (together with its subsidiaries, the “Company” or “Bitfarms”) for the year ended December 31, 2023 and 2022 (the “Restated MD&amp;A”) is being filed in connection with and should be read in conjunction with the Company’s restated audited annual consolidated financial statements and its accompanying notes as at and for the years ended December 31, 2023 and 2022 (the “Restated Financial Statements”). This Restated MD&amp;A is intended to replace and supersede in its entirety the original Management Discussion and Analysis for the year ended December 31, 2023, which was filed by the Company on SEDAR+ and EDGAR on March 6, 2024. This Restated MD&amp;A is available on SEDAR+ and EDGAR as filed on December 9, 2024. This Restated MD&amp;A should also be read in conjunction with the Company’s Annual Information Form (“AIF”) dated March 6, 2024, which is available on SEDAR+ at www.sedarplus.ca and EDGAR at www.sec.gov/edgar.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this Restated MD&amp;A, certain previously reported financial information as at and for the years ended December 31, 2023 and 2022 has been restated to reflect changes in the Restated Financial Statements. For further information about the restatement,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 xml:space="preserve"> of this MD&amp;A and Note 3e to the Restated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Restated MD&amp;A has been updated for the following:</w:t>
      </w:r>
    </w:p>
    <w:p>
      <w:pPr>
        <w:spacing w:after="0" w:line="225"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2023 and 2022;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profit or loss and comprehensive profit or loss for the year ended December 31,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financial position as of December 31,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8 - </w:t>
      </w:r>
      <w:r>
        <w:rPr>
          <w:rFonts w:ascii="Times New Roman" w:cs="Times New Roman" w:eastAsia="Times New Roman" w:hAnsi="Times New Roman"/>
          <w:sz w:val="18"/>
          <w:szCs w:val="18"/>
          <w:i w:val="1"/>
          <w:iCs w:val="1"/>
          <w:color w:val="auto"/>
        </w:rPr>
        <w:t>Financial Performance (Net financial income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11a - </w:t>
      </w:r>
      <w:r>
        <w:rPr>
          <w:rFonts w:ascii="Times New Roman" w:cs="Times New Roman" w:eastAsia="Times New Roman" w:hAnsi="Times New Roman"/>
          <w:sz w:val="18"/>
          <w:szCs w:val="18"/>
          <w:i w:val="1"/>
          <w:iCs w:val="1"/>
          <w:color w:val="auto"/>
        </w:rPr>
        <w:t>Liquidity and Capital Resources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 xml:space="preserv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16 - </w:t>
      </w:r>
      <w:r>
        <w:rPr>
          <w:rFonts w:ascii="Times New Roman" w:cs="Times New Roman" w:eastAsia="Times New Roman" w:hAnsi="Times New Roman"/>
          <w:sz w:val="18"/>
          <w:szCs w:val="18"/>
          <w:i w:val="1"/>
          <w:iCs w:val="1"/>
          <w:color w:val="auto"/>
        </w:rPr>
        <w:t>Internal Controls over Financial Reporting.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the restatement, the Company has not modified or updated the disclosures presented in the original MD&amp;A to reflect events that occurred at a later date or facts that subsequently became known to the Company. Accordingly, forward-looking statements may represent the Company’s views as of the date of the MD&amp;A and should not be assumed to be accurate as of any date thereafter. Disclosures not affected by the restatement are unchanged and reflect the disclosures made at the time of the original filing. Accordingly, the MD&amp;A should be read in conjunction with the Company’s filings on SEDAR+ and EDGAR subsequent to the date on which the Company originally filed on SEDAR+ and EDGAR.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Restated Financial Statements have been prepared in accordance with International Financial Reporting Standards (“IFRS Accounting Standards”) as issued by the International Accounting Standards Board (“IASB”). The Company’s Restated Financial Statements and this MD&amp;A are reported in thousands of US dollars and US dollars, respectively, except where otherwise noted.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Restated Financial Statements including the maintenance of appropriate information systems, procedures and internal controls. Management is also responsible for ensuring that information disclosed externally, including the Restated Financial Statements and MD&amp;A, is complete and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INTRODUCTION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10 - </w:t>
      </w:r>
      <w:r>
        <w:rPr>
          <w:rFonts w:ascii="Times New Roman" w:cs="Times New Roman" w:eastAsia="Times New Roman" w:hAnsi="Times New Roman"/>
          <w:sz w:val="18"/>
          <w:szCs w:val="18"/>
          <w:i w:val="1"/>
          <w:iCs w:val="1"/>
          <w:color w:val="auto"/>
        </w:rPr>
        <w:t>Non-IFRS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Measures 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to Section 22 - </w:t>
      </w:r>
      <w:r>
        <w:rPr>
          <w:rFonts w:ascii="Times New Roman" w:cs="Times New Roman" w:eastAsia="Times New Roman" w:hAnsi="Times New Roman"/>
          <w:sz w:val="18"/>
          <w:szCs w:val="18"/>
          <w:i w:val="1"/>
          <w:iCs w:val="1"/>
          <w:color w:val="auto"/>
        </w:rPr>
        <w:t xml:space="preserve">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business and industry which are 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4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Q4 2023</w:t>
            </w:r>
          </w:p>
        </w:tc>
        <w:tc>
          <w:tcPr>
            <w:tcW w:w="9040" w:type="dxa"/>
            <w:vAlign w:val="bottom"/>
          </w:tcPr>
          <w:p>
            <w:pPr>
              <w:ind w:left="1560"/>
              <w:spacing w:after="0" w:line="198" w:lineRule="exact"/>
              <w:rPr>
                <w:sz w:val="20"/>
                <w:szCs w:val="20"/>
                <w:color w:val="auto"/>
              </w:rPr>
            </w:pPr>
            <w:r>
              <w:rPr>
                <w:rFonts w:ascii="Times New Roman" w:cs="Times New Roman" w:eastAsia="Times New Roman" w:hAnsi="Times New Roman"/>
                <w:sz w:val="18"/>
                <w:szCs w:val="18"/>
                <w:color w:val="auto"/>
              </w:rPr>
              <w:t>Three months ended December 31, 2023</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Q4 2022</w:t>
            </w:r>
          </w:p>
        </w:tc>
        <w:tc>
          <w:tcPr>
            <w:tcW w:w="9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Three months ended December 31, 2022</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FY 2023</w:t>
            </w:r>
          </w:p>
        </w:tc>
        <w:tc>
          <w:tcPr>
            <w:tcW w:w="9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Twelve months ended December 31, 2023</w:t>
            </w:r>
          </w:p>
        </w:tc>
      </w:tr>
      <w:tr>
        <w:trPr>
          <w:trHeight w:val="241"/>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FY 2022</w:t>
            </w:r>
          </w:p>
        </w:tc>
        <w:tc>
          <w:tcPr>
            <w:tcW w:w="90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Twelve months ended December 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Bitcoin mining company. Bitfarms runs vertically integrated mining operations with an in-house management system and company-owned electrical engineering, installation service, and onsite technical repair.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Bitcoin Blockchain (referred to as “Mining”). Bitfarms generally operates its Miners 24 hours a day, which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in bitcoin (“BTC”) on a daily basis.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which are situated in four countries: Canada, the United States, Paraguay and Argentina. Powered predominately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tcBorders>
              <w:top w:val="single" w:sz="8" w:color="auto"/>
            </w:tcBorders>
          </w:tcPr>
          <w:p>
            <w:pPr>
              <w:spacing w:after="0"/>
              <w:rPr>
                <w:sz w:val="19"/>
                <w:szCs w:val="19"/>
                <w:color w:val="auto"/>
              </w:rPr>
            </w:pPr>
          </w:p>
        </w:tc>
        <w:tc>
          <w:tcPr>
            <w:tcW w:w="49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Operating power as of</w:t>
            </w:r>
          </w:p>
        </w:tc>
        <w:tc>
          <w:tcPr>
            <w:tcW w:w="226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8"/>
                <w:szCs w:val="18"/>
                <w:b w:val="1"/>
                <w:bCs w:val="1"/>
                <w:color w:val="auto"/>
              </w:rPr>
              <w:t>Contracted power as of</w:t>
            </w:r>
          </w:p>
        </w:tc>
      </w:tr>
      <w:tr>
        <w:trPr>
          <w:trHeight w:val="245"/>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4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March 6, 2024</w:t>
            </w:r>
          </w:p>
        </w:tc>
        <w:tc>
          <w:tcPr>
            <w:tcW w:w="22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8"/>
                <w:szCs w:val="18"/>
                <w:b w:val="1"/>
                <w:bCs w:val="1"/>
                <w:color w:val="auto"/>
              </w:rPr>
              <w:t>March 6, 2024</w:t>
            </w:r>
          </w:p>
        </w:tc>
      </w:tr>
      <w:tr>
        <w:trPr>
          <w:trHeight w:val="1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Canada</w:t>
            </w:r>
          </w:p>
        </w:tc>
        <w:tc>
          <w:tcPr>
            <w:tcW w:w="49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
                <w:szCs w:val="1"/>
                <w:color w:val="auto"/>
              </w:rPr>
              <w:t>158 MW</w:t>
            </w:r>
          </w:p>
        </w:tc>
        <w:tc>
          <w:tcPr>
            <w:tcW w:w="226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
                <w:szCs w:val="1"/>
                <w:color w:val="auto"/>
              </w:rPr>
              <w:t>179 MW</w:t>
            </w:r>
          </w:p>
        </w:tc>
      </w:tr>
      <w:tr>
        <w:trPr>
          <w:trHeight w:val="197"/>
        </w:trPr>
        <w:tc>
          <w:tcPr>
            <w:tcW w:w="404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2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5"/>
                <w:szCs w:val="15"/>
                <w:color w:val="auto"/>
              </w:rPr>
              <w:t>1, 2</w:t>
            </w:r>
          </w:p>
        </w:tc>
      </w:tr>
      <w:tr>
        <w:trPr>
          <w:trHeight w:val="19"/>
        </w:trPr>
        <w:tc>
          <w:tcPr>
            <w:tcW w:w="404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United States</w:t>
            </w:r>
          </w:p>
        </w:tc>
        <w:tc>
          <w:tcPr>
            <w:tcW w:w="4940" w:type="dxa"/>
            <w:vAlign w:val="bottom"/>
          </w:tcPr>
          <w:p>
            <w:pPr>
              <w:jc w:val="right"/>
              <w:ind w:right="116"/>
              <w:spacing w:after="0" w:line="19" w:lineRule="exact"/>
              <w:rPr>
                <w:sz w:val="20"/>
                <w:szCs w:val="20"/>
                <w:color w:val="auto"/>
              </w:rPr>
            </w:pPr>
            <w:r>
              <w:rPr>
                <w:rFonts w:ascii="Times New Roman" w:cs="Times New Roman" w:eastAsia="Times New Roman" w:hAnsi="Times New Roman"/>
                <w:sz w:val="2"/>
                <w:szCs w:val="2"/>
                <w:color w:val="auto"/>
              </w:rPr>
              <w:t>18 MW</w:t>
            </w:r>
          </w:p>
        </w:tc>
        <w:tc>
          <w:tcPr>
            <w:tcW w:w="2260" w:type="dxa"/>
            <w:vAlign w:val="bottom"/>
          </w:tcPr>
          <w:p>
            <w:pPr>
              <w:jc w:val="right"/>
              <w:ind w:right="265"/>
              <w:spacing w:after="0" w:line="19" w:lineRule="exact"/>
              <w:rPr>
                <w:sz w:val="20"/>
                <w:szCs w:val="20"/>
                <w:color w:val="auto"/>
              </w:rPr>
            </w:pPr>
            <w:r>
              <w:rPr>
                <w:rFonts w:ascii="Times New Roman" w:cs="Times New Roman" w:eastAsia="Times New Roman" w:hAnsi="Times New Roman"/>
                <w:sz w:val="2"/>
                <w:szCs w:val="2"/>
                <w:color w:val="auto"/>
              </w:rPr>
              <w:t>21 MW</w:t>
            </w:r>
          </w:p>
        </w:tc>
      </w:tr>
      <w:tr>
        <w:trPr>
          <w:trHeight w:val="197"/>
        </w:trPr>
        <w:tc>
          <w:tcPr>
            <w:tcW w:w="40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60" w:type="dxa"/>
            <w:vAlign w:val="bottom"/>
          </w:tcPr>
          <w:p>
            <w:pPr>
              <w:ind w:left="1940"/>
              <w:spacing w:after="0"/>
              <w:rPr>
                <w:sz w:val="20"/>
                <w:szCs w:val="20"/>
                <w:color w:val="auto"/>
              </w:rPr>
            </w:pPr>
            <w:r>
              <w:rPr>
                <w:rFonts w:ascii="Times New Roman" w:cs="Times New Roman" w:eastAsia="Times New Roman" w:hAnsi="Times New Roman"/>
                <w:sz w:val="15"/>
                <w:szCs w:val="15"/>
                <w:color w:val="auto"/>
              </w:rPr>
              <w:t>2</w:t>
            </w:r>
          </w:p>
        </w:tc>
      </w:tr>
      <w:tr>
        <w:trPr>
          <w:trHeight w:val="19"/>
        </w:trPr>
        <w:tc>
          <w:tcPr>
            <w:tcW w:w="404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Paraguay</w:t>
            </w:r>
          </w:p>
        </w:tc>
        <w:tc>
          <w:tcPr>
            <w:tcW w:w="4940" w:type="dxa"/>
            <w:vAlign w:val="bottom"/>
            <w:shd w:val="clear" w:color="auto" w:fill="CCEEFF"/>
          </w:tcPr>
          <w:p>
            <w:pPr>
              <w:jc w:val="right"/>
              <w:ind w:right="116"/>
              <w:spacing w:after="0" w:line="19" w:lineRule="exact"/>
              <w:rPr>
                <w:sz w:val="20"/>
                <w:szCs w:val="20"/>
                <w:color w:val="auto"/>
              </w:rPr>
            </w:pPr>
            <w:r>
              <w:rPr>
                <w:rFonts w:ascii="Times New Roman" w:cs="Times New Roman" w:eastAsia="Times New Roman" w:hAnsi="Times New Roman"/>
                <w:sz w:val="2"/>
                <w:szCs w:val="2"/>
                <w:color w:val="auto"/>
              </w:rPr>
              <w:t>10 MW</w:t>
            </w:r>
          </w:p>
        </w:tc>
        <w:tc>
          <w:tcPr>
            <w:tcW w:w="2260" w:type="dxa"/>
            <w:vAlign w:val="bottom"/>
            <w:shd w:val="clear" w:color="auto" w:fill="CCEEFF"/>
          </w:tcPr>
          <w:p>
            <w:pPr>
              <w:jc w:val="right"/>
              <w:ind w:right="265"/>
              <w:spacing w:after="0" w:line="19" w:lineRule="exact"/>
              <w:rPr>
                <w:sz w:val="20"/>
                <w:szCs w:val="20"/>
                <w:color w:val="auto"/>
              </w:rPr>
            </w:pPr>
            <w:r>
              <w:rPr>
                <w:rFonts w:ascii="Times New Roman" w:cs="Times New Roman" w:eastAsia="Times New Roman" w:hAnsi="Times New Roman"/>
                <w:sz w:val="2"/>
                <w:szCs w:val="2"/>
                <w:color w:val="auto"/>
              </w:rPr>
              <w:t>180 MW</w:t>
            </w:r>
          </w:p>
        </w:tc>
      </w:tr>
      <w:tr>
        <w:trPr>
          <w:trHeight w:val="197"/>
        </w:trPr>
        <w:tc>
          <w:tcPr>
            <w:tcW w:w="404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2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5"/>
                <w:szCs w:val="15"/>
                <w:color w:val="auto"/>
              </w:rPr>
              <w:t>2</w:t>
            </w:r>
          </w:p>
        </w:tc>
      </w:tr>
      <w:tr>
        <w:trPr>
          <w:trHeight w:val="19"/>
        </w:trPr>
        <w:tc>
          <w:tcPr>
            <w:tcW w:w="404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Argentina</w:t>
            </w:r>
          </w:p>
        </w:tc>
        <w:tc>
          <w:tcPr>
            <w:tcW w:w="4940" w:type="dxa"/>
            <w:vAlign w:val="bottom"/>
          </w:tcPr>
          <w:p>
            <w:pPr>
              <w:jc w:val="right"/>
              <w:ind w:right="116"/>
              <w:spacing w:after="0" w:line="19" w:lineRule="exact"/>
              <w:rPr>
                <w:sz w:val="20"/>
                <w:szCs w:val="20"/>
                <w:color w:val="auto"/>
              </w:rPr>
            </w:pPr>
            <w:r>
              <w:rPr>
                <w:rFonts w:ascii="Times New Roman" w:cs="Times New Roman" w:eastAsia="Times New Roman" w:hAnsi="Times New Roman"/>
                <w:sz w:val="2"/>
                <w:szCs w:val="2"/>
                <w:color w:val="auto"/>
              </w:rPr>
              <w:t>54 MW</w:t>
            </w:r>
          </w:p>
        </w:tc>
        <w:tc>
          <w:tcPr>
            <w:tcW w:w="2260" w:type="dxa"/>
            <w:vAlign w:val="bottom"/>
          </w:tcPr>
          <w:p>
            <w:pPr>
              <w:jc w:val="right"/>
              <w:ind w:right="265"/>
              <w:spacing w:after="0" w:line="19" w:lineRule="exact"/>
              <w:rPr>
                <w:sz w:val="20"/>
                <w:szCs w:val="20"/>
                <w:color w:val="auto"/>
              </w:rPr>
            </w:pPr>
            <w:r>
              <w:rPr>
                <w:rFonts w:ascii="Times New Roman" w:cs="Times New Roman" w:eastAsia="Times New Roman" w:hAnsi="Times New Roman"/>
                <w:sz w:val="2"/>
                <w:szCs w:val="2"/>
                <w:color w:val="auto"/>
              </w:rPr>
              <w:t>210 MW</w:t>
            </w:r>
          </w:p>
        </w:tc>
      </w:tr>
      <w:tr>
        <w:trPr>
          <w:trHeight w:val="208"/>
        </w:trPr>
        <w:tc>
          <w:tcPr>
            <w:tcW w:w="40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5"/>
                <w:szCs w:val="15"/>
                <w:color w:val="auto"/>
              </w:rPr>
              <w:t>2</w:t>
            </w:r>
          </w:p>
        </w:tc>
      </w:tr>
      <w:tr>
        <w:trPr>
          <w:trHeight w:val="223"/>
        </w:trPr>
        <w:tc>
          <w:tcPr>
            <w:tcW w:w="4040" w:type="dxa"/>
            <w:vAlign w:val="bottom"/>
            <w:tcBorders>
              <w:bottom w:val="single" w:sz="8" w:color="auto"/>
            </w:tcBorders>
            <w:shd w:val="clear" w:color="auto" w:fill="CCEEFF"/>
          </w:tcPr>
          <w:p>
            <w:pPr>
              <w:spacing w:after="0"/>
              <w:rPr>
                <w:sz w:val="19"/>
                <w:szCs w:val="19"/>
                <w:color w:val="auto"/>
              </w:rPr>
            </w:pPr>
          </w:p>
        </w:tc>
        <w:tc>
          <w:tcPr>
            <w:tcW w:w="49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240 MW</w:t>
            </w:r>
          </w:p>
        </w:tc>
        <w:tc>
          <w:tcPr>
            <w:tcW w:w="2260" w:type="dxa"/>
            <w:vAlign w:val="bottom"/>
            <w:tcBorders>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590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hanging="332"/>
        <w:spacing w:after="0" w:line="195" w:lineRule="auto"/>
        <w:tabs>
          <w:tab w:leader="none" w:pos="340" w:val="left"/>
        </w:tabs>
        <w:numPr>
          <w:ilvl w:val="0"/>
          <w:numId w:val="9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but does not currently have an expansion plan for those 10 MW of power. Bitfarms is continuing its efforts to search for economically viable properties for the available 10 MW of hydro-electricity.</w:t>
      </w:r>
    </w:p>
    <w:p>
      <w:pPr>
        <w:spacing w:after="0" w:line="89"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Refer to section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remaining MW not yet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Borders>
              <w:bottom w:val="single" w:sz="8" w:color="auto"/>
            </w:tcBorders>
          </w:tcPr>
          <w:p>
            <w:pPr>
              <w:spacing w:after="0"/>
              <w:rPr>
                <w:sz w:val="21"/>
                <w:szCs w:val="21"/>
                <w:color w:val="auto"/>
              </w:rPr>
            </w:pPr>
          </w:p>
        </w:tc>
        <w:tc>
          <w:tcPr>
            <w:tcW w:w="4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1"/>
                <w:szCs w:val="21"/>
                <w:color w:val="auto"/>
              </w:rPr>
            </w:pPr>
          </w:p>
        </w:tc>
      </w:tr>
      <w:tr>
        <w:trPr>
          <w:trHeight w:val="26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3260" w:type="dxa"/>
            <w:vAlign w:val="bottom"/>
            <w:tcBorders>
              <w:bottom w:val="single" w:sz="8" w:color="auto"/>
            </w:tcBorders>
          </w:tcPr>
          <w:p>
            <w:pPr>
              <w:jc w:val="right"/>
              <w:ind w:right="45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(3)</w:t>
            </w:r>
          </w:p>
        </w:tc>
        <w:tc>
          <w:tcPr>
            <w:tcW w:w="15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5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142,428</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169,491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3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10,518</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111,120</w:t>
            </w:r>
          </w:p>
        </w:tc>
      </w:tr>
      <w:tr>
        <w:trPr>
          <w:trHeight w:val="257"/>
        </w:trPr>
        <w:tc>
          <w:tcPr>
            <w:tcW w:w="5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3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gain</w:t>
            </w:r>
          </w:p>
        </w:tc>
        <w:tc>
          <w:tcPr>
            <w:tcW w:w="3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(72,129)</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(284,022)</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63,640</w:t>
            </w:r>
          </w:p>
        </w:tc>
      </w:tr>
      <w:tr>
        <w:trPr>
          <w:trHeight w:val="263"/>
        </w:trPr>
        <w:tc>
          <w:tcPr>
            <w:tcW w:w="54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3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(49)%</w:t>
            </w:r>
          </w:p>
        </w:tc>
        <w:tc>
          <w:tcPr>
            <w:tcW w:w="1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(175,644)</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(0.42)</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(0.85)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(0.42)</w:t>
            </w: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(0.85)</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3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62,374</w:t>
            </w:r>
          </w:p>
        </w:tc>
        <w:tc>
          <w:tcPr>
            <w:tcW w:w="15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82,584</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134,884</w:t>
            </w:r>
          </w:p>
        </w:tc>
      </w:tr>
      <w:tr>
        <w:trPr>
          <w:trHeight w:val="257"/>
        </w:trPr>
        <w:tc>
          <w:tcPr>
            <w:tcW w:w="54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3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44%</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7"/>
        </w:trPr>
        <w:tc>
          <w:tcPr>
            <w:tcW w:w="5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3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35,085</w:t>
            </w:r>
          </w:p>
        </w:tc>
        <w:tc>
          <w:tcPr>
            <w:tcW w:w="15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54,686</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113,540</w:t>
            </w:r>
          </w:p>
        </w:tc>
      </w:tr>
      <w:tr>
        <w:trPr>
          <w:trHeight w:val="263"/>
        </w:trPr>
        <w:tc>
          <w:tcPr>
            <w:tcW w:w="54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3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w:t>
            </w: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378,725</w:t>
            </w:r>
          </w:p>
        </w:tc>
        <w:tc>
          <w:tcPr>
            <w:tcW w:w="15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343,098</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542,587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3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53,525</w:t>
            </w: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56,120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143,707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3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4,093</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910</w:t>
            </w:r>
          </w:p>
        </w:tc>
      </w:tr>
      <w:tr>
        <w:trPr>
          <w:trHeight w:val="22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included in financial liabilities</w:t>
            </w:r>
          </w:p>
        </w:tc>
        <w:tc>
          <w:tcPr>
            <w:tcW w:w="3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5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47,147</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11,167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right="20" w:hanging="332"/>
        <w:spacing w:after="0" w:line="195" w:lineRule="auto"/>
        <w:tabs>
          <w:tab w:leader="none" w:pos="340" w:val="left"/>
        </w:tabs>
        <w:numPr>
          <w:ilvl w:val="0"/>
          <w:numId w:val="9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Figures are derived from Restated Financial Statements. Refer to Section 15 - </w:t>
      </w:r>
      <w:r>
        <w:rPr>
          <w:rFonts w:ascii="Times New Roman" w:cs="Times New Roman" w:eastAsia="Times New Roman" w:hAnsi="Times New Roman"/>
          <w:sz w:val="18"/>
          <w:szCs w:val="18"/>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FOURTH QUARTER 2023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line="183" w:lineRule="auto"/>
        <w:tabs>
          <w:tab w:leader="none" w:pos="340" w:val="left"/>
        </w:tabs>
        <w:numPr>
          <w:ilvl w:val="0"/>
          <w:numId w:val="101"/>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Revenues of $46.2 million, gross profit of $1.8 million (gross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4%) including non-cash depreciation and amortization expense of $21.8 million, operating loss of $12.7 million (operating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28%) and net loss of $62.0 million;</w:t>
      </w:r>
    </w:p>
    <w:p>
      <w:pPr>
        <w:spacing w:after="0" w:line="2" w:lineRule="exact"/>
        <w:rPr>
          <w:rFonts w:ascii="Times New Roman" w:cs="Times New Roman" w:eastAsia="Times New Roman" w:hAnsi="Times New Roman"/>
          <w:sz w:val="35"/>
          <w:szCs w:val="35"/>
          <w:color w:val="auto"/>
          <w:vertAlign w:val="superscript"/>
        </w:rPr>
      </w:pPr>
    </w:p>
    <w:p>
      <w:pPr>
        <w:ind w:left="340" w:hanging="332"/>
        <w:spacing w:after="0" w:line="191" w:lineRule="auto"/>
        <w:tabs>
          <w:tab w:leader="none" w:pos="340" w:val="left"/>
        </w:tabs>
        <w:numPr>
          <w:ilvl w:val="0"/>
          <w:numId w:val="10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Gross Mining profit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$23.4 million (52% Gross Mining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and</w:t>
      </w:r>
    </w:p>
    <w:p>
      <w:pPr>
        <w:ind w:left="340" w:hanging="332"/>
        <w:spacing w:after="0" w:line="195" w:lineRule="auto"/>
        <w:tabs>
          <w:tab w:leader="none" w:pos="340" w:val="left"/>
        </w:tabs>
        <w:numPr>
          <w:ilvl w:val="0"/>
          <w:numId w:val="10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$14.0 million (30%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hashrate from 6.1 EH/s to 6.5 EH/s, an increase of 7%, through the installation of approximately 2,300 Miners;</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line="182" w:lineRule="auto"/>
        <w:tabs>
          <w:tab w:leader="none" w:pos="340" w:val="left"/>
        </w:tabs>
        <w:numPr>
          <w:ilvl w:val="0"/>
          <w:numId w:val="10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1,236 BTC at an average direct cost of $16,200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$25,200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804 BTC valued at approximately $34.0 million as of December 31, 2023;</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250" w:lineRule="auto"/>
        <w:tabs>
          <w:tab w:leader="none" w:pos="340" w:val="left"/>
        </w:tabs>
        <w:numPr>
          <w:ilvl w:val="0"/>
          <w:numId w:val="1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Sold 1,135 BTC at an average price of $36,600 per BTC for total proceeds of $41.6 million, a portion of which was used to repay equipment-related indebtedness and pay capital expenditures; and</w:t>
      </w:r>
    </w:p>
    <w:p>
      <w:pPr>
        <w:ind w:left="340" w:hanging="332"/>
        <w:spacing w:after="0" w:line="260"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prepaid contract for the months of November 2023 through April 2024 with the Company’s Argentinian private power producer to receive power at the Rio Cuarto facility at the rate of 2.1 cents per kWh plus value added tax.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right="20" w:hanging="332"/>
        <w:spacing w:after="0" w:line="260"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transformative fleet upgrade with the placement of a firm purchase order for 35,888 Bitmain T21 Miners and secured an option to purchase 28,000 additional T21 Miners with expected deliveries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ind w:left="340" w:right="20" w:hanging="332"/>
        <w:spacing w:after="0" w:line="260"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600 new MicroBT M50 WhatsMiner Miners and 200 new Bitmain S19j Pro+ Antminer Miners, which increased capacity to 54 MW and added approximately 0.1 EH/s to the Rio Cuarto facility, bringing its total hashrate to approximately 1.6 EH/s.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9" w:lineRule="exact"/>
        <w:rPr>
          <w:sz w:val="20"/>
          <w:szCs w:val="20"/>
          <w:color w:val="auto"/>
        </w:rPr>
      </w:pPr>
    </w:p>
    <w:p>
      <w:pPr>
        <w:ind w:left="340" w:right="20" w:hanging="332"/>
        <w:spacing w:after="0" w:line="250"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an additional 6 MW in Baie-Comeau, Quebec, completing the first phase of the facility and increasing the total operating capacity to 11 MW; and</w:t>
      </w: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the construction of the second 11 MW phase of the Baie-Comeau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ind w:left="340" w:hanging="332"/>
        <w:spacing w:after="0" w:line="260"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an amendment to the existing contract for an additional 20 MW of hydro power capacity to support the expansion at the Paso Pe facility, bringing the facility’s total hydro power capacity to 70 MW.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$5.9 million in equipment-related indebtedness, reducing the total outstanding balance to $4.0 million as of December 31,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$40.6 million in net proceeds through the closing of a private placement;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Synthetic HODL™ strategy with the purchase of 135 long-dated BTC call options held by the Company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FULL YEAR 2023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jc w:val="both"/>
        <w:ind w:left="340" w:hanging="332"/>
        <w:spacing w:after="0" w:line="183" w:lineRule="auto"/>
        <w:tabs>
          <w:tab w:leader="none" w:pos="340" w:val="left"/>
        </w:tabs>
        <w:numPr>
          <w:ilvl w:val="0"/>
          <w:numId w:val="1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Revenues of $146.4 million, gross loss of $21.5 million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negative 15%) including non-cash depreciation and amortization expense of $84.8 million, operating loss of $72.1 million (operating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negative 49%) including impairment loss of $12.3 million, and net loss of $108.9 million;</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3" w:lineRule="auto"/>
        <w:tabs>
          <w:tab w:leader="none" w:pos="340" w:val="left"/>
        </w:tabs>
        <w:numPr>
          <w:ilvl w:val="0"/>
          <w:numId w:val="11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of $62.4 million (44% Gross Mining margin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and</w:t>
      </w:r>
    </w:p>
    <w:p>
      <w:pPr>
        <w:ind w:left="340" w:hanging="332"/>
        <w:spacing w:after="0" w:line="195" w:lineRule="auto"/>
        <w:tabs>
          <w:tab w:leader="none" w:pos="340" w:val="left"/>
        </w:tabs>
        <w:numPr>
          <w:ilvl w:val="0"/>
          <w:numId w:val="1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$35.1 million (24%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4.5 EH/s to 6.5 EH/s, an increase of 44%, through the acquisition and installation of approximately 22,100 Miners;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the average watts/average TH efficiency from 39 watts/TH to 36 watts/TH, a change of 8%, through the acquisition and installation of more efficient Miners;</w:t>
      </w:r>
    </w:p>
    <w:p>
      <w:pPr>
        <w:ind w:left="340" w:hanging="332"/>
        <w:spacing w:after="0" w:line="192" w:lineRule="auto"/>
        <w:tabs>
          <w:tab w:leader="none" w:pos="340" w:val="left"/>
        </w:tabs>
        <w:numPr>
          <w:ilvl w:val="0"/>
          <w:numId w:val="1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Earned 4,928 BTC at an average direct cost of $15,200 per BTC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or an average total cash cost of $21,800 per BTC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w:t>
      </w:r>
    </w:p>
    <w:p>
      <w:pPr>
        <w:ind w:left="340" w:hanging="332"/>
        <w:spacing w:after="0" w:line="249"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804 BTC valued at approximately $34.0 million as of December 31, 2023, compared to 405 BTC as of December 31, 2022, representing an increase in the quantity of BTC of 99%;</w:t>
      </w:r>
    </w:p>
    <w:p>
      <w:pPr>
        <w:ind w:left="340" w:hanging="332"/>
        <w:spacing w:after="0" w:line="250"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4,529 BTC at an average price of $28,600 per BTC for total proceeds of $129.3 million, a portion of which was used to repay equipment-related indebtedness and pay capital expenditures;</w:t>
      </w:r>
    </w:p>
    <w:p>
      <w:pPr>
        <w:ind w:left="340" w:hanging="332"/>
        <w:spacing w:after="0" w:line="250"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a self-importer in Argentina, reducing the expense and facilitating the importation of Miners, and terminated existing contracts with importation brokers, resulting in an impairment loss of $7.0 million on short-term prepaid deposits; and</w:t>
      </w:r>
    </w:p>
    <w:p>
      <w:pPr>
        <w:ind w:left="340" w:hanging="332"/>
        <w:spacing w:after="0" w:line="260"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prepaid contract for the months of November 2023 through April 2024 with the Company’s Argentinian private power producer to receive power at the Rio Cuarto facility at the rate of 2.1 cents per kWh plus value added tax.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right="20" w:hanging="332"/>
        <w:spacing w:after="0" w:line="260"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transformative fleet upgrade with the placement of a firm purchase order for 35,888 Bitmain T21 Miners and secured an option to purchase 28,000 additional T21 Miners with expected deliveries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jc w:val="both"/>
        <w:ind w:left="340" w:hanging="332"/>
        <w:spacing w:after="0" w:line="255"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Imported and installed approximately 5,100 new MicroBT M30S WhatsMiner Miners, 1,900 new MicroBT M50 WhatsMiner Miners, 700 new Bitmain S19j Pro Antminer Miners and 5,700 new Bitmain S19j Pro+ Antminer Miners, which increased capacity to 54 MW and added approximately 1.4 EH/s to the Rio Cuarto facility, bringing its current hashrate to approximately 1.6 EH/s.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1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FULL YEAR 2023 RESULTS AND OPERATIONAL HIGHLIGHTS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Expansions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9"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22 MW of hydro power capacity and leased a site in Baie-Comeau, Quebec;</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2,500 Miners in Baie-Comeau, Quebec that were redeployed from Magog, Quebec, completing the first phase of the facility with 11 MW of total operating capacity; and</w:t>
      </w: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Imported and installed approximately 2,900 new Antminer S19j Pro+ Miners in Magog, Quebec, bringing its total hashrate to approximately 0.3 EH/s.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jc w:val="both"/>
        <w:ind w:left="340" w:hanging="332"/>
        <w:spacing w:after="0" w:line="250"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Imported and installed approximately 2,900 new M30s WhatsMiner Miners into Paraguay, which added a net 165 PH/s to the Villarrica facility after replacing the older generation Miners, and bringing its total hashrate to approximately 0.3 EH/s. The Company sold the older generation Miners to a third party for approximately $0.2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two power purchase agreements for up to 50 MW and 100 MW of hydro power capacity in Paso Pe and Yguazu, respectively, and started construction at the Paso Pe facility. Subsequently, the power capacity at Paso Pe was increased by 20 MW, bringing the total hydro power capacity to 70 MW for the facility;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utilized remaining Miner manufacturer credits of $19.1 million for the purchase of nine MicroBT hydro containers, with a total capacity of 20 MW, and approximately 2,000 MicroBT M53S hydro Miners to be deployed mainly in Paraguay.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line="250"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 discounted prepayment of the equipment financing with BlockFi Lending LLC (“BlockFi”), which had an outstanding balance of $20.3 million as at February 8, 2023, for $7.8 million, resulting in a gain on extinguishment of long-term debt of $12.6 million;</w:t>
      </w:r>
    </w:p>
    <w:p>
      <w:pPr>
        <w:ind w:left="340" w:hanging="332"/>
        <w:spacing w:after="0" w:line="250"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$30.5 million in equipment-related indebtedness, including the negotiated $7.8 million BlockFi loan settlement payment described above, reducing the total outstanding balance to $4.0 million as of December 31, 2023;</w:t>
      </w: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$40.6 million in net proceeds through the closing of a private placement;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$68.5 million in net proceeds through the Company’s at-the-market equity offering program;</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hedging activities including entering into BTC option contracts with the objective of reducing the variability of future cash flows from sales of digital assets; and</w:t>
      </w: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Synthetic HODL™ strategy with the purchase of 135 long-dated BTC call options held by the Company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420" w:firstLine="8"/>
        <w:spacing w:after="0" w:line="388" w:lineRule="auto"/>
        <w:tabs>
          <w:tab w:leader="none" w:pos="1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tcPr>
          <w:p>
            <w:pPr>
              <w:jc w:val="right"/>
              <w:ind w:right="110"/>
              <w:spacing w:after="0" w:line="195"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jc w:val="right"/>
              <w:ind w:right="350"/>
              <w:spacing w:after="0" w:line="195"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1240" w:type="dxa"/>
            <w:vAlign w:val="bottom"/>
          </w:tcPr>
          <w:p>
            <w:pPr>
              <w:spacing w:after="0"/>
              <w:rPr>
                <w:sz w:val="16"/>
                <w:szCs w:val="16"/>
                <w:color w:val="auto"/>
              </w:rPr>
            </w:pPr>
          </w:p>
        </w:tc>
      </w:tr>
      <w:tr>
        <w:trPr>
          <w:trHeight w:val="245"/>
        </w:trPr>
        <w:tc>
          <w:tcPr>
            <w:tcW w:w="3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1"/>
                <w:szCs w:val="2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1,434</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4,928</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5,167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38</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18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3,093</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4,529</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9,063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98"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2023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Q4 2022</w:t>
      </w:r>
    </w:p>
    <w:p>
      <w:pPr>
        <w:spacing w:after="0" w:line="31" w:lineRule="exact"/>
        <w:rPr>
          <w:sz w:val="20"/>
          <w:szCs w:val="20"/>
          <w:color w:val="auto"/>
        </w:rPr>
      </w:pPr>
    </w:p>
    <w:p>
      <w:pPr>
        <w:ind w:left="660" w:hanging="328"/>
        <w:spacing w:after="0" w:line="250"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1,236 BTC earned in Q4 2023, compared to 1,434 BTC earned in Q4 2022, representing a decrease of 14% as a result of an 80% increase in average network difficulty, partially offset by an increase in hashrate from the Company’s expansions and certain upgrades to its Miner fleet;</w:t>
      </w:r>
    </w:p>
    <w:p>
      <w:pPr>
        <w:ind w:left="660" w:hanging="328"/>
        <w:spacing w:after="0" w:line="250"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average Watts/average TH efficiency in Q4 2023, compared to 38 average Watts/average TH efficiency in Q4 2022, representing an improvement of 8% due to the Company upgrading its fleet with more efficient Miners; and</w:t>
      </w:r>
    </w:p>
    <w:p>
      <w:pPr>
        <w:jc w:val="both"/>
        <w:ind w:left="660" w:hanging="328"/>
        <w:spacing w:after="0" w:line="255"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 BTC sold in Q4 2023, compared to 3,093 BTC in Q4 2022. In Q4 2023, the proceeds were used in part to fund operations and repay equipment financing indebtedness, whereas in Q4 2022, the proceeds were mainly used to repay part of the BTC backed credit facility for $23.1 million, fund operations and to manage liquidity.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31"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4,928 BTC earned during FY 2023, compared to 5,167 BTC earned during FY 2022, representing a decrease of 5% from the previous 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average Watts/average TH efficiency during FY 2023, compared to 39 average Watts/average TH efficiency during FY 2022, an improvement of 8% due to the Company upgrading its fleet with more efficient Miners; and</w:t>
      </w:r>
    </w:p>
    <w:p>
      <w:pPr>
        <w:ind w:left="660" w:hanging="328"/>
        <w:spacing w:after="0" w:line="260"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4,529 BTC sold in FY 2023, compared to 9,063 BTC in FY 2022. The proceeds were used for the same purposes as those explained in the Q4 2023 v. Q4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PRODUCTION AND MINING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Performance Indicators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1"/>
                <w:szCs w:val="21"/>
                <w:color w:val="auto"/>
              </w:rPr>
            </w:pPr>
          </w:p>
        </w:tc>
      </w:tr>
      <w:tr>
        <w:trPr>
          <w:trHeight w:val="223"/>
        </w:trPr>
        <w:tc>
          <w:tcPr>
            <w:tcW w:w="60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6.5</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Period-end operating capacity (MW)</w:t>
            </w:r>
          </w:p>
        </w:tc>
        <w:tc>
          <w:tcPr>
            <w:tcW w:w="2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240</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 power (MW)</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186</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Hydro power proportion of period-end operating capacity</w:t>
            </w:r>
          </w:p>
        </w:tc>
        <w:tc>
          <w:tcPr>
            <w:tcW w:w="2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78%</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2023 v. as of December 31, 2022</w:t>
      </w:r>
    </w:p>
    <w:p>
      <w:pPr>
        <w:spacing w:after="0" w:line="31" w:lineRule="exact"/>
        <w:rPr>
          <w:sz w:val="20"/>
          <w:szCs w:val="20"/>
          <w:color w:val="auto"/>
        </w:rPr>
      </w:pPr>
    </w:p>
    <w:p>
      <w:pPr>
        <w:ind w:left="660" w:right="20" w:hanging="328"/>
        <w:spacing w:after="0" w:line="250" w:lineRule="auto"/>
        <w:tabs>
          <w:tab w:leader="none" w:pos="660" w:val="left"/>
        </w:tabs>
        <w:numPr>
          <w:ilvl w:val="0"/>
          <w:numId w:val="1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6.5 EH/s online as of December 31, 2023, compared to 4.5 EH/s online as of December 31, 2022, an increase of 44%, as a result of the Company’s expansions in Sherbrooke (Quebec), Baie-Comeau (Quebec) and Rio Cuarto (Argentina) as well as the upgrade of its Miner fleet;</w:t>
      </w:r>
    </w:p>
    <w:p>
      <w:pPr>
        <w:jc w:val="both"/>
        <w:ind w:left="660" w:hanging="328"/>
        <w:spacing w:after="0" w:line="250"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MW operating capacity as of December 31, 2023, compared to 188 MW operating capacity as of December 31, 2022, an increase of 28%, as a result of the installation of approximately 13,400 Miners in Rio Cuarto, Argentina from Q2 to Q4 2023 (resulting in an additional 44 MW) and the expansion in Baie-Comeau (resulting in an additional 11 MW);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MW hydro power as of December 31, 2023, compared to 178 MW hydro power as of December 31, 2022, an increase of 4% as a result of the Company’s expansion in Baie-Comeau, and representing 78% of the Company’s total operating energy capacity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EXPANSION PROJECTS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described its expansion plans below under the sections entitled “Argentina Expansion”, “Paraguay Expansion”, “Washington Expansion” and “Canada Expansion”. These expansion projects only include updates for 2023. For background or historical information on these expansions, refer to the Company’s MD&amp;A for the year ended December 31, 2022, dated March 20, 2023.</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operated 6.5 EH/s, an increase of 0.4 EH/s and 2.0 EH/s compared to Q3 2023 and Q4 2022, respectively, with the installation of additional Miners in Baie-Comeau, Quebec, and Rio Cuarto, Argentina. On November 27, 2023, the Company placed a firm purchase order for 35,888 Bitmain T21 Miners totaling $95.5 million, or $14/TH, with deliveries scheduled from March 2024 to May 2024. In addition, the Company secured a purchase option for an additional 28,000 Bitmain T21 Miners (the “Purchase Option”) for an aggregate purchase price of $74.5 million, or $14/TH. With the deployment of this transformative fleet upgrade, the Company expects to increase its hashrate and improve its fleet efficiency to 12.0 EH/s and 25 W/TH, respectively, in Q2 2024, and to 17.0 EH/s and 23 W/TH, respectively, by December 31, 2024 if the Company exercises the Purchase Option. Including the redeployment of the current Miners in use, the Company expects to reach 21.0 EH/s before the end of 2024. With the next BTC halving expected to occur in April 2024, the Company continues to prudently explore further opportunities to expand its infrastructure and improve its Mining hardware to increase the Company’s hashrate, provided such opportunities are accretive based on current macro factors and expected specific operating performance. As of March 6, 2024, the Company paid $50.8 million towards the purchase order, paid $7.4 million towards the Purchase Option and has sufficient liquidity to complete the purchase obligations of the 35,888 T21 Miners.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supply and cost of cryptocurrency Mining equipment, the ability to import equipment into countries in a cost-effective manner, the supply of electrical and other supporting infrastructure equipment, the availability of construction materials, currency exchange rates, the impact of geopolitical events or global health related issues such as pandemics on the supply chains described above, and the Company’s ability to fund its initiatives. Adding reliable, environmentally-friendly hydro power is a preferred part of the Company’s strategy to expand cost-effectively its operating footprint. The Company’s expansion plans rely on a consistent supply of electricity at cost-effective rates; refer to Section 18 -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Risks) </w:t>
      </w:r>
      <w:r>
        <w:rPr>
          <w:rFonts w:ascii="Times New Roman" w:cs="Times New Roman" w:eastAsia="Times New Roman" w:hAnsi="Times New Roman"/>
          <w:sz w:val="18"/>
          <w:szCs w:val="18"/>
          <w:color w:val="auto"/>
        </w:rPr>
        <w:t>of this MD&amp;A for further details, including a description of these and other factors.</w:t>
      </w:r>
    </w:p>
    <w:p>
      <w:pPr>
        <w:spacing w:after="0" w:line="185"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2023, Management elected to postpone the development of additional infrastructure in Argentina until (i) the private Argentinian power producer obtains an increased power permit, (ii) certain political and economic uncertainties in Argentina have been resolved or become attenuated and (iii) natural gas prices stabilize at an acceptable level.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in anticipation of the power permit approval, the Company, using credits and cash, purchased over 6,200 new Bitmain and MicroBT Miners to fill out an additional 22 MW in the Argentinian facility. Those new Miners were installed in the third quarter of 2023 and improved the overall W/TH efficiency and increased the hashrate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Argentina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2023 update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confirmed the receipt of the necessary power permits by the private Argentinian power producer to expand production at its Argentina facility. The current permits in place allow up to 100 MW of power capacity. The Company completed testing of its Rio Cuarto substation and began to draw power from the private power producer. The Company installed 2,100 new Miners that were delivered in March and April 2023. Energizing those miners and ending underclocking of previously installed miners in line with improved economics increased the active capacity to 18 MW and the Company’s operational hashrate to over 5.0 EH/s.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power from the private Argentinian power producer enabled the Company to commence purchasing low-cost power under its purchase agreement at approximately $0.03 per kWh, before VAT, on an annualized basis, or possibly less as the Company reaches full capacity at the facility. The Company’s cost of BTC earned at that farm decreased substantially as it actively scaled up operations at the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1,650 Bitmain S19 Pro Miners were purchased for Argentina at an average direct cost of $12.98/TH, in addition to the 6,200 Miners purchased in April 2023. In addition, 2,900 MicroBT Miners were delivered, installed and energized, contributing an additional 290 PH/s and driving the Company’s operational hashrate to 5.3 EH/s as of June 30,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and September 2023, approximately 1,300 new M50 WhatsMiner miners, 700 new S19j Pro Antminer Miners and 5,500 new S19j Pro+ Antminer Miners were imported and installed, increasing the warehouse’s capacity to 51 MW and operational hashrate to 1.5 EH/s. Approximately 600 additional M50 WhatsMiner miners were installed in October 2023, further increasing the warehouse’s capacity to 54 MW and operational hashrate to 1.6 EH/s.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 prepaid contract with its Argentinian private power producer, to receive power at the Rio Cuarto facility at the rate of 2.1 cents per kWh plus VAT for the months of November 2023 through April 2024. This contract is expected to significantly lower the Company’s blended cost of power to an average of 2.5 cents per kWh plus VAT for the first year of full operations at that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2023, the newly elected President, Javier Milei, took office. Self-described as right-wing libertarian, his agenda includes pro-market policies with an aim to address budget deficits and combat high inflation rates and currency devaluation. Furthermore, the new administration has announced measures to ease import restrictions and provide an incentive to attract foreign direct investments. It is also believed President Milei is receptive to the overall crypto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December 31,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had placed deposits of $4.0 million with suppliers for existing and additional construction work. Overall, in Argentina, the Company has also acquired $63.3 million of property, plant and equipment, incurred $0.3 million of expenditures relating to design and feasibility studies and recorded cumulative gains on the disposition of marketable securities of $70.0 million associated with the mechanism to convert funds into Argentine Pesos for disbursements.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Argentina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upgrade its current fleet of miners in Rio Cuarto during Q4 2024 with new T21 Miners, which is expected to increase the online hashrate from 1.6 EH/s to 2.4 EH/s by December 31, 2024, assuming the Purchase Option is exercised.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retains the option, subject to the receipt of additional government approvals, to expand the Rio Cuarto operation to the full contracted amount of 210 MW. Due to the ongoing political and economic uncertainty, the Company is not yet in a position to determine when or if construction of additional infrastructure in Argentina will commence. The Company will monitor general macroeconomic conditions and the evolution of the new administration’s economic program in assessing its expansion plans in the country.</w:t>
      </w:r>
    </w:p>
    <w:p>
      <w:pPr>
        <w:spacing w:after="0" w:line="176"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sold the older generation Miners to a third party for approximately $0.2 million.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Yguazu, a new location close to the Itaipú dam, the third largest hydro-electric dam in the world. The new facility in Villarrica is referred to as the Paso Pe facility. At Yguazu, the Company has the opportunity to develop a new farm with up to 100 MW of Mining capacity at a site that is in close proximity to a newly constructed substation with 1,200 MW of capacity. Hydro power at both locations will be provided at a contracted cost of approximately $0.039 per kWh, before VAT, until December 31, 2027 and is not subject to annual inflationary adjustments.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facility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August 2023, the Company placed orders using vendor credits for eight 2.4 MW hydro containers and approximately 1,900 M53S hydro-cooling Miners capable of producing approximately 675 PH/s once installed.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construction commenced as planned at the Paso Pe facility, beginning with the substation, followed by building-out a Mining facility consisting of 50 MW (originally 30 MW before the amended contract described below) of air-cooled warehouses and the 20 MW of hydro containers, expected to be completed during the first quarter of 2024. The construction is progressing as planned with the finalization of underground cable connections in March 2024. The transformer was delivered in March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amended the contract for an additional 20 MW of energy at the Paso Pe facility, enabling a larger expansion at the site from 50 MW to 70 MW.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revised cost of developing the expanded 50 MW of air-cooled warehouse, constructing the substation capable of accommodating the total energy requirement, and the installation of the high voltage lines, is estimated to range from $25.0 million to $28.0 million, excluding the cost of the power purchase agreement guarantees required by Administración Nacional de Electricidad (“ANDE”), the operator of Paraguay national electricity grid, for securing monthly electricity purchase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December 31,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placed deposits of $3.2 million and $2.4 million with suppliers for construction costs and for electrical components, respectively. As of December 31, 2023, property, plant and equipment includes $2.5 million related to the Paso Pe facility, including warehouse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facility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the Company purchased the land for the 100 MW Yguazu facility. The Company expects construction to begin in March 2024 and to complete the facility during the second half of 2024. The cost of developing the 100 MW facility and the installation of the high voltage lines is estimated to range from $34.0 million to $37.0 million, excluding the cost of the power purchase agreement guarantees required by ANDE.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to complete construction of its Paso Pe and Yguazu facilities and install its new T21 Miners and WhatsMiner M53S Miners during 2024, which will increase the Paraguay online hashrate from 0.3 EH/s to 3.6 EH/s by June 30, 2024, and, provided that the Purchase Option is exercised, 6.9 EH/s by December 31, 2024.</w:t>
      </w:r>
    </w:p>
    <w:p>
      <w:pPr>
        <w:spacing w:after="0" w:line="182"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Washington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update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for a 6 MW expansion that is estimated to be energized in the first quarter of 2024. The Company began constructing an additional production facility on Company-owned land in June 2023 with an estimated cost of $2.1 million, including $0.9 million paid in Q2 2023 to the power supplier for establishing the connection. In connection with the new facility, in January 2024, the Company elected to cancel the lease of a 5 MW facility in Washington State in order to transfer Miners from the leased facility to the newly constructed 6 MW facility with completion expected in March 2024. The cancellation of the lease will take effect in April 2024. In February 2024, the power supplier established the electricity connection allowing the Company, subject to the completion of the civil work, to access 6 MW of hydro power capacity.</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the Company de-energized its 2 MW immersion cooling pilot project as the equipment did not perform to the Company’s expectations of performance and operating costs. The 2 MW of hydro-electricity remains available to the Company for future 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2023, the Company upgraded ventilation and cooling systems, increasing average uptime.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expects to upgrade a portion of its current fleet of miners in Washington during Q1 2024 with new T21 Miners, which will increase the online hashrate from 0.6 EH/s to 0.7 EH/s by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background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Company entered into agreements to acquire shares of a Company that owns the right to consume 22 MW of hydro power capacity in Baie-Comeau, Quebec, and to lease a site to install the infrastructure to operate the acquired capacity. When fully utilized, the 22 MW is expected to add over 600 PH/s. The Baie-Comeau area is home to five hydro-electricity generation facilities with over 5.4 Gigawatts of nameplate capacity.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Company completed the acquisition. The consideration transferred at closing totaled $2.0 million (CAD$2.6 million), of which $0.6 million (CAD$0.8 million) was paid in cash and $1.4 million (CAD$1.8 million) was paid through the issuance of 821,000 common shares of the Company. The lease agreement is for an industrial site in Baie-Comeau for an initial term of 10 years and provides the Company with the option to purchase the site for $2.2 million (CAD $3.0 million) with an annual adjustment at the lesser of (i) the change in the Consumer Price Index and (ii) 3% throughout the lease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2023 and 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closing of the acquisition, the Company immediately commenced production at Baie-Comeau with an initial 3 MW online. In connection with the acquisition, the Company increased its total hashrate target to 6.3 EH/s, which was achieved on October 20, 2023.</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minimize development-related and build-out expenditures by relocating miners from other facilities to Baie-Comeau and by applying infrastructure equipment repurposed from the December 2022 sale of the former De La Pointe facility. In June and August 2023, approximately 2,500 WhatsMiner M31S+ miners were redeployed from Magog and installed at the Baie-Comeau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fully energized the 11 MW facility on October 20, 2023, and is planning to commission the remaining 11 MW during the second half of 2024 after local grid infrastructure improvements have been completed. The cost of electrical infrastructure and leasehold improvements for the first 11 MW of the facility totaled $2.8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continue to lease the property and complete the physical improvements for the second 11 MW by the third quarter of 2024. The Company expects the total cost to be approximately $9.2 million, including $3.9 million for the leasehold improvements, which will include construction of a new building and $2.5 million for the electrical infrastructure.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$5.0 million of property, plant and equipment at the Baie-Comeau facility, including infrastructure equipment that was repurposed from other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expects to install new Miners in Canada during 2024 with new T21 Miners and WhatsMiner M53S Miners, which will increase the online hashrate from 4.0 EH/s to 6.1 EH/s by June 30, 2024 and, provided that the Purchase Option is exercised, 7.0 EH/s by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680" w:firstLine="8"/>
        <w:spacing w:after="0" w:line="500" w:lineRule="auto"/>
        <w:tabs>
          <w:tab w:leader="none" w:pos="1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(3)</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(3)</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27,037</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19,204</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142,428</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(44,484)</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(39,121)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(131,910)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1,757</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(12,084)</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13,841</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10,518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63"/>
        </w:trPr>
        <w:tc>
          <w:tcPr>
            <w:tcW w:w="30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(13,405)</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(11,972)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(51,506)</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Realized loss on disposition of digital</w:t>
            </w: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vMerge w:val="continue"/>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(28,567)</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28,567</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(150,810)</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Reversal of revaluation loss on digital</w:t>
            </w:r>
          </w:p>
        </w:tc>
        <w:tc>
          <w:tcPr>
            <w:tcW w:w="11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1,183</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2,695</w:t>
            </w: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23,284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2,166</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gain on disposition of property,</w:t>
            </w:r>
          </w:p>
        </w:tc>
        <w:tc>
          <w:tcPr>
            <w:tcW w:w="11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(1,778)</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and equipment</w:t>
            </w:r>
          </w:p>
        </w:tc>
        <w:tc>
          <w:tcPr>
            <w:tcW w:w="1140" w:type="dxa"/>
            <w:vAlign w:val="bottom"/>
            <w:vMerge w:val="continue"/>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reversal on short-term</w:t>
            </w: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deposits, equipment and</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prepayments, property,</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and right-of-use</w:t>
            </w:r>
          </w:p>
        </w:tc>
        <w:tc>
          <w:tcPr>
            <w:tcW w:w="11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(2,270)</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8,903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(75,213)</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62,961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(17,900)</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(12,737)</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(20,021)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7,284</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(72,129)</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(284,022)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211,893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(49,686)</w:t>
            </w: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7,128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(56,814)</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797%</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90,966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(128,160)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(62,423)</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384%</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(109,323)</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(193,056)</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83,733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378</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17,412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(62,045)</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(13,084)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374%</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(175,644)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(in U.S.</w:t>
            </w:r>
          </w:p>
        </w:tc>
        <w:tc>
          <w:tcPr>
            <w:tcW w:w="11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(0.21)</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(0.42)</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w:t>
            </w:r>
          </w:p>
        </w:tc>
        <w:tc>
          <w:tcPr>
            <w:tcW w:w="1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(0.06)</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(0.85)</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11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7,675</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net of tax</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(54,370)</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(13,084)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(41,286)</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316%</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(99,680)</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(175,644)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75,964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23,357</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8,494</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14,863</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62,374</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82,584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(40,542)</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10,955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(51,497)</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(21,879)</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(106,871)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(88)%</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14,048</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1,982</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12,066</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35,085</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54,686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1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$46.2 million in Q4 2023, compared to $27.0 million in Q4 2022, an increase of $19.2 million, or 71%.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Q4 2023, compared to Q4 2022, are presented in the table below. Revenues increased mostly due to the increase in average Bitfarms’ BTC hashrate and average BTC price, partially offset by lower BTC earned as a result of the increase in network difficulty.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3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BTC and revenues, including Volta, for the three months ended December 31,</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1"/>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1,434</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27,037</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Q4 2023 as compared to Q4</w:t>
            </w: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(28,346)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Q4 2023 as</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compared to Q4 2022</w:t>
            </w: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601</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23,480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Q4 2023 as compared to Q4 2022</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three months ended December 31, 2023</w:t>
            </w:r>
          </w:p>
        </w:tc>
        <w:tc>
          <w:tcPr>
            <w:tcW w:w="1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1,236</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46,311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bl>
    <w:p>
      <w:pPr>
        <w:spacing w:after="0" w:line="198" w:lineRule="exact"/>
        <w:rPr>
          <w:sz w:val="20"/>
          <w:szCs w:val="20"/>
          <w:color w:val="auto"/>
        </w:rPr>
      </w:pPr>
    </w:p>
    <w:p>
      <w:pPr>
        <w:sectPr>
          <w:pgSz w:w="11900" w:h="16838" w:orient="portrait"/>
          <w:cols w:equalWidth="0" w:num="1">
            <w:col w:w="11240"/>
          </w:cols>
          <w:pgMar w:left="320" w:top="266" w:right="339" w:bottom="1440" w:gutter="0" w:footer="0" w:header="0"/>
        </w:sectPr>
      </w:pPr>
    </w:p>
    <w:p>
      <w:pPr>
        <w:ind w:left="80"/>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004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Calculated as the difference in BTC earned in Q4 2023 compared to Q4 2022, based on the change in network difficulty, multiplied by Q4 2023 average BTC price</w:t>
      </w:r>
    </w:p>
    <w:p>
      <w:pPr>
        <w:ind w:right="60"/>
        <w:spacing w:after="0" w:line="250" w:lineRule="auto"/>
        <w:rPr>
          <w:sz w:val="20"/>
          <w:szCs w:val="20"/>
          <w:color w:val="auto"/>
        </w:rPr>
      </w:pPr>
      <w:r>
        <w:rPr>
          <w:rFonts w:ascii="Times New Roman" w:cs="Times New Roman" w:eastAsia="Times New Roman" w:hAnsi="Times New Roman"/>
          <w:sz w:val="18"/>
          <w:szCs w:val="18"/>
          <w:color w:val="auto"/>
        </w:rPr>
        <w:t>Calculated as the difference in BTC earned in Q4 2023 compared to Q4 2022, based on the change in Bitfarms’ average BTC hashrate, multiplied by Q4 2023 average BTC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the difference in average BTC price in Q4 2023 compared to Q4 2022 multiplied by BTC earned in Q4 2022</w:t>
      </w:r>
    </w:p>
    <w:p>
      <w:pPr>
        <w:spacing w:after="0" w:line="200" w:lineRule="exact"/>
        <w:rPr>
          <w:sz w:val="20"/>
          <w:szCs w:val="20"/>
          <w:color w:val="auto"/>
        </w:rPr>
      </w:pPr>
    </w:p>
    <w:p>
      <w:pPr>
        <w:sectPr>
          <w:pgSz w:w="11900" w:h="16838" w:orient="portrait"/>
          <w:cols w:equalWidth="0" w:num="2">
            <w:col w:w="500" w:space="120"/>
            <w:col w:w="10620"/>
          </w:cols>
          <w:pgMar w:left="320" w:top="26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40" w:type="dxa"/>
            <w:vAlign w:val="bottom"/>
            <w:tcBorders>
              <w:bottom w:val="single" w:sz="8" w:color="auto"/>
            </w:tcBorders>
          </w:tcPr>
          <w:p>
            <w:pPr>
              <w:spacing w:after="0"/>
              <w:rPr>
                <w:sz w:val="21"/>
                <w:szCs w:val="21"/>
                <w:color w:val="auto"/>
              </w:rPr>
            </w:pPr>
          </w:p>
        </w:tc>
      </w:tr>
      <w:tr>
        <w:trPr>
          <w:trHeight w:val="223"/>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30,257</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21,566</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8,691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4,291</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3,445</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9,829</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1,297</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8,532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3"/>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729</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1,135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5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46,241</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27,037</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19,204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9"/>
        </w:trPr>
        <w:tc>
          <w:tcPr>
            <w:tcW w:w="5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5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Q4 2023 v. Q4 2022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Canadian operations accounted for a smaller portion of total revenues in Q4 2023 largely due to the expansion of operations in Argentina. Bitfarms earned the majority of its revenues from its Canadian operations in Q4 2023, which accounted for 66% of total revenues, compared to 80% in Q4 2022. The Argentina, U.S. and Paraguay operations accounted for 21%, 9% and 4% of total revenues in Q4 2023, respectively, compared to 5%, 13% and 2% in Q4 2022, respectively. The average hashrate increase of the Canada, Argentina and Paraguay operations of 0.5 EH/s, or 15%, 1.0 EH/s, or 500%, and 0.2 EH/s, or 200%, respectively, and the increase in average BTC price, partially offset by the increase in network difficulty, resulted in Q4 2023 higher revenues from the Company’s operations in those jurisdictions increasing by $8.7 million, $8.5 million and $1.1 million, respectively, compared to Q4 2022. Revenues from the USA operations increased by $0.8 million in Q4 2023 as compared to Q4 2022 due to the increase in average BTC price, partially offset by the impact of the increase in network difficulty.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$146.4 million in FY 2023, compared to $142.4 million in FY 2022, an increase of $3.9 million, or 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FY 2023, compared to FY 2022, are presented in the table below. Revenues increased mostly due to the increase in average BTC price and the increase in average Bitfarms’ hashrate, partially offset by the increase in network difficulty.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year ended December 31, 2022</w:t>
            </w:r>
          </w:p>
        </w:tc>
        <w:tc>
          <w:tcPr>
            <w:tcW w:w="1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5,167</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142,428</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FY 2023 as compared to FY</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(3,093)</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(88,667)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FY 2023 as</w:t>
            </w: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compared to FY 2022</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2,854</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81,814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FY 2023 as compared to FY 2022</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9,110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1,751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year ended December 31, 2023</w:t>
            </w:r>
          </w:p>
        </w:tc>
        <w:tc>
          <w:tcPr>
            <w:tcW w:w="1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4,928</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146,436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bl>
    <w:p>
      <w:pPr>
        <w:spacing w:after="0" w:line="198" w:lineRule="exact"/>
        <w:rPr>
          <w:sz w:val="20"/>
          <w:szCs w:val="20"/>
          <w:color w:val="auto"/>
        </w:rPr>
      </w:pPr>
    </w:p>
    <w:p>
      <w:pPr>
        <w:sectPr>
          <w:pgSz w:w="11900" w:h="16838" w:orient="portrait"/>
          <w:cols w:equalWidth="0" w:num="1">
            <w:col w:w="11240"/>
          </w:cols>
          <w:pgMar w:left="320" w:top="266" w:right="339" w:bottom="1440" w:gutter="0" w:footer="0" w:header="0"/>
        </w:sectPr>
      </w:pPr>
    </w:p>
    <w:p>
      <w:pPr>
        <w:jc w:val="center"/>
        <w:ind w:left="80"/>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00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11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Calculated as the difference in BTC earned in FY 2023 compared to FY 2022, based on the change in network difficulty, multiplied by FY 2023 average BTC price</w:t>
      </w:r>
    </w:p>
    <w:p>
      <w:pPr>
        <w:spacing w:after="0" w:line="250" w:lineRule="auto"/>
        <w:rPr>
          <w:sz w:val="20"/>
          <w:szCs w:val="20"/>
          <w:color w:val="auto"/>
        </w:rPr>
      </w:pPr>
      <w:r>
        <w:rPr>
          <w:rFonts w:ascii="Times New Roman" w:cs="Times New Roman" w:eastAsia="Times New Roman" w:hAnsi="Times New Roman"/>
          <w:sz w:val="18"/>
          <w:szCs w:val="18"/>
          <w:color w:val="auto"/>
        </w:rPr>
        <w:t>Calculated as the difference in BTC earned in FY 2023 compared to FY 2022, based on the change in Bitfarms’ average BTC hashrate, multiplied by FY 2023 average BTC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the difference in average BTC price in FY 2023 compared to FY 2022 multiplied by BTC earned in FY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280035</wp:posOffset>
            </wp:positionV>
            <wp:extent cx="713232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80"/>
            <w:col w:w="10660"/>
          </w:cols>
          <w:pgMar w:left="320" w:top="266" w:right="339" w:bottom="1440" w:gutter="0" w:footer="0" w:header="0"/>
          <w:type w:val="continuous"/>
        </w:sectPr>
      </w:pPr>
    </w:p>
    <w:p>
      <w:pPr>
        <w:spacing w:after="0" w:line="277"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FY 2023 v. FY 2022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by country: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104,434</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112,106</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(7,672)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15,966</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25,095</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(9,129)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19,050</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1,455</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17,595</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2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6,916</w:t>
            </w: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3,772</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3,144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484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142,428</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3,938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1"/>
                <w:szCs w:val="21"/>
                <w:color w:val="auto"/>
              </w:rPr>
            </w:pPr>
          </w:p>
        </w:tc>
      </w:tr>
      <w:tr>
        <w:trPr>
          <w:trHeight w:val="22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w:t>
            </w:r>
          </w:p>
        </w:tc>
        <w:tc>
          <w:tcPr>
            <w:tcW w:w="1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0.6</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0.7</w:t>
            </w:r>
          </w:p>
        </w:tc>
        <w:tc>
          <w:tcPr>
            <w:tcW w:w="1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0.3</w:t>
            </w: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52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w:t>
            </w:r>
          </w:p>
        </w:tc>
        <w:tc>
          <w:tcPr>
            <w:tcW w:w="1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Canadian operations accounted for a smaller proportion of total revenues in FY 2023 largely due to the expansion of operations in Argentina. Bitfarms earned the majority of its revenues from its Canadian operations in FY 2023, which accounted for 71% of total revenues, compared to 78% in FY 2022. The Argentina, USA and Paraguay operations accounted for 13%, 11% and 5% of total revenues in FY 2023, respectively, compared to 1%, 18% and 3% in FY 2022, respectively. For the Company’s Canadian operations, the impact of the increase in network difficulty was partially offset by the increase in average BTC price and the average hashrate increase of 1.0 EH/s, or 38%, which resulted in revenues decreasing by $7.7 million during FY 2023 as compared to FY 2022. Revenues from the Company’s U.S. operations decreased by $9.1 million during FY 2023 as compared to FY 2022 due to the increase in network difficulty, partially offset by the increase in average BTC price. The average hashrate increase of the Argentina and Paraguay operations of 0.6 EH/s, or 500%, and 0.2 EH/s, or 200%, respectively, resulted in FY 2023 revenues increasing by $17.6 million and $3.1 million, respectively, compared to FY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2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0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 Change</w:t>
            </w:r>
          </w:p>
        </w:tc>
        <w:tc>
          <w:tcPr>
            <w:tcW w:w="9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(21,603)</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(17,445)</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(4,158)</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(78,942)</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(56,415)</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(22,527)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(20,777)</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(1,013)</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(84,785)</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(72,420)</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Purchases of electrical</w:t>
            </w:r>
          </w:p>
        </w:tc>
        <w:tc>
          <w:tcPr>
            <w:tcW w:w="10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(750)</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w:t>
            </w: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w:t>
            </w:r>
          </w:p>
        </w:tc>
        <w:tc>
          <w:tcPr>
            <w:tcW w:w="10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(243)</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(1,759)</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2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Electrician salaries and</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(1,561)</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10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(1,316)</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(44,484)</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(39,121)</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(5,363)</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(131,910)</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(35,958)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cost of revenues for Q4 2023 was $44.5 million compared to $39.1 million for Q4 2022. The increase in cost of revenues was mainly attributable to:</w:t>
      </w:r>
    </w:p>
    <w:p>
      <w:pPr>
        <w:jc w:val="both"/>
        <w:ind w:left="340" w:hanging="332"/>
        <w:spacing w:after="0" w:line="250"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or 24%, increase in energy and infrastructure expenses, mainly due to the Company adding new Miners, which increased energy utilization to an average of 218 MW during Q4 2023 versus 169 MW for the same period in 2022, partially offset by lower average energy rates in Q4 2023, resulting in an increase in total electricity costs of $3.6 million. The availability and pricing of energy may be negatively affected by governmental or regulatory changes in energy policies in the countries, provinces and states where the Company operates.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increase in non-cash depreciation and amortization expense as the Company added new Miners and electrical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decrease in rent expense of $0.5 million, mainly due to the capitalization of the leased Washington facility, which was renewed in Q4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cost of revenues was $167.9 million for FY 2023 compared to $131.9 million for FY 2022. The increase in cost of revenues was mainly due to:</w:t>
      </w:r>
    </w:p>
    <w:p>
      <w:pPr>
        <w:spacing w:after="0" w:line="27" w:lineRule="exact"/>
        <w:rPr>
          <w:sz w:val="20"/>
          <w:szCs w:val="20"/>
          <w:color w:val="auto"/>
        </w:rPr>
      </w:pPr>
    </w:p>
    <w:p>
      <w:pPr>
        <w:jc w:val="both"/>
        <w:ind w:left="340" w:hanging="332"/>
        <w:spacing w:after="0" w:line="25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$22.5 million, or 40%, increase in energy and infrastructure expenses, mainly due to the Company adding new Miners and upgrading its fleet, which increased energy utilization to an average of 193 MW during FY 2023 compared to 137 MW for the same period in 2022, and higher energy rates in 2023, resulting in an increase in electricity costs of $23.5 million.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$12.4 million increase in non-cash depreciation and amortization expense as the Company added new Miners and electrical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decrease in rent expense of $1.8 million, mainly due to the capitalization of the leased Washington facility which was renewed in Q4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w:t>
            </w: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 Change</w:t>
            </w:r>
          </w:p>
        </w:tc>
        <w:tc>
          <w:tcPr>
            <w:tcW w:w="9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Salaries and share-based</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(8,969)</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(24,105)</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2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(6,392)</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(2,577)</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(30,040)</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(2,283)</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(3,592)</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1,309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(7,608)</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(10,051)</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(1,591)</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(1,419)</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(172)</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(5,668)</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(9,370)</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Travel, motor vehicle and</w:t>
            </w: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(340)</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(1,018)</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meals</w:t>
            </w:r>
          </w:p>
        </w:tc>
        <w:tc>
          <w:tcPr>
            <w:tcW w:w="120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vMerge w:val="continue"/>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(1,152)</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Hosting and</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(91)</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12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(560)</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(131)</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(182)</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(491)</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(333)</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(13,405)</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(11,972)</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(1,433)</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(51,506)</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12,214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general and administrative (“G&amp;A”) expenses were $13.4 million in Q4 2023, compared to $12.0 million for Q4 2022. The increase of $1.4 million, or 12%, in G&amp;A expense was largely due to:</w:t>
      </w:r>
    </w:p>
    <w:p>
      <w:pPr>
        <w:spacing w:after="0" w:line="162" w:lineRule="exact"/>
        <w:rPr>
          <w:sz w:val="20"/>
          <w:szCs w:val="20"/>
          <w:color w:val="auto"/>
        </w:rPr>
      </w:pPr>
    </w:p>
    <w:p>
      <w:pPr>
        <w:ind w:left="340" w:right="20" w:hanging="332"/>
        <w:spacing w:after="0" w:line="282"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increase in salaries and wages due to the increase in the Company’s headcount in 2023 compared to 2022 to support the global expansion as well as merit, market-based adjustments and cost of living salary increases.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professional services mainly due to the termination payments to two executive officers whose consulting agreements were terminated and executive responsibilities transferred to other existing employees in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FY 2023, Bitfarms’ G&amp;A expenses were $39.3 million, compared to $51.5 million for the same period in 2022. The decrease of $12.2 million, or 24%, in G&amp;A expenses was mainly due to:</w:t>
      </w:r>
    </w:p>
    <w:p>
      <w:pPr>
        <w:spacing w:after="0" w:line="162"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$10.9 million decrease in non-cash share-based payment expense in connection with:</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granted in 2021 with fair values between $3.16 to $5.97 had a higher share-based payment expense in FY 2022 than FY 2023 due to the time-based vesting method, which resulted in an accelerated recognition of share-based expense in earlier periods.</w:t>
      </w:r>
    </w:p>
    <w:p>
      <w:pPr>
        <w:jc w:val="both"/>
        <w:ind w:left="980" w:hanging="324"/>
        <w:spacing w:after="0" w:line="250" w:lineRule="auto"/>
        <w:tabs>
          <w:tab w:leader="none" w:pos="980"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those 2021 stock options were fully vested or cancelled at the end of the first quarter of 2023, which resulted in accelerated share-based payment expense of $0.9 million during FY 2023. Refer to Note 27 to the Restated Financial Statements for more details. The Company only incurred the share-based payment expense for those cancelled options during the first 3 months of FY 2023, compared to the graded vesting expense in FY 2022.</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line="250"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decrease in professional fees mainly due to the termination of consulting agreements with two executive officers in the fourth quarter of 2022 and with the previous owner of the Company’s Mining facility in Washington State in the first quarter of 2023.</w:t>
      </w:r>
    </w:p>
    <w:p>
      <w:pPr>
        <w:ind w:left="340" w:right="20" w:hanging="332"/>
        <w:spacing w:after="0" w:line="250"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the Company’s insurance expense mostly due to refunds from insurers and lower premiums reflecting lower asset values, particularly Miners, due to general market conditions, partially offset by a larger number of Miners.</w:t>
      </w:r>
    </w:p>
    <w:p>
      <w:pPr>
        <w:ind w:left="340" w:hanging="332"/>
        <w:spacing w:after="0" w:line="260"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$1.8 million of shipping costs and duties in FY 2022 from transferring older generation Miners from the Company’s facilities in Canada to the Villarrica, Paraguay facility, which did not occur in FY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increase in salaries and wages as a result of hiring additional employees in FY 2023 compared to FY 2022 to support the global expansion as well as merit, market-based adjustments and cost of living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financial income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4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w:t>
            </w: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(1)</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(1)</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 Change</w:t>
            </w:r>
          </w:p>
        </w:tc>
        <w:tc>
          <w:tcPr>
            <w:tcW w:w="9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 of</w:t>
            </w:r>
          </w:p>
        </w:tc>
        <w:tc>
          <w:tcPr>
            <w:tcW w:w="11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(42,760)</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(42,974)</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3,759</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(46,519)</w:t>
            </w:r>
          </w:p>
        </w:tc>
        <w:tc>
          <w:tcPr>
            <w:tcW w:w="1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63,406</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(106,380)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vMerge w:val="continue"/>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7,317</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(6,318)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vMerge w:val="continue"/>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51,649</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(39,404)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lease</w:t>
            </w:r>
          </w:p>
        </w:tc>
        <w:tc>
          <w:tcPr>
            <w:tcW w:w="11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12,835</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12,835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530</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330</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1,420</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456</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(2,783)</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(1,061)</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(1,722)</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162%</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(7,842)</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(2,945)</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(4,897)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on credit facility and</w:t>
            </w:r>
          </w:p>
        </w:tc>
        <w:tc>
          <w:tcPr>
            <w:tcW w:w="11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(2,688)</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80" w:type="dxa"/>
            <w:vAlign w:val="bottom"/>
            <w:vMerge w:val="continue"/>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(2,854)</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2,571</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vMerge w:val="continue"/>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(12,770)</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79</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(1,391)</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(1,451)</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(2,000)</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expense (income)</w:t>
            </w:r>
          </w:p>
        </w:tc>
        <w:tc>
          <w:tcPr>
            <w:tcW w:w="11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(3,155)</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(5,903)</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VAT receivable</w:t>
            </w:r>
          </w:p>
        </w:tc>
        <w:tc>
          <w:tcPr>
            <w:tcW w:w="11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(3,334)</w:t>
            </w:r>
          </w:p>
        </w:tc>
        <w:tc>
          <w:tcPr>
            <w:tcW w:w="1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(6,750)</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financial income</w:t>
            </w: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(896)</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1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99</w:t>
            </w:r>
          </w:p>
        </w:tc>
        <w:tc>
          <w:tcPr>
            <w:tcW w:w="11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(629)</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(49,686)</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7,128</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(56,814)</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90,966</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(128,160)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net financial expenses were $49.7 million for Q4 2023, compared to net financial income of $7.1 million for Q4 2022. The $56.8 million change was primarily related to:</w:t>
      </w:r>
    </w:p>
    <w:p>
      <w:pPr>
        <w:spacing w:after="0" w:line="162" w:lineRule="exact"/>
        <w:rPr>
          <w:sz w:val="20"/>
          <w:szCs w:val="20"/>
          <w:color w:val="auto"/>
        </w:rPr>
      </w:pPr>
    </w:p>
    <w:p>
      <w:pPr>
        <w:ind w:left="340" w:hanging="332"/>
        <w:spacing w:after="0" w:line="261"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$46.5 million change in loss (gain) on revaluation of warrants due to the increase in the fair value of the warrant liabilities for the 2021 and 2023 private placements in Q4 2023 compared to the decrease of the fair value of the warrant liabilities for the 2021 private placements in Q4 2022.</w:t>
      </w:r>
    </w:p>
    <w:p>
      <w:pPr>
        <w:jc w:val="both"/>
        <w:ind w:left="340" w:hanging="332"/>
        <w:spacing w:after="0" w:line="25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$6.3 million decrease in the gain on disposition of marketable securities due to less funds being sent to Argentina in Q4 2023 compared to Q4 2022 as the capital expenditures related to the first facility were mostly paid in 2022. The Company has been utilizing a mechanism since Q3 2021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increase in provision expense on VAT receivable due to the provision recorded in Q4 2023 to reduce the Argentine VAT receivable to nil as a result of the political and economic uncertainties in Argentina.</w:t>
      </w:r>
    </w:p>
    <w:p>
      <w:pPr>
        <w:ind w:left="340" w:hanging="332"/>
        <w:spacing w:after="0" w:line="25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increase in loss on foreign exchange due to the revaluation of the Company’s net monetary assets denominated in foreign currencies following the weakening of the Argentine Pesos at the end of Q4 2023 compared to the end of Q4 2022.</w:t>
      </w: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warrant issuance costs for the 2023 private placements in Q4 2023 compared to no warrants issued in Q4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income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Q4 2023 v. Q4 2022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9" w:lineRule="exact"/>
        <w:rPr>
          <w:sz w:val="20"/>
          <w:szCs w:val="20"/>
          <w:color w:val="auto"/>
        </w:rPr>
      </w:pPr>
    </w:p>
    <w:p>
      <w:pPr>
        <w:jc w:val="both"/>
        <w:ind w:left="340" w:hanging="332"/>
        <w:spacing w:after="0" w:line="253"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decrease in interest expense due to (i) the $100 million credit facility that commenced on December 30, 2021 and was fully repaid and extinguished in December 2022, (ii) the BlockFi Loan that commenced on February 18, 2022 and was extinguished in February 2023 as described below and (iii) the NYDIG Loan that commenced on June 15, 2022. The NYDIG Loan is classified as long-term debt in the statements of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net financial expenses were $37.2 million for FY 2023, compared to net financial income of $91.0 million for FY 2022. The $128.2 million change was mainly due to:</w:t>
      </w:r>
    </w:p>
    <w:p>
      <w:pPr>
        <w:spacing w:after="0" w:line="162" w:lineRule="exact"/>
        <w:rPr>
          <w:sz w:val="20"/>
          <w:szCs w:val="20"/>
          <w:color w:val="auto"/>
        </w:rPr>
      </w:pPr>
    </w:p>
    <w:p>
      <w:pPr>
        <w:ind w:left="340" w:hanging="332"/>
        <w:spacing w:after="0" w:line="261"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$106.4 million change in loss (gain) on revaluation of warrants due to the increase in the fair value of the warrant liabilities for the 2021 and 2023 private placements in FY 2023 compared to the decrease in the fair value of the warrant liabilities for the 2021 private placements in FY 2022.</w:t>
      </w:r>
    </w:p>
    <w:p>
      <w:pPr>
        <w:jc w:val="both"/>
        <w:ind w:left="340" w:hanging="332"/>
        <w:spacing w:after="0" w:line="250"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$39.4 million decrease in gain on disposition of marketable securities due to less funds being sent to Argentina during FY 2023 compared to FY 2022. The Company utilizes a mechanism beginning in Q3 2021 in which its Argentina expansion was funded as explained in the Q4 2023 v. Q4 2022 section above.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increase in loss on foreign exchange due to the revaluation of the Company’s net monetary assets denominated in foreign currencies following the weakening of the Argentine Pesos at the end of Q4 2023 compared to the end of Q4 2022.</w:t>
      </w:r>
    </w:p>
    <w:p>
      <w:pPr>
        <w:ind w:left="340" w:hanging="332"/>
        <w:spacing w:after="0"/>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warrant issuance costs for the 2023 private placements in FY 2023 compared to no warrants issued in FY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million gain on extinguishment of long-term debt and lease liabilities during FY 2023. In February 2023:</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BlockFi and the Company negotiated a settlement of the loan in its entirety for cash consideration of $7.8 million, resulting in a gain on extinguishment of long-term debt of $12.6 million; and</w:t>
      </w:r>
    </w:p>
    <w:p>
      <w:pPr>
        <w:jc w:val="both"/>
        <w:ind w:left="980" w:hanging="324"/>
        <w:spacing w:after="0" w:line="250"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$10.1 million decrease in interest expense due to the same factors explained in the Q4 2023 v. Q4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impairment loss on short-term prepaid deposits, equipment and construction prepayments, property, plant and equipment and right-of-use assets recorded in Q4 2023 amounted to $2.3 million, compared to a net impairment reversal of $8.9 million in Q4 2022. The net impairment loss recorded in FY 2023 amounted to $12.3 million, compared to $93.1 million in FY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Argentinian government changed the importations system previously in place and imposed additional controls on imports into Argentina as a means of limiting the outflow of U.S. dollars from the country. In the first quarter of 2023, the Company was able to apply for a self-importation license based on its extended operating history in Argentina and successfully became a self-importer in Argentina to reduce the importation expenses and facilitate the importation of Miners and related equipment. Accordingly, the Company terminated all pending importation agreements with external brokers as of June 30,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$7.0 million. Accordingly, during the second quarter of 2023, the Company impaired $7.0 million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 million based on an independent appraiser’s valuation. Suni is an iron ore deposit located in Canada that was held by the acquiree. Since its acquisition, following the presence of impairment indicators, the Suni mineral asset was written down to a net book value of $3.0 million as of December 31, 2022.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cash-generating unit for impairment, resulting in a further impairment charge of $3.0 million and bringing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electrical components during the fourth quarter of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the Company de-energized its 2 MW immersion cooling pilot project in Washington State as the equipment did not perform to the Company’s expectations of performance and costs. With the de-energization of the immersion cooling pilot project, the 2 MW of hydro-electricity remains available to the Company to use in the future.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in connection with the planned disposal of the de-energized immersion cooling electrical components, Management tested those assets for impairment, resulting in an impairment charge of $1.9 million before being reclassified to assets held for sale. This impairment charge is presented in the consolidated statements of profit or loss and comprehensive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SELECTED QUARTERLY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Comparative figures have been restated and will be corrected in subsequently filed quarterly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(U.S. $ in thousands</w:t>
            </w:r>
          </w:p>
        </w:tc>
        <w:tc>
          <w:tcPr>
            <w:tcW w:w="12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except earnings per share)</w:t>
            </w:r>
          </w:p>
        </w:tc>
        <w:tc>
          <w:tcPr>
            <w:tcW w:w="12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Q3 2023</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Q2 2023</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Q1 2023</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Q4 2022</w:t>
            </w: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Q3 2022</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Q2 2022</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Q1 2022</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34,596</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35,479</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30,050</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27,037</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33,247</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41,815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40,329</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(62,045)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(16,507)</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(26,083)</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(4,287)</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(13,084)</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(82,728)</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(106,395)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26,563</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net (loss) earnings</w:t>
            </w:r>
          </w:p>
        </w:tc>
        <w:tc>
          <w:tcPr>
            <w:tcW w:w="12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(0.21)</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(0.02)</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(0.39)</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(0.52)</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194"/>
        </w:trPr>
        <w:tc>
          <w:tcPr>
            <w:tcW w:w="21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income before</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(62,423)</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(16,106)</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(26,177)</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(4,617)</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(12,893)</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(87,453)</w:t>
            </w: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(125,711)</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33,001</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 and</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91</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368</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1,354</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3,071</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3,221</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4,492</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21,767</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20,528</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20,700</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20,777</w:t>
            </w: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20,720</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17,857</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13,066</w:t>
            </w: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29"/>
                <w:szCs w:val="29"/>
                <w:b w:val="1"/>
                <w:bCs w:val="1"/>
                <w:color w:val="auto"/>
                <w:vertAlign w:val="superscript"/>
              </w:rPr>
              <w:t>(1)</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(40,542)</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6,029</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(4,803)</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17,437</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10,955</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(63,512)</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(103,362)</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49,048</w:t>
            </w:r>
          </w:p>
        </w:tc>
        <w:tc>
          <w:tcPr>
            <w:tcW w:w="0" w:type="dxa"/>
            <w:vAlign w:val="bottom"/>
          </w:tcPr>
          <w:p>
            <w:pPr>
              <w:spacing w:after="0"/>
              <w:rPr>
                <w:sz w:val="1"/>
                <w:szCs w:val="1"/>
                <w:color w:val="auto"/>
              </w:rPr>
            </w:pPr>
          </w:p>
        </w:tc>
      </w:tr>
      <w:tr>
        <w:trPr>
          <w:trHeight w:val="263"/>
        </w:trPr>
        <w:tc>
          <w:tcPr>
            <w:tcW w:w="212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(88)%</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(191)%</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3,906</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2,462</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2,536</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3,795</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3,961</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7,927</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loss on</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disposition of digital assets</w:t>
            </w:r>
          </w:p>
        </w:tc>
        <w:tc>
          <w:tcPr>
            <w:tcW w:w="1200" w:type="dxa"/>
            <w:vAlign w:val="bottom"/>
            <w:vMerge w:val="continue"/>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28,567</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44,329</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77,880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w:t>
            </w:r>
          </w:p>
        </w:tc>
        <w:tc>
          <w:tcPr>
            <w:tcW w:w="12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(1,183)</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digital assets</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1,183</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(2,695)</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(23,284)</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(45,655)</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70,475</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and lease</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vMerge w:val="continue"/>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(12,835)</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prepaid</w:t>
            </w: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equipment and</w:t>
            </w: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prepayments,</w:t>
            </w: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w:t>
            </w: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right-of-</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2,270</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assets</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9,982</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(8,903)</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84,116</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17,900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42,760</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warrants</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(2,196)</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1,189</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1,221</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(3,759)</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(2,080)</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(35,523)</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(22,044)</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(999)</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0" w:type="dxa"/>
            <w:vAlign w:val="bottom"/>
            <w:vMerge w:val="continue"/>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(4,120)</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(4,955)</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(2,171)</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(7,317)</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(13,690)</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(19,705)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 expenses</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7,836</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and other</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3,812</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3,920</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3,030</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1,928</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2,974</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4,304</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57"/>
        </w:trPr>
        <w:tc>
          <w:tcPr>
            <w:tcW w:w="21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9"/>
                <w:szCs w:val="29"/>
                <w:b w:val="1"/>
                <w:bCs w:val="1"/>
                <w:color w:val="auto"/>
                <w:vertAlign w:val="superscript"/>
              </w:rPr>
              <w:t>(1)</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14,048</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6,719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7,795</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6,523</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1,982</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10,443</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19,896</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22,365</w:t>
            </w: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120" w:type="dxa"/>
            <w:vAlign w:val="bottom"/>
            <w:tcBorders>
              <w:bottom w:val="single" w:sz="8" w:color="auto"/>
            </w:tcBorders>
            <w:shd w:val="clear" w:color="auto" w:fill="CCEEFF"/>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 xml:space="preserve">margin </w:t>
            </w:r>
            <w:r>
              <w:rPr>
                <w:rFonts w:ascii="Times New Roman" w:cs="Times New Roman" w:eastAsia="Times New Roman" w:hAnsi="Times New Roman"/>
                <w:sz w:val="29"/>
                <w:szCs w:val="29"/>
                <w:b w:val="1"/>
                <w:bCs w:val="1"/>
                <w:color w:val="auto"/>
                <w:vertAlign w:val="superscript"/>
              </w:rPr>
              <w:t>(1)</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was in Quebec, where power was sourced directly from Hydro-Quebec, Hydro-Magog, Hydro-Sherbrooke and the City of Baie-Comeau. The Company also had operations in Washington State that were powered by the Grant County Power Utility District as well as operations in Paraguay that were powered by Compañía de Luz y Fuerza S.A (“CLYFSA”). In Q3 2022, the Company began operations in Argentina. The production facility in Argentina was temporarily connected to the power grid until the private power producer obtained the requisite permits to provide power directly to the Company in April 2023. Energy rates in Argentina increase during winter months of May through September, after which they return to their regular rates.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Q4 2023 details, refer to Section 8A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11A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7</w:t>
      </w:r>
    </w:p>
    <w:p>
      <w:pPr>
        <w:spacing w:after="0" w:line="29" w:lineRule="exact"/>
        <w:rPr>
          <w:sz w:val="20"/>
          <w:szCs w:val="20"/>
          <w:color w:val="auto"/>
        </w:rPr>
      </w:pPr>
    </w:p>
    <w:p>
      <w:pPr>
        <w:ind w:left="120" w:hanging="112"/>
        <w:spacing w:after="0"/>
        <w:tabs>
          <w:tab w:leader="none" w:pos="1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Washington Expansion, Paraguay Expansion, Argentina Expansion and Baie-Comeau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5" w:lineRule="exact"/>
        <w:rPr>
          <w:sz w:val="20"/>
          <w:szCs w:val="20"/>
          <w:color w:val="auto"/>
        </w:rPr>
      </w:pPr>
    </w:p>
    <w:p>
      <w:pPr>
        <w:ind w:left="380" w:right="60" w:hanging="372"/>
        <w:spacing w:after="0" w:line="196" w:lineRule="auto"/>
        <w:tabs>
          <w:tab w:leader="none" w:pos="380" w:val="left"/>
        </w:tabs>
        <w:numPr>
          <w:ilvl w:val="0"/>
          <w:numId w:val="1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488"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700" w:firstLine="8"/>
        <w:spacing w:after="0" w:line="503" w:lineRule="auto"/>
        <w:tabs>
          <w:tab w:leader="none" w:pos="27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4"/>
        </w:trPr>
        <w:tc>
          <w:tcPr>
            <w:tcW w:w="1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0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58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 and</w:t>
            </w:r>
          </w:p>
        </w:tc>
      </w:tr>
      <w:tr>
        <w:trPr>
          <w:trHeight w:val="220"/>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360" w:type="dxa"/>
            <w:vAlign w:val="bottom"/>
          </w:tcPr>
          <w:p>
            <w:pPr>
              <w:spacing w:after="0"/>
              <w:rPr>
                <w:sz w:val="19"/>
                <w:szCs w:val="19"/>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infrastructure costs. Power costs are the largest variable expense in</w:t>
            </w:r>
          </w:p>
        </w:tc>
      </w:tr>
      <w:tr>
        <w:trPr>
          <w:trHeight w:val="216"/>
        </w:trPr>
        <w:tc>
          <w:tcPr>
            <w:tcW w:w="13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electrical  components  and  other</w:t>
            </w:r>
          </w:p>
        </w:tc>
        <w:tc>
          <w:tcPr>
            <w:tcW w:w="36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and (iv) electrician salaries and payroll</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the users of the MD&amp;A the ability to assess the gross</w:t>
            </w:r>
          </w:p>
        </w:tc>
      </w:tr>
      <w:tr>
        <w:trPr>
          <w:trHeight w:val="234"/>
        </w:trPr>
        <w:tc>
          <w:tcPr>
            <w:tcW w:w="13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5" w:lineRule="exact"/>
        <w:rPr>
          <w:sz w:val="20"/>
          <w:szCs w:val="20"/>
          <w:color w:val="auto"/>
        </w:rPr>
      </w:pPr>
    </w:p>
    <w:p>
      <w:pPr>
        <w:jc w:val="both"/>
        <w:ind w:left="1520" w:hanging="1459"/>
        <w:spacing w:after="0" w:line="266"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Net income (loss) adjusted to exclude: (i) interest expense; (ii) income tax expense; and (iii) depreciation and amortization.</w:t>
      </w:r>
    </w:p>
    <w:p>
      <w:pPr>
        <w:spacing w:after="0" w:line="20" w:lineRule="exact"/>
        <w:rPr>
          <w:sz w:val="20"/>
          <w:szCs w:val="20"/>
          <w:color w:val="auto"/>
        </w:rPr>
      </w:pPr>
      <w:r>
        <w:rPr>
          <w:sz w:val="20"/>
          <w:szCs w:val="20"/>
          <w:color w:val="auto"/>
        </w:rPr>
        <w:br w:type="column"/>
      </w:r>
    </w:p>
    <w:p>
      <w:pPr>
        <w:jc w:val="both"/>
        <w:ind w:left="323" w:right="60" w:hanging="323"/>
        <w:spacing w:after="0" w:line="257" w:lineRule="auto"/>
        <w:tabs>
          <w:tab w:leader="none" w:pos="38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23" w:right="60" w:hanging="323"/>
        <w:spacing w:after="0" w:line="250" w:lineRule="auto"/>
        <w:tabs>
          <w:tab w:leader="none" w:pos="34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with additional information to assist them in understanding components of its financial results, including a more complete understanding of factors and trends affecting the Company’s performance.</w:t>
      </w:r>
    </w:p>
    <w:p>
      <w:pPr>
        <w:spacing w:after="0" w:line="1" w:lineRule="exact"/>
        <w:rPr>
          <w:rFonts w:ascii="Times New Roman" w:cs="Times New Roman" w:eastAsia="Times New Roman" w:hAnsi="Times New Roman"/>
          <w:sz w:val="18"/>
          <w:szCs w:val="18"/>
          <w:color w:val="auto"/>
        </w:rPr>
      </w:pPr>
    </w:p>
    <w:p>
      <w:pPr>
        <w:jc w:val="both"/>
        <w:ind w:left="323" w:right="40" w:hanging="323"/>
        <w:spacing w:after="0" w:line="255" w:lineRule="auto"/>
        <w:tabs>
          <w:tab w:leader="none" w:pos="3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300" w:type="dxa"/>
            <w:vAlign w:val="bottom"/>
            <w:tcBorders>
              <w:top w:val="single" w:sz="8" w:color="auto"/>
            </w:tcBorders>
          </w:tcPr>
          <w:p>
            <w:pPr>
              <w:ind w:left="380"/>
              <w:spacing w:after="0" w:line="189" w:lineRule="exact"/>
              <w:rPr>
                <w:sz w:val="20"/>
                <w:szCs w:val="20"/>
                <w:color w:val="auto"/>
              </w:rPr>
            </w:pPr>
            <w:r>
              <w:rPr>
                <w:rFonts w:ascii="Times New Roman" w:cs="Times New Roman" w:eastAsia="Times New Roman" w:hAnsi="Times New Roman"/>
                <w:sz w:val="18"/>
                <w:szCs w:val="18"/>
                <w:color w:val="auto"/>
              </w:rPr>
              <w:t>EBITDA  adjusted  to  exclude:  (i)  share-based</w:t>
            </w:r>
          </w:p>
        </w:tc>
        <w:tc>
          <w:tcPr>
            <w:tcW w:w="3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Borders>
              <w:top w:val="single" w:sz="8" w:color="auto"/>
            </w:tcBorders>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To assess profitability before the impact of all of the items in calculating</w:t>
            </w:r>
          </w:p>
        </w:tc>
      </w:tr>
      <w:tr>
        <w:trPr>
          <w:trHeight w:val="220"/>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(ii) non-cash finance expenses; (iii) asset</w:t>
            </w:r>
          </w:p>
        </w:tc>
        <w:tc>
          <w:tcPr>
            <w:tcW w:w="320" w:type="dxa"/>
            <w:vAlign w:val="bottom"/>
          </w:tcPr>
          <w:p>
            <w:pPr>
              <w:spacing w:after="0"/>
              <w:rPr>
                <w:sz w:val="19"/>
                <w:szCs w:val="19"/>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charges; (iv) realized gains or losses on</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 provide the users of the MD&amp;A a consistent comparable metric for</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  of  digital  assets  and  (reversal  of)</w:t>
            </w:r>
          </w:p>
        </w:tc>
        <w:tc>
          <w:tcPr>
            <w:tcW w:w="32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profitability of the Company’s core performance across time periods.</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revaluation  loss  on  digital  assets;  (v)  gain  on</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 performance</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 of marketable securities, gains or losses</w:t>
            </w:r>
          </w:p>
        </w:tc>
        <w:tc>
          <w:tcPr>
            <w:tcW w:w="32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derivative  assets  and  liabilities  and  discount</w:t>
            </w:r>
          </w:p>
        </w:tc>
        <w:tc>
          <w:tcPr>
            <w:tcW w:w="32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forecasts.</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 on  VAT receivable;  (vi)  loss  (gain)  on</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revaluation of warrants and warrant issuance costs;</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(vii) loss on currency exchange; and (viii) other non-</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recurring  items  that  do  not  reflect  the  core</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1"/>
        </w:trPr>
        <w:tc>
          <w:tcPr>
            <w:tcW w:w="11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32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right w:val="single" w:sz="8" w:color="auto"/>
            </w:tcBorders>
          </w:tcPr>
          <w:p>
            <w:pPr>
              <w:ind w:left="480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1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8"/>
        </w:trPr>
        <w:tc>
          <w:tcPr>
            <w:tcW w:w="12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1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Cost  of  revenues  adjusted  to  exclude:  (i)</w:t>
            </w:r>
          </w:p>
        </w:tc>
        <w:tc>
          <w:tcPr>
            <w:tcW w:w="3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To assess the Company’s power costs, the largest variable expense in</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  (ii)  purchases  of</w:t>
            </w:r>
          </w:p>
        </w:tc>
        <w:tc>
          <w:tcPr>
            <w:tcW w:w="36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electrical components; (iii) electrician salaries and</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payroll taxes; (iv) infrastructure; and (v) other direct</w:t>
            </w:r>
          </w:p>
        </w:tc>
        <w:tc>
          <w:tcPr>
            <w:tcW w:w="360" w:type="dxa"/>
            <w:vAlign w:val="bottom"/>
          </w:tcPr>
          <w:p>
            <w:pPr>
              <w:spacing w:after="0"/>
              <w:rPr>
                <w:sz w:val="18"/>
                <w:szCs w:val="18"/>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 time</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2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5" w:lineRule="exact"/>
        <w:rPr>
          <w:sz w:val="20"/>
          <w:szCs w:val="20"/>
          <w:color w:val="auto"/>
        </w:rPr>
      </w:pPr>
    </w:p>
    <w:p>
      <w:pPr>
        <w:jc w:val="both"/>
        <w:ind w:left="1520" w:hanging="1471"/>
        <w:spacing w:after="0" w:line="256"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Total Cash Cost</w:t>
      </w:r>
      <w:r>
        <w:rPr>
          <w:sz w:val="20"/>
          <w:szCs w:val="20"/>
          <w:color w:val="auto"/>
        </w:rPr>
        <w:tab/>
      </w:r>
      <w:r>
        <w:rPr>
          <w:rFonts w:ascii="Times New Roman" w:cs="Times New Roman" w:eastAsia="Times New Roman" w:hAnsi="Times New Roman"/>
          <w:sz w:val="18"/>
          <w:szCs w:val="18"/>
          <w:color w:val="auto"/>
        </w:rPr>
        <w:t>Net (income) loss before income taxes before: (i) revenues; (ii) depreciation and amortization; (iii) purchases of electrical components; (iv) electrician salaries and payroll taxes; (v) share-based payment;</w:t>
      </w:r>
    </w:p>
    <w:p>
      <w:pPr>
        <w:spacing w:after="0" w:line="3" w:lineRule="exact"/>
        <w:rPr>
          <w:sz w:val="20"/>
          <w:szCs w:val="20"/>
          <w:color w:val="auto"/>
        </w:rPr>
      </w:pPr>
    </w:p>
    <w:p>
      <w:pPr>
        <w:jc w:val="both"/>
        <w:ind w:left="1520" w:firstLine="7"/>
        <w:spacing w:after="0" w:line="252" w:lineRule="auto"/>
        <w:tabs>
          <w:tab w:leader="none" w:pos="183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or losses on disposition of digital assets; (vii) (reversal of) revaluation loss on digital assets; (viii) asset impairment charges; (ix) net financial income; (x) other direct expenses; and (xi) other non-recurring items that do not reflect the core performance of the Company.</w:t>
      </w:r>
    </w:p>
    <w:p>
      <w:pPr>
        <w:spacing w:after="0" w:line="20" w:lineRule="exact"/>
        <w:rPr>
          <w:sz w:val="20"/>
          <w:szCs w:val="20"/>
          <w:color w:val="auto"/>
        </w:rPr>
      </w:pPr>
      <w:r>
        <w:rPr>
          <w:sz w:val="20"/>
          <w:szCs w:val="20"/>
          <w:color w:val="auto"/>
        </w:rPr>
        <w:br w:type="column"/>
      </w:r>
    </w:p>
    <w:p>
      <w:pPr>
        <w:ind w:left="323" w:right="40" w:hanging="323"/>
        <w:spacing w:after="0" w:line="261" w:lineRule="auto"/>
        <w:tabs>
          <w:tab w:leader="none" w:pos="34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ind w:left="323" w:right="60" w:hanging="323"/>
        <w:spacing w:after="0" w:line="250" w:lineRule="auto"/>
        <w:tabs>
          <w:tab w:leader="none" w:pos="29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ind w:left="323" w:right="60" w:hanging="323"/>
        <w:spacing w:after="0" w:line="260" w:lineRule="auto"/>
        <w:tabs>
          <w:tab w:leader="none" w:pos="31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538480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829945</wp:posOffset>
            </wp:positionV>
            <wp:extent cx="713232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55"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spacing w:after="0" w:line="287"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35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63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4"/>
        </w:trPr>
        <w:tc>
          <w:tcPr>
            <w:tcW w:w="1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3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The  percentage  obtained  when  dividing</w:t>
            </w:r>
          </w:p>
        </w:tc>
        <w:tc>
          <w:tcPr>
            <w:tcW w:w="63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Gross  ●  To assess profitability after power costs in cryptocurrency production, the</w:t>
            </w:r>
          </w:p>
        </w:tc>
      </w:tr>
      <w:tr>
        <w:trPr>
          <w:trHeight w:val="220"/>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Mining profit by Mining related revenues.</w:t>
            </w: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largest variable expense in Mining.</w:t>
            </w:r>
          </w:p>
        </w:tc>
      </w:tr>
      <w:tr>
        <w:trPr>
          <w:trHeight w:val="216"/>
        </w:trPr>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 of</w:t>
            </w:r>
          </w:p>
        </w:tc>
      </w:tr>
      <w:tr>
        <w:trPr>
          <w:trHeight w:val="216"/>
        </w:trPr>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Company’s  core  digital  asset  Mining  operations,  exclusive  of</w:t>
            </w:r>
          </w:p>
        </w:tc>
      </w:tr>
      <w:tr>
        <w:trPr>
          <w:trHeight w:val="216"/>
        </w:trPr>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5" w:lineRule="exact"/>
        <w:rPr>
          <w:sz w:val="20"/>
          <w:szCs w:val="20"/>
          <w:color w:val="auto"/>
        </w:rPr>
      </w:pPr>
    </w:p>
    <w:p>
      <w:pPr>
        <w:ind w:left="1520" w:hanging="1471"/>
        <w:spacing w:after="0" w:line="282"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EBITDA margin</w:t>
      </w:r>
      <w:r>
        <w:rPr>
          <w:sz w:val="20"/>
          <w:szCs w:val="20"/>
          <w:color w:val="auto"/>
        </w:rPr>
        <w:tab/>
      </w:r>
      <w:r>
        <w:rPr>
          <w:rFonts w:ascii="Times New Roman" w:cs="Times New Roman" w:eastAsia="Times New Roman" w:hAnsi="Times New Roman"/>
          <w:sz w:val="18"/>
          <w:szCs w:val="18"/>
          <w:color w:val="auto"/>
        </w:rPr>
        <w:t>The percentage obtained when dividing EBITDA by Revenues.</w:t>
      </w:r>
    </w:p>
    <w:p>
      <w:pPr>
        <w:spacing w:after="0" w:line="20" w:lineRule="exact"/>
        <w:rPr>
          <w:sz w:val="20"/>
          <w:szCs w:val="20"/>
          <w:color w:val="auto"/>
        </w:rPr>
      </w:pPr>
      <w:r>
        <w:rPr>
          <w:sz w:val="20"/>
          <w:szCs w:val="20"/>
          <w:color w:val="auto"/>
        </w:rPr>
        <w:br w:type="column"/>
      </w:r>
    </w:p>
    <w:p>
      <w:pPr>
        <w:jc w:val="both"/>
        <w:ind w:left="323" w:right="60" w:hanging="323"/>
        <w:spacing w:after="0" w:line="257" w:lineRule="auto"/>
        <w:tabs>
          <w:tab w:leader="none" w:pos="35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23" w:right="40" w:hanging="323"/>
        <w:spacing w:after="0" w:line="250" w:lineRule="auto"/>
        <w:tabs>
          <w:tab w:leader="none" w:pos="32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rFonts w:ascii="Times New Roman" w:cs="Times New Roman" w:eastAsia="Times New Roman" w:hAnsi="Times New Roman"/>
          <w:sz w:val="18"/>
          <w:szCs w:val="18"/>
          <w:color w:val="auto"/>
        </w:rPr>
      </w:pPr>
    </w:p>
    <w:p>
      <w:pPr>
        <w:jc w:val="both"/>
        <w:ind w:left="323" w:right="60" w:hanging="323"/>
        <w:spacing w:after="0" w:line="251" w:lineRule="auto"/>
        <w:tabs>
          <w:tab w:leader="none" w:pos="3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for providing users of the MD&amp;A with additional information to assist them in understanding components of its financial results, including a more complete understanding of factors and trends affecting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-635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ind w:lef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w:t>
      </w:r>
      <w:r>
        <w:rPr>
          <w:rFonts w:ascii="Times New Roman" w:cs="Times New Roman" w:eastAsia="Times New Roman" w:hAnsi="Times New Roman"/>
          <w:sz w:val="18"/>
          <w:szCs w:val="18"/>
          <w:color w:val="auto"/>
        </w:rPr>
        <w:t>The percentage obtained when dividing Adjusted</w:t>
      </w:r>
      <w:r>
        <w:rPr>
          <w:rFonts w:ascii="Times New Roman" w:cs="Times New Roman" w:eastAsia="Times New Roman" w:hAnsi="Times New Roman"/>
          <w:sz w:val="18"/>
          <w:szCs w:val="18"/>
          <w:b w:val="1"/>
          <w:bCs w:val="1"/>
          <w:color w:val="auto"/>
        </w:rPr>
        <w:t xml:space="preserve"> EBITDA margin </w:t>
      </w:r>
      <w:r>
        <w:rPr>
          <w:rFonts w:ascii="Times New Roman" w:cs="Times New Roman" w:eastAsia="Times New Roman" w:hAnsi="Times New Roman"/>
          <w:sz w:val="18"/>
          <w:szCs w:val="18"/>
          <w:color w:val="auto"/>
        </w:rPr>
        <w:t>EBITDA by Revenues.</w:t>
      </w:r>
    </w:p>
    <w:p>
      <w:pPr>
        <w:spacing w:after="0" w:line="20" w:lineRule="exact"/>
        <w:rPr>
          <w:sz w:val="20"/>
          <w:szCs w:val="20"/>
          <w:color w:val="auto"/>
        </w:rPr>
      </w:pPr>
      <w:r>
        <w:rPr>
          <w:sz w:val="20"/>
          <w:szCs w:val="20"/>
          <w:color w:val="auto"/>
        </w:rPr>
        <w:br w:type="column"/>
      </w:r>
    </w:p>
    <w:p>
      <w:pPr>
        <w:ind w:left="323" w:right="60" w:hanging="323"/>
        <w:spacing w:after="0" w:line="261" w:lineRule="auto"/>
        <w:tabs>
          <w:tab w:leader="none" w:pos="33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all of the items in calculating EBITDA in addition to certain other non-cash expenses.</w:t>
      </w:r>
    </w:p>
    <w:p>
      <w:pPr>
        <w:ind w:left="323" w:right="60" w:hanging="323"/>
        <w:spacing w:after="0" w:line="250" w:lineRule="auto"/>
        <w:tabs>
          <w:tab w:leader="none" w:pos="52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consistent comparable metric for profitability of the Company’s core performance across time periods.</w:t>
      </w:r>
    </w:p>
    <w:p>
      <w:pPr>
        <w:jc w:val="both"/>
        <w:ind w:left="323" w:right="40" w:hanging="323"/>
        <w:spacing w:after="0" w:line="255" w:lineRule="auto"/>
        <w:tabs>
          <w:tab w:leader="none" w:pos="32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283845</wp:posOffset>
            </wp:positionV>
            <wp:extent cx="713232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spacing w:after="0" w:line="283"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0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4"/>
        </w:trPr>
        <w:tc>
          <w:tcPr>
            <w:tcW w:w="13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Direct Cost per</w:t>
            </w:r>
          </w:p>
        </w:tc>
        <w:tc>
          <w:tcPr>
            <w:tcW w:w="40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amount obtained when dividing Direct Cost by</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To assess the Company’s power costs, the largest variable expense in</w:t>
            </w:r>
          </w:p>
        </w:tc>
      </w:tr>
      <w:tr>
        <w:trPr>
          <w:trHeight w:val="238"/>
        </w:trPr>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BTC</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quantity of BTC earned.</w:t>
            </w:r>
          </w:p>
        </w:tc>
        <w:tc>
          <w:tcPr>
            <w:tcW w:w="36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bl>
    <w:p>
      <w:pPr>
        <w:jc w:val="both"/>
        <w:ind w:left="5860" w:right="60" w:hanging="323"/>
        <w:spacing w:after="0" w:line="250" w:lineRule="auto"/>
        <w:tabs>
          <w:tab w:leader="none" w:pos="5840" w:val="left"/>
        </w:tabs>
        <w:rPr>
          <w:sz w:val="20"/>
          <w:szCs w:val="20"/>
          <w:color w:val="auto"/>
        </w:rPr>
      </w:pPr>
      <w:r>
        <w:rPr>
          <w:rFonts w:ascii="Times New Roman" w:cs="Times New Roman" w:eastAsia="Times New Roman" w:hAnsi="Times New Roman"/>
          <w:sz w:val="18"/>
          <w:szCs w:val="18"/>
          <w:color w:val="auto"/>
        </w:rPr>
        <w:t>●</w:t>
        <w:tab/>
        <w:t>To provide the users of the MD&amp;A a metric to evaluate the Company’s direct variable cost for its core digital asset Mining operations across time periods.</w:t>
      </w:r>
    </w:p>
    <w:p>
      <w:pPr>
        <w:spacing w:after="0" w:line="1" w:lineRule="exact"/>
        <w:rPr>
          <w:sz w:val="20"/>
          <w:szCs w:val="20"/>
          <w:color w:val="auto"/>
        </w:rPr>
      </w:pPr>
    </w:p>
    <w:p>
      <w:pPr>
        <w:jc w:val="both"/>
        <w:ind w:left="5840" w:right="60" w:hanging="323"/>
        <w:spacing w:after="0" w:line="253" w:lineRule="auto"/>
        <w:tabs>
          <w:tab w:leader="none" w:pos="5820" w:val="left"/>
        </w:tabs>
        <w:rPr>
          <w:sz w:val="20"/>
          <w:szCs w:val="20"/>
          <w:color w:val="auto"/>
        </w:rPr>
      </w:pPr>
      <w:r>
        <w:rPr>
          <w:rFonts w:ascii="Times New Roman" w:cs="Times New Roman" w:eastAsia="Times New Roman" w:hAnsi="Times New Roman"/>
          <w:sz w:val="18"/>
          <w:szCs w:val="18"/>
          <w:color w:val="auto"/>
        </w:rPr>
        <w:t>●</w:t>
        <w:tab/>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ind w:left="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Total Cash Cost</w:t>
      </w:r>
      <w:r>
        <w:rPr>
          <w:sz w:val="20"/>
          <w:szCs w:val="20"/>
          <w:color w:val="auto"/>
        </w:rPr>
        <w:tab/>
      </w:r>
      <w:r>
        <w:rPr>
          <w:rFonts w:ascii="Times New Roman" w:cs="Times New Roman" w:eastAsia="Times New Roman" w:hAnsi="Times New Roman"/>
          <w:sz w:val="18"/>
          <w:szCs w:val="18"/>
          <w:color w:val="auto"/>
        </w:rPr>
        <w:t>The amount obtained when dividing Total Cash cost</w:t>
      </w:r>
    </w:p>
    <w:p>
      <w:pPr>
        <w:spacing w:after="0" w:line="31" w:lineRule="exact"/>
        <w:rPr>
          <w:sz w:val="20"/>
          <w:szCs w:val="20"/>
          <w:color w:val="auto"/>
        </w:rPr>
      </w:pPr>
    </w:p>
    <w:p>
      <w:pPr>
        <w:ind w:left="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per BTC</w:t>
      </w:r>
      <w:r>
        <w:rPr>
          <w:sz w:val="20"/>
          <w:szCs w:val="20"/>
          <w:color w:val="auto"/>
        </w:rPr>
        <w:tab/>
      </w:r>
      <w:r>
        <w:rPr>
          <w:rFonts w:ascii="Times New Roman" w:cs="Times New Roman" w:eastAsia="Times New Roman" w:hAnsi="Times New Roman"/>
          <w:sz w:val="17"/>
          <w:szCs w:val="17"/>
          <w:color w:val="auto"/>
        </w:rPr>
        <w:t>by the quantity of BTC earned.</w:t>
      </w:r>
    </w:p>
    <w:p>
      <w:pPr>
        <w:spacing w:after="0" w:line="20" w:lineRule="exact"/>
        <w:rPr>
          <w:sz w:val="20"/>
          <w:szCs w:val="20"/>
          <w:color w:val="auto"/>
        </w:rPr>
      </w:pPr>
      <w:r>
        <w:rPr>
          <w:sz w:val="20"/>
          <w:szCs w:val="20"/>
          <w:color w:val="auto"/>
        </w:rPr>
        <w:br w:type="column"/>
      </w:r>
    </w:p>
    <w:p>
      <w:pPr>
        <w:ind w:left="323" w:right="40" w:hanging="323"/>
        <w:spacing w:after="0" w:line="261" w:lineRule="auto"/>
        <w:tabs>
          <w:tab w:leader="none" w:pos="34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ind w:left="323" w:right="60" w:hanging="323"/>
        <w:spacing w:after="0" w:line="250" w:lineRule="auto"/>
        <w:tabs>
          <w:tab w:leader="none" w:pos="29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ind w:left="323" w:right="60" w:hanging="323"/>
        <w:spacing w:after="0" w:line="260" w:lineRule="auto"/>
        <w:tabs>
          <w:tab w:leader="none" w:pos="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-9525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 w:type="dxa"/>
            <w:vAlign w:val="bottom"/>
          </w:tcPr>
          <w:p>
            <w:pPr>
              <w:spacing w:after="0"/>
              <w:rPr>
                <w:sz w:val="21"/>
                <w:szCs w:val="21"/>
                <w:color w:val="auto"/>
              </w:rPr>
            </w:pPr>
          </w:p>
        </w:tc>
      </w:tr>
      <w:tr>
        <w:trPr>
          <w:trHeight w:val="198"/>
        </w:trPr>
        <w:tc>
          <w:tcPr>
            <w:tcW w:w="13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4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The percentage obtained when dividing Gross profit</w:t>
            </w:r>
          </w:p>
        </w:tc>
        <w:tc>
          <w:tcPr>
            <w:tcW w:w="58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c>
          <w:tcPr>
            <w:tcW w:w="20" w:type="dxa"/>
            <w:vAlign w:val="bottom"/>
          </w:tcPr>
          <w:p>
            <w:pPr>
              <w:spacing w:after="0"/>
              <w:rPr>
                <w:sz w:val="17"/>
                <w:szCs w:val="17"/>
                <w:color w:val="auto"/>
              </w:rPr>
            </w:pPr>
          </w:p>
        </w:tc>
      </w:tr>
      <w:tr>
        <w:trPr>
          <w:trHeight w:val="241"/>
        </w:trPr>
        <w:tc>
          <w:tcPr>
            <w:tcW w:w="13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by Revenues.</w:t>
            </w:r>
          </w:p>
        </w:tc>
        <w:tc>
          <w:tcPr>
            <w:tcW w:w="5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1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0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The percentage obtained when dividing Operating</w:t>
            </w:r>
          </w:p>
        </w:tc>
        <w:tc>
          <w:tcPr>
            <w:tcW w:w="584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c>
          <w:tcPr>
            <w:tcW w:w="20" w:type="dxa"/>
            <w:vAlign w:val="bottom"/>
          </w:tcPr>
          <w:p>
            <w:pPr>
              <w:spacing w:after="0"/>
              <w:rPr>
                <w:sz w:val="16"/>
                <w:szCs w:val="16"/>
                <w:color w:val="auto"/>
              </w:rPr>
            </w:pPr>
          </w:p>
        </w:tc>
      </w:tr>
      <w:tr>
        <w:trPr>
          <w:trHeight w:val="245"/>
        </w:trPr>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income (loss) by Revenues.</w:t>
            </w:r>
          </w:p>
        </w:tc>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439"/>
        </w:trPr>
        <w:tc>
          <w:tcPr>
            <w:tcW w:w="13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5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Page</w:t>
            </w:r>
          </w:p>
        </w:tc>
      </w:tr>
    </w:tbl>
    <w:p>
      <w:pPr>
        <w:sectPr>
          <w:pgSz w:w="11900" w:h="16838" w:orient="portrait"/>
          <w:cols w:equalWidth="0" w:num="1">
            <w:col w:w="11240"/>
          </w:cols>
          <w:pgMar w:left="320" w:top="266"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500" w:hanging="492"/>
        <w:spacing w:after="0"/>
        <w:tabs>
          <w:tab w:leader="none" w:pos="50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2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(1)</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(1)</w:t>
            </w: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2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27,037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19,204</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142,428</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(62,423)</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(12,893)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384%</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(109,323)</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(193,056)</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83,733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income</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91</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3,071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2,659</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13,765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20,777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72,420</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(40,542)</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10,955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(51,497)</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(21,879)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(106,871)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3,906</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3,795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21,788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loss on disposition of</w:t>
            </w:r>
          </w:p>
        </w:tc>
        <w:tc>
          <w:tcPr>
            <w:tcW w:w="124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28,567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150,810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short-</w:t>
            </w: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term prepaid deposits, equipment</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and construction prepayments,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and</w:t>
            </w:r>
          </w:p>
        </w:tc>
        <w:tc>
          <w:tcPr>
            <w:tcW w:w="12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2,270</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4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(8,903)</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11,173</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vMerge w:val="continue"/>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75,213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w:t>
            </w:r>
          </w:p>
        </w:tc>
        <w:tc>
          <w:tcPr>
            <w:tcW w:w="12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(1,183)</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(2,695)</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(23,284)</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22,101</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17,900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w:t>
            </w:r>
          </w:p>
        </w:tc>
        <w:tc>
          <w:tcPr>
            <w:tcW w:w="124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(12,835)</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debt and lease liabilities</w:t>
            </w:r>
          </w:p>
        </w:tc>
        <w:tc>
          <w:tcPr>
            <w:tcW w:w="12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 of</w:t>
            </w:r>
          </w:p>
        </w:tc>
        <w:tc>
          <w:tcPr>
            <w:tcW w:w="12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42,760</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42,974</w:t>
            </w: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46,519</w:t>
            </w:r>
          </w:p>
        </w:tc>
        <w:tc>
          <w:tcPr>
            <w:tcW w:w="11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(63,406)</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marketable</w:t>
            </w:r>
          </w:p>
        </w:tc>
        <w:tc>
          <w:tcPr>
            <w:tcW w:w="12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(999)</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2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(7,317)</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6,318</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(51,649)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39,404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7,836</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1,928</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5,908</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18,598</w:t>
            </w: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13,067</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14,048</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12,066</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35,085</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54,686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9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0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 Change  % Change</w:t>
            </w:r>
          </w:p>
        </w:tc>
        <w:tc>
          <w:tcPr>
            <w:tcW w:w="10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1,757</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(12,084)</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13,841</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115%</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10,518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(1,285)</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(1,101)</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(184)</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(5,060)</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(3,443)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20,777</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1,013</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72,420</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Purchases of electrical components and</w:t>
            </w: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754</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2,590</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vMerge w:val="continue"/>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510</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244</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1,773</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341</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392</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1,561</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1,316</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23,357</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8,494</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14,863</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62,374</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82,584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6"/>
              </w:rPr>
              <w:t>% Change</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19,204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142,428</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Mining related revenues for the purpose</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of calculating gross Mining margin:</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(44,956)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(141,306)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5,060</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3,443</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2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44,484</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39,121</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131,910</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35,958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(2,580)</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(1,561)</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(1,607)</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(3,909)</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(4,871)</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19,996</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15,757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4,239</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75,115</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51,462</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23,653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1,236</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4,928</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5,167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16,200</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11,000</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5,200</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15,200</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94"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00" w:type="dxa"/>
            <w:vAlign w:val="bottom"/>
            <w:tcBorders>
              <w:bottom w:val="single" w:sz="8" w:color="auto"/>
            </w:tcBorders>
          </w:tcPr>
          <w:p>
            <w:pPr>
              <w:jc w:val="right"/>
              <w:ind w:right="13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(1)</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920" w:type="dxa"/>
            <w:vAlign w:val="bottom"/>
            <w:tcBorders>
              <w:bottom w:val="single" w:sz="8" w:color="auto"/>
            </w:tcBorders>
          </w:tcPr>
          <w:p>
            <w:pPr>
              <w:jc w:val="right"/>
              <w:ind w:right="9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(1)</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62,423</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12,893</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49,530</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384%</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109,323</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193,056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27,037</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19,204</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142,428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3,938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(20,777)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(750)</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(1,561)</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(3,906)</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(21,788)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(28,567)</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28,567</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(150,810)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150,810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1,183</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23,284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2,695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2,166</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disposition of property, plant</w:t>
            </w:r>
          </w:p>
        </w:tc>
        <w:tc>
          <w:tcPr>
            <w:tcW w:w="10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(1,778)</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equipment</w:t>
            </w:r>
          </w:p>
        </w:tc>
        <w:tc>
          <w:tcPr>
            <w:tcW w:w="100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(charge) reversal on short-term</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prepaid deposits, equipment and construction</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property, plant and equipment</w:t>
            </w: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(2,270)</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and right-of-use assets</w:t>
            </w:r>
          </w:p>
        </w:tc>
        <w:tc>
          <w:tcPr>
            <w:tcW w:w="1000" w:type="dxa"/>
            <w:vAlign w:val="bottom"/>
            <w:vMerge w:val="continue"/>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8,903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920" w:type="dxa"/>
            <w:vAlign w:val="bottom"/>
            <w:vMerge w:val="continue"/>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(75,213)</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62,961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(49,686)</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7,128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(797)%</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90,966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2,124</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31,102</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23,498</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7,604</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107,222</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84,585</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1,236</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4,928</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5,167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25,200</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16,400</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8,800</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21,800</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16,400</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1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the Company’s current financing strategy involves (a) selling the BTC it earns and the BTC it holds in treasury and (b) utilizing short-term debt, long-term debt and equity instruments to fund its expansion activities, operating expenses and debt service requirements. The Company anticipates requiring additional funds to complete its growth plans discussed in Section 7 - Expansion Projects of this MD&amp;A.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for which the implications for economic and monetary policy, and its impact on Bitfarms, cannot be ascertained as of the issuance date of this MD&amp;A.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based on supplier invoices that are paid by the Argentinian subsidiary. The Argentinian subsidiary provides Mining services for a market-based fee to its Canadian parent which owns and records revenue from the BTC earned in Argentina and, accordingly, the Argentinian subsidiary is not structured or contemplated to generate substantial cash flows above its internal requirements. The Argentinian subsidiary earns a market-based return on the services it provides to its Canadian parent.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4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63"/>
        </w:trPr>
        <w:tc>
          <w:tcPr>
            <w:tcW w:w="5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320" w:type="dxa"/>
            <w:vAlign w:val="bottom"/>
            <w:tcBorders>
              <w:bottom w:val="single" w:sz="8" w:color="auto"/>
            </w:tcBorders>
          </w:tcPr>
          <w:p>
            <w:pPr>
              <w:jc w:val="right"/>
              <w:ind w:right="17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9"/>
                <w:szCs w:val="29"/>
                <w:b w:val="1"/>
                <w:bCs w:val="1"/>
                <w:color w:val="auto"/>
                <w:vertAlign w:val="superscript"/>
              </w:rPr>
              <w:t>(1)</w:t>
            </w:r>
          </w:p>
        </w:tc>
        <w:tc>
          <w:tcPr>
            <w:tcW w:w="1400" w:type="dxa"/>
            <w:vAlign w:val="bottom"/>
            <w:tcBorders>
              <w:bottom w:val="single" w:sz="8" w:color="auto"/>
            </w:tcBorders>
          </w:tcPr>
          <w:p>
            <w:pPr>
              <w:jc w:val="right"/>
              <w:ind w:right="250"/>
              <w:spacing w:after="0" w:line="256"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0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125,595</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(94,708)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2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(105,711)</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(122,424)</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16,713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70,966</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3,663</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67,303</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87,878</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24,010</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63,868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5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2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50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30,887</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53,151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2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1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Figures are derived from Restated Financial Statements. Refer to Section 15 - </w:t>
      </w:r>
      <w:r>
        <w:rPr>
          <w:rFonts w:ascii="Times New Roman" w:cs="Times New Roman" w:eastAsia="Times New Roman" w:hAnsi="Times New Roman"/>
          <w:sz w:val="18"/>
          <w:szCs w:val="18"/>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operating activities decreased by $16.7 million during FY 2023 compared to FY 2022, primarily driven by:</w:t>
      </w:r>
    </w:p>
    <w:p>
      <w:pPr>
        <w:spacing w:after="0" w:line="9"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income taxes paid, with $15.0 million paid during FY 2022, compared to $11.6 million refunded during FY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and financial expenses paid of $5.6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favorable working capital variances totaling $5.2 million that are explained in Section 12 - </w:t>
      </w:r>
      <w:r>
        <w:rPr>
          <w:rFonts w:ascii="Times New Roman" w:cs="Times New Roman" w:eastAsia="Times New Roman" w:hAnsi="Times New Roman"/>
          <w:sz w:val="18"/>
          <w:szCs w:val="18"/>
          <w:i w:val="1"/>
          <w:iCs w:val="1"/>
          <w:color w:val="auto"/>
        </w:rPr>
        <w:t>Financial Position</w:t>
      </w:r>
      <w:r>
        <w:rPr>
          <w:rFonts w:ascii="Times New Roman" w:cs="Times New Roman" w:eastAsia="Times New Roman" w:hAnsi="Times New Roman"/>
          <w:sz w:val="18"/>
          <w:szCs w:val="18"/>
          <w:color w:val="auto"/>
        </w:rPr>
        <w:t xml:space="preserve"> of this MD&amp;A;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cash G&amp;A expenses of $23.1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660" w:hanging="328"/>
        <w:spacing w:after="0" w:line="260"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energy and infrastructure costs of $22.6 million as explained in Section 8B - FINANCIAL PERFORMANCE - COST OF REVENUES of this MD&amp;A.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 increased by $67.3 million during FY 2023 compared to FY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from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 million of net additions of property, plant and equipment (“PPE”) during FY 2023, compared to $142.6 million for the same period in 2022, primarily due to the acquisition of Miners and infrastructure build-out;</w:t>
      </w:r>
    </w:p>
    <w:p>
      <w:pPr>
        <w:ind w:left="660" w:hanging="328"/>
        <w:spacing w:after="0" w:line="250"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 million in advance payments mainly for the Paraguay expansions during FY 2023, compared to $41.8 million in advanced payments made on new PPE mainly for the Argentina expansion during FY 2022; and</w:t>
      </w:r>
    </w:p>
    <w:p>
      <w:pPr>
        <w:ind w:left="660" w:hanging="328"/>
        <w:spacing w:after="0" w:line="260"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1,000 BTC for $43.2 million during FY 2022, compared to nil in FY 2023. Refer to Section 11B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(capital resources - digital asset management program) </w:t>
      </w:r>
      <w:r>
        <w:rPr>
          <w:rFonts w:ascii="Times New Roman" w:cs="Times New Roman" w:eastAsia="Times New Roman" w:hAnsi="Times New Roman"/>
          <w:sz w:val="18"/>
          <w:szCs w:val="18"/>
          <w:color w:val="auto"/>
        </w:rPr>
        <w:t>of this MD&amp;A.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proceeds from sale of digital assets of $29.4 million as a result of selling less BTC in FY 2023 compared to FY 2022;</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$12.2 million of net proceeds received in FY 2023 from the purchase and disposition of marketable securities to fund the Argentina expansion activities, compared to $51.6 million of net proceeds for the same period in 2022, as described in Note 28 - </w:t>
      </w:r>
      <w:r>
        <w:rPr>
          <w:rFonts w:ascii="Times New Roman" w:cs="Times New Roman" w:eastAsia="Times New Roman" w:hAnsi="Times New Roman"/>
          <w:sz w:val="18"/>
          <w:szCs w:val="18"/>
          <w:i w:val="1"/>
          <w:iCs w:val="1"/>
          <w:color w:val="auto"/>
        </w:rPr>
        <w:t>Additional Details to the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and Comprehensive Profit or Loss </w:t>
      </w:r>
      <w:r>
        <w:rPr>
          <w:rFonts w:ascii="Times New Roman" w:cs="Times New Roman" w:eastAsia="Times New Roman" w:hAnsi="Times New Roman"/>
          <w:sz w:val="18"/>
          <w:szCs w:val="18"/>
          <w:color w:val="auto"/>
        </w:rPr>
        <w:t>to the Restated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$21.1 million from the sale of digital assets purchased in FY 2022, compared to nil in FY 2023;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assets in Baie-Comeau, Quebec, and in Paraguay for $2.4 million, as described in Note 5 - </w:t>
      </w:r>
      <w:r>
        <w:rPr>
          <w:rFonts w:ascii="Times New Roman" w:cs="Times New Roman" w:eastAsia="Times New Roman" w:hAnsi="Times New Roman"/>
          <w:sz w:val="18"/>
          <w:szCs w:val="18"/>
          <w:i w:val="1"/>
          <w:iCs w:val="1"/>
          <w:color w:val="auto"/>
        </w:rPr>
        <w:t>Acquisitions of Assets</w:t>
      </w:r>
      <w:r>
        <w:rPr>
          <w:rFonts w:ascii="Times New Roman" w:cs="Times New Roman" w:eastAsia="Times New Roman" w:hAnsi="Times New Roman"/>
          <w:sz w:val="18"/>
          <w:szCs w:val="18"/>
          <w:color w:val="auto"/>
        </w:rPr>
        <w:t xml:space="preserve"> of the Restated Financial Statements, compared to nil in FY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Cash flows from financing activities increased by $63.9 million from $24.0 million for </w:t>
      </w:r>
      <w:r>
        <w:rPr>
          <w:rFonts w:ascii="Times New Roman" w:cs="Times New Roman" w:eastAsia="Times New Roman" w:hAnsi="Times New Roman"/>
          <w:sz w:val="18"/>
          <w:szCs w:val="18"/>
          <w:i w:val="1"/>
          <w:iCs w:val="1"/>
          <w:color w:val="auto"/>
        </w:rPr>
        <w:t>FY</w:t>
      </w:r>
      <w:r>
        <w:rPr>
          <w:rFonts w:ascii="Times New Roman" w:cs="Times New Roman" w:eastAsia="Times New Roman" w:hAnsi="Times New Roman"/>
          <w:sz w:val="18"/>
          <w:szCs w:val="18"/>
          <w:color w:val="auto"/>
        </w:rPr>
        <w:t xml:space="preserve"> 2022 to $87.9 million for </w:t>
      </w:r>
      <w:r>
        <w:rPr>
          <w:rFonts w:ascii="Times New Roman" w:cs="Times New Roman" w:eastAsia="Times New Roman" w:hAnsi="Times New Roman"/>
          <w:sz w:val="18"/>
          <w:szCs w:val="18"/>
          <w:i w:val="1"/>
          <w:iCs w:val="1"/>
          <w:color w:val="auto"/>
        </w:rPr>
        <w:t>FY</w:t>
      </w:r>
      <w:r>
        <w:rPr>
          <w:rFonts w:ascii="Times New Roman" w:cs="Times New Roman" w:eastAsia="Times New Roman" w:hAnsi="Times New Roman"/>
          <w:sz w:val="18"/>
          <w:szCs w:val="18"/>
          <w:color w:val="auto"/>
        </w:rPr>
        <w:t xml:space="preserve">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FY </w:t>
      </w:r>
      <w:r>
        <w:rPr>
          <w:rFonts w:ascii="Times New Roman" w:cs="Times New Roman" w:eastAsia="Times New Roman" w:hAnsi="Times New Roman"/>
          <w:sz w:val="18"/>
          <w:szCs w:val="18"/>
          <w:color w:val="auto"/>
        </w:rPr>
        <w:t>2023</w:t>
      </w:r>
    </w:p>
    <w:p>
      <w:pPr>
        <w:spacing w:after="0" w:line="29" w:lineRule="exact"/>
        <w:rPr>
          <w:sz w:val="20"/>
          <w:szCs w:val="20"/>
          <w:color w:val="auto"/>
        </w:rPr>
      </w:pPr>
    </w:p>
    <w:p>
      <w:pPr>
        <w:jc w:val="both"/>
        <w:ind w:left="660" w:hanging="328"/>
        <w:spacing w:after="0" w:line="250"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$68.5 million of net proceeds from its at-the-market equity offering program, $40.6 million of net proceeds from the private placement completed in November 2023, and $13.0 million of net proceeds from the exercise of stock options and warrants. The amounts raised were partially offset by scheduled and one-time payments relating to long-term debt and lease liabilities of approximately $30.5 million and $3.6 million, respectively.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BlockFi Loan on February 8, 2023 for cash consideration of $7.8 million, as discussed below;</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$22.2 million towards the NYDIG loan that reduced the outstanding balance to $4.0 million as of December 31, 2023; and</w:t>
      </w:r>
    </w:p>
    <w:p>
      <w:pPr>
        <w:ind w:left="1300" w:hanging="320"/>
        <w:spacing w:after="0" w:line="250"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repayment of the principal amount of the remaining Foundry Loans #2, #3 and #4, as defined in the Restated Financial Statements, before maturity and without prepayment penalty, for $0.8 million.</w:t>
      </w: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modification in February 2023 of its lease agreement with Reliz Ltd. (where BlockFi was the lender to Reliz Ltd.) in order to settle its outstanding lease liability of $0.4 million for a payment of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 2022</w:t>
      </w:r>
    </w:p>
    <w:p>
      <w:pPr>
        <w:spacing w:after="0" w:line="29" w:lineRule="exact"/>
        <w:rPr>
          <w:sz w:val="20"/>
          <w:szCs w:val="20"/>
          <w:color w:val="auto"/>
        </w:rPr>
      </w:pPr>
    </w:p>
    <w:p>
      <w:pPr>
        <w:jc w:val="both"/>
        <w:ind w:left="660" w:hanging="328"/>
        <w:spacing w:after="0" w:line="250"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FY 2022, the Company raised $67.2 million of net proceeds from long-term debt, received $40.0 million of proceeds from the credit facility (which was fully repaid in the fourth quarter of 2022), and $54.1 million of net proceeds from the Company’s at-the-market equity offering program;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FY 2022, these proceeds were partially offset by repayments towards the credit facility, long-term debt, and lease liabilities of $100.0 million, $31.2 million and $6.1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BlockFi Loan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which was classified as long-term debt in the statement of financial position. Backbone Mining owns or leases the assets of Bitfarms’ 20-megawatt active crypto Mining facilities in the State of Washington. The BlockFi loan was recourse only against Backbone Mining, and the loan was secured by its Miners and, in the event of default, BTC produced by those Miners.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commenced an at-the-market equity offering program (the “ATM program”) on August 16, 2021, by means of a prospectus supplement dated August 16, 2021, to the Company’s short form base shelf prospectus dated August 12, 2021, and U.S. registration statement on Form-F-10, which included a prospectus supplement related to the ATM.</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program expired on September 12, 2023. Over the course of the ATM program, the Company issued 105,368,677 common shares in exchange for gross proceeds of $277.0 million at an average share price of approximately $2.63. The Company received net proceeds of $268.3 million after paying commissions of $8.5 million to the sales agent for the ATM program and $0.3 million in other transaction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2023, the ATM program was not active, and no common shares related to the ATM program were issued. During the three months ended December 31, 2022, the Company issued 8,489,573 common shares in exchange for gross proceeds of $5.8 million at an average share price of approximately $0.68. The Company received net proceeds of $5.6 million after paying commissions of $0.2 million to the sales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FY 2023, the Company issued 52,120,899 common shares in the ATM program in exchange for gross proceeds of $70.8 million at an average share price of approximately $1.36. The Company received net proceeds of $68.5 million after paying commissions of $2.2 million to the sales agent, in addition to $0.1 million of other transaction fees. During FY 2022, the Company issued 29,324,277 common shares in the ATM program in exchange for gross proceeds of $56.0 million at an average share price of approximately $1.91. The Company received net proceeds of $54.1 million after paying commissions of $1.8 million to the sales agent, in addition to $0.1 million of other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used the proceeds from the ATM Program that expired on September 12, 2023 to support the growth and development of the Company’s Mining operations, as described in Section 7 -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Described below are the actual use of proceeds from the commencement of the ATM equity offering program through September 30,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Use</w:t>
            </w:r>
          </w:p>
        </w:tc>
      </w:tr>
      <w:tr>
        <w:trPr>
          <w:trHeight w:val="216"/>
        </w:trPr>
        <w:tc>
          <w:tcPr>
            <w:tcW w:w="7620" w:type="dxa"/>
            <w:vAlign w:val="bottom"/>
          </w:tcPr>
          <w:p>
            <w:pPr>
              <w:spacing w:after="0"/>
              <w:rPr>
                <w:sz w:val="18"/>
                <w:szCs w:val="18"/>
                <w:color w:val="auto"/>
              </w:rPr>
            </w:pP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of proceeds</w:t>
            </w:r>
          </w:p>
        </w:tc>
      </w:tr>
      <w:tr>
        <w:trPr>
          <w:trHeight w:val="216"/>
        </w:trPr>
        <w:tc>
          <w:tcPr>
            <w:tcW w:w="7620" w:type="dxa"/>
            <w:vAlign w:val="bottom"/>
          </w:tcPr>
          <w:p>
            <w:pPr>
              <w:spacing w:after="0"/>
              <w:rPr>
                <w:sz w:val="18"/>
                <w:szCs w:val="18"/>
                <w:color w:val="auto"/>
              </w:rPr>
            </w:pP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from</w:t>
            </w:r>
          </w:p>
        </w:tc>
      </w:tr>
      <w:tr>
        <w:trPr>
          <w:trHeight w:val="216"/>
        </w:trPr>
        <w:tc>
          <w:tcPr>
            <w:tcW w:w="7620" w:type="dxa"/>
            <w:vAlign w:val="bottom"/>
          </w:tcPr>
          <w:p>
            <w:pPr>
              <w:spacing w:after="0"/>
              <w:rPr>
                <w:sz w:val="18"/>
                <w:szCs w:val="18"/>
                <w:color w:val="auto"/>
              </w:rPr>
            </w:pP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August 16,</w:t>
            </w:r>
          </w:p>
        </w:tc>
      </w:tr>
      <w:tr>
        <w:trPr>
          <w:trHeight w:val="216"/>
        </w:trPr>
        <w:tc>
          <w:tcPr>
            <w:tcW w:w="7620" w:type="dxa"/>
            <w:vAlign w:val="bottom"/>
          </w:tcPr>
          <w:p>
            <w:pPr>
              <w:spacing w:after="0"/>
              <w:rPr>
                <w:sz w:val="18"/>
                <w:szCs w:val="18"/>
                <w:color w:val="auto"/>
              </w:rPr>
            </w:pP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 to</w:t>
            </w:r>
          </w:p>
        </w:tc>
      </w:tr>
      <w:tr>
        <w:trPr>
          <w:trHeight w:val="216"/>
        </w:trPr>
        <w:tc>
          <w:tcPr>
            <w:tcW w:w="7620" w:type="dxa"/>
            <w:vAlign w:val="bottom"/>
          </w:tcPr>
          <w:p>
            <w:pPr>
              <w:spacing w:after="0"/>
              <w:rPr>
                <w:sz w:val="18"/>
                <w:szCs w:val="18"/>
                <w:color w:val="auto"/>
              </w:rPr>
            </w:pP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MicroBT Miners (completed in 2023)</w:t>
            </w:r>
          </w:p>
        </w:tc>
        <w:tc>
          <w:tcPr>
            <w:tcW w:w="3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Bitmain Miners (completed in 2023)</w:t>
            </w: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29,298</w:t>
            </w: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Expansion</w:t>
            </w:r>
          </w:p>
        </w:tc>
        <w:tc>
          <w:tcPr>
            <w:tcW w:w="3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27,181</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Sherbrooke Expansion (completed in 2022)</w:t>
            </w: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22,201</w:t>
            </w: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 Expansion, net of gain on disposition of marketable securities</w:t>
            </w:r>
          </w:p>
        </w:tc>
        <w:tc>
          <w:tcPr>
            <w:tcW w:w="3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50,898</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Cowansville Expansion (completed in 2022)</w:t>
            </w: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573</w:t>
            </w: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 Expansion (completed in 2023)</w:t>
            </w:r>
          </w:p>
        </w:tc>
        <w:tc>
          <w:tcPr>
            <w:tcW w:w="3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3,230</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Baie-Comeau Expansion</w:t>
            </w:r>
          </w:p>
        </w:tc>
        <w:tc>
          <w:tcPr>
            <w:tcW w:w="3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3,988</w:t>
            </w:r>
          </w:p>
        </w:tc>
      </w:tr>
      <w:tr>
        <w:trPr>
          <w:trHeight w:val="223"/>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Paso Pe (Paraguay) Expansion</w:t>
            </w:r>
          </w:p>
        </w:tc>
        <w:tc>
          <w:tcPr>
            <w:tcW w:w="36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4,628</w:t>
            </w:r>
          </w:p>
        </w:tc>
      </w:tr>
      <w:tr>
        <w:trPr>
          <w:trHeight w:val="223"/>
        </w:trPr>
        <w:tc>
          <w:tcPr>
            <w:tcW w:w="76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268,310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for total gross proceeds of $43.8 million (CAD$60.0 million) in exchange for 44,444,446 common shares and 22,222,223 warrants to purchase common shares. The Company plans to use the proceeds of the private placement to meet payment commitments on the purchase order of 35,888 T21 Miners expected to be delivered in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received from the private placement completed in November 2023 net proceeds of $40.6 million after paying commissions and other fees of $3.2 million to the broker. In addition, 6,962,693 warrants and 2,306,667 broker warrants related to the private placement that closed on November 28, 2023, were exercised, resulting in the issuance of 9,269,360 common shares for proceeds of approximately $11.0 million. During the three months ended December 31, 2022, there were no new private placements or exercises of warrants from previous private placements completed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FY 2023, the Company received total net proceeds of $51.6 million compared to nil in FY 2022 for the same reasons explained in the </w:t>
      </w:r>
      <w:r>
        <w:rPr>
          <w:rFonts w:ascii="Times New Roman" w:cs="Times New Roman" w:eastAsia="Times New Roman" w:hAnsi="Times New Roman"/>
          <w:sz w:val="18"/>
          <w:szCs w:val="18"/>
          <w:i w:val="1"/>
          <w:iCs w:val="1"/>
          <w:color w:val="auto"/>
        </w:rPr>
        <w:t>Q4 2023</w:t>
      </w:r>
      <w:r>
        <w:rPr>
          <w:rFonts w:ascii="Times New Roman" w:cs="Times New Roman" w:eastAsia="Times New Roman" w:hAnsi="Times New Roman"/>
          <w:sz w:val="18"/>
          <w:szCs w:val="18"/>
          <w:color w:val="auto"/>
        </w:rPr>
        <w:t xml:space="preserve">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Q4 2022 </w:t>
      </w:r>
      <w:r>
        <w:rPr>
          <w:rFonts w:ascii="Times New Roman" w:cs="Times New Roman" w:eastAsia="Times New Roman" w:hAnsi="Times New Roman"/>
          <w:sz w:val="18"/>
          <w:szCs w:val="18"/>
          <w:color w:val="auto"/>
        </w:rPr>
        <w:t>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the financial resources that will enable the Company to maximize the return to its shareholders while optimizing its cost of capital and still ensuring the Company has sufficient liquidity to fund its normal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complete construction of additional facilities in Argentina, if the Company elects to do so, and to fund expansion activities in Canada and Paraguay to achieve its published hashrate targets. In order to achieve its business objectives, the Company may sell or borrow against the BTC that have been accumulated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The next BTC Halving is expected to occur in April 2024, at which time BTC block rewards will decrease from 6.25 BTC per block to 3.125 BTC per block. Once 21 million BTC are generated on or about the year 2140,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Pursuant to the digital asset management program, the Company added 3,301 BTC to its balance sheet during the year ended December 31, 2021.</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2022, the Board of Directors (the “BOD”) authorized Management to purchase 1,000 BTC. During the second quarter of 2022, following the BOD approval, the Company sold 3,000 BTC in collateral to repay part of the Credit Facility and 350 BTC in treasury to manage liquidity levels. During the third quarter of 2022, the Company sold 670 BTC in collateral to repay part of the Credit Facility and 1,925 BTC in treasury to maintain sufficient liquidity levels. On August 1, 2022, Management received approval from the BOD to sell daily production, in addition to any sale of up to 1,000 BTC from treasury, should market conditions be justified in its discretion. During Q4 2022, the Company sold 1,359 BTC in collateral to repay the remaining balance of the Credit Facility in full and 1,734 BTC in treasury to manage liquidity levels. Since January 2022, the Company has not purchased any BTC.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Digital Asset Management Program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Presented below are the total BTC sold and proceeds per quarter in FY 2023, a portion of which was used to repay equipment-related indebtedness, with the remaining portion used to fund operations and expansion plans:</w:t>
      </w:r>
    </w:p>
    <w:p>
      <w:pPr>
        <w:spacing w:after="0" w:line="17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2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tcBorders>
              <w:top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sold</w:t>
            </w:r>
          </w:p>
        </w:tc>
        <w:tc>
          <w:tcPr>
            <w:tcW w:w="2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1,018</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1,109</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w:t>
            </w:r>
          </w:p>
        </w:tc>
      </w:tr>
      <w:tr>
        <w:trPr>
          <w:trHeight w:val="22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proceeds</w:t>
            </w:r>
          </w:p>
        </w:tc>
        <w:tc>
          <w:tcPr>
            <w:tcW w:w="2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41,585</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28,354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30,886</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28,483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804 BTC as of December 31, 2023, valued at approximately $34.0 million based on a BTC price of approximately $42,300, as of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The Company can transfer digital assets between custodians and has its own multi-signature wallets as a contingency plan that would have a minimal impact on the Company’s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6, 2024, the Company has 807 BTC, valued at $54.1 million on its balance sheet. As of the date of this MD&amp;A, 100% of the Company’s BTC are held in custody with Coinbase Custody and Anchorage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Custody of Digital assets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annual report, on Form 10-K, filed with the U.S. Securities Exchange Commission on February 15, 2024,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program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BOD approved a hedging program and authorized Management, through a risk management committee specifically created for this purpose, to implement hedges using BTC option contracts for up to 20% of the Company’s BTC compensation per month and up to three months of future BTC compensation. In April 2023, the BOD authorized Management to increase the BTC option contracts to up to 50% of the Company’s BTC compensation per month and up to six months of expected future BTC compensation. As of March 6, 2024, the risk management committee has not engaged in hedging to the full extent approved by the BOD. The Company has a hedge in place of 160 BTC of expected future BTC compensation.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twelve months ended December 31, 2023, the Company secured BTC option contracts to sell digital assets which resulted in a loss of $0.3 million and $0.5 million, respectively, mainly related to premiums paid for the option contracts hedging the potential risk of the BTC price decreasing and protecting the Company’s margins. Refer to Note 22 to the Restated Financial Statements for more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HODL program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Alongside the hedging program, and with the intent to manage a more capital-efficient portfolio, in June 2023, the BOD approved a HODL strategy, referred to as a synthetic HODL strategy, which allows up to 20% of the Company’s BTC exposure to be replicated using BTC call options. In October 2023, the Company initiated its Synthetic HODL strategy with the purchase of long-dated BTC call options. The primary objective of the Synthetic HODL is to allow the Company to accumulate BTC in treasury and increase BTC exposure in a manner that is risk-managed and capital efficient. As of March 6, 2024, the Company has active call option contracts providing the right to buy up to 135 BTC. It remains within the risk management committee’s discretion to dynamically adjust Bitfarms’ hedge and Synthetic HODL ratios within the risk limits approved by the BOD to more adequately respond to market factors that are beyond the Company’s operational control. During the three and twelve months ended December 31, 2023, the Company purchased long-dated BTC call options which resulted in an unrealized gain of $0.5 million for both periods primarily attributable to the increase in the BTC price over the respected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3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4,087</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8,079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20,526</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17,186</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8,079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33,625</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remaining payment obligations in connection with the 35,888 Bitmain T21 Miners purchase order are outlined below:</w:t>
      </w:r>
    </w:p>
    <w:tbl>
      <w:tblPr>
        <w:tblLayout w:type="fixed"/>
        <w:tblInd w:w="0" w:type="dxa"/>
        <w:tblCellMar>
          <w:top w:w="0" w:type="dxa"/>
          <w:left w:w="0" w:type="dxa"/>
          <w:bottom w:w="0" w:type="dxa"/>
          <w:right w:w="0" w:type="dxa"/>
        </w:tblCellMar>
      </w:tblPr>
      <w:tr>
        <w:trPr>
          <w:trHeight w:val="223"/>
        </w:trPr>
        <w:tc>
          <w:tcPr>
            <w:tcW w:w="61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March 31, 2024</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41,446</w:t>
            </w:r>
          </w:p>
        </w:tc>
      </w:tr>
      <w:tr>
        <w:trPr>
          <w:trHeight w:val="223"/>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June 30, 2024</w:t>
            </w: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44,551</w:t>
            </w:r>
          </w:p>
        </w:tc>
      </w:tr>
      <w:tr>
        <w:trPr>
          <w:trHeight w:val="223"/>
        </w:trPr>
        <w:tc>
          <w:tcPr>
            <w:tcW w:w="6180" w:type="dxa"/>
            <w:vAlign w:val="bottom"/>
            <w:tcBorders>
              <w:bottom w:val="single" w:sz="8" w:color="auto"/>
            </w:tcBorders>
            <w:shd w:val="clear" w:color="auto" w:fill="CCEEFF"/>
          </w:tcPr>
          <w:p>
            <w:pPr>
              <w:spacing w:after="0"/>
              <w:rPr>
                <w:sz w:val="19"/>
                <w:szCs w:val="19"/>
                <w:color w:val="auto"/>
              </w:rPr>
            </w:pPr>
          </w:p>
        </w:tc>
        <w:tc>
          <w:tcPr>
            <w:tcW w:w="5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85,997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Company’s recent private placement closed during the year ended December 31, 2023, as disclosed in Note 21 of the Restated Financial Statements, the Company anticipates having sufficient liquidity to complete the payment obligations included in the table above.</w:t>
      </w:r>
    </w:p>
    <w:p>
      <w:pPr>
        <w:spacing w:after="0" w:line="158"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their manufacture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the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POSITION</w:t>
      </w:r>
    </w:p>
    <w:p>
      <w:pPr>
        <w:spacing w:after="0" w:line="225"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9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8"/>
                <w:szCs w:val="18"/>
                <w:color w:val="auto"/>
              </w:rPr>
              <w:t>As of December 31,</w:t>
            </w:r>
          </w:p>
        </w:tc>
        <w:tc>
          <w:tcPr>
            <w:tcW w:w="1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15"/>
        </w:trPr>
        <w:tc>
          <w:tcPr>
            <w:tcW w:w="3540" w:type="dxa"/>
            <w:vAlign w:val="bottom"/>
          </w:tcPr>
          <w:p>
            <w:pPr>
              <w:spacing w:after="0"/>
              <w:rPr>
                <w:sz w:val="20"/>
                <w:szCs w:val="20"/>
                <w:color w:val="auto"/>
              </w:rPr>
            </w:pPr>
            <w:r>
              <w:rPr>
                <w:rFonts w:ascii="Times New Roman" w:cs="Times New Roman" w:eastAsia="Times New Roman" w:hAnsi="Times New Roman"/>
                <w:sz w:val="1"/>
                <w:szCs w:val="1"/>
                <w:color w:val="auto"/>
              </w:rPr>
              <w:t>(U.S. $ in thousands)</w:t>
            </w:r>
          </w:p>
        </w:tc>
        <w:tc>
          <w:tcPr>
            <w:tcW w:w="3380" w:type="dxa"/>
            <w:vAlign w:val="bottom"/>
          </w:tcPr>
          <w:p>
            <w:pPr>
              <w:jc w:val="right"/>
              <w:ind w:right="27"/>
              <w:spacing w:after="0"/>
              <w:rPr>
                <w:sz w:val="20"/>
                <w:szCs w:val="20"/>
                <w:color w:val="auto"/>
              </w:rPr>
            </w:pPr>
            <w:r>
              <w:rPr>
                <w:rFonts w:ascii="Times New Roman" w:cs="Times New Roman" w:eastAsia="Times New Roman" w:hAnsi="Times New Roman"/>
                <w:sz w:val="1"/>
                <w:szCs w:val="1"/>
                <w:b w:val="1"/>
                <w:bCs w:val="1"/>
                <w:color w:val="auto"/>
              </w:rPr>
              <w:t>2023</w:t>
            </w:r>
          </w:p>
        </w:tc>
        <w:tc>
          <w:tcPr>
            <w:tcW w:w="1960" w:type="dxa"/>
            <w:vAlign w:val="bottom"/>
          </w:tcPr>
          <w:p>
            <w:pPr>
              <w:jc w:val="right"/>
              <w:ind w:right="327"/>
              <w:spacing w:after="0"/>
              <w:rPr>
                <w:sz w:val="20"/>
                <w:szCs w:val="20"/>
                <w:color w:val="auto"/>
              </w:rPr>
            </w:pPr>
            <w:r>
              <w:rPr>
                <w:rFonts w:ascii="Times New Roman" w:cs="Times New Roman" w:eastAsia="Times New Roman" w:hAnsi="Times New Roman"/>
                <w:sz w:val="1"/>
                <w:szCs w:val="1"/>
                <w:color w:val="auto"/>
              </w:rPr>
              <w:t>2022</w:t>
            </w: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
                <w:szCs w:val="1"/>
                <w:color w:val="auto"/>
              </w:rPr>
              <w:t>$ Change</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
                <w:szCs w:val="1"/>
                <w:color w:val="auto"/>
              </w:rPr>
              <w:t>% Change</w:t>
            </w:r>
          </w:p>
        </w:tc>
      </w:tr>
      <w:tr>
        <w:trPr>
          <w:trHeight w:val="208"/>
        </w:trPr>
        <w:tc>
          <w:tcPr>
            <w:tcW w:w="35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(1)</w:t>
            </w: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129,984</w:t>
            </w:r>
          </w:p>
        </w:tc>
        <w:tc>
          <w:tcPr>
            <w:tcW w:w="196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8"/>
                <w:szCs w:val="18"/>
                <w:color w:val="auto"/>
              </w:rPr>
              <w:t>69,088</w:t>
            </w:r>
          </w:p>
        </w:tc>
        <w:tc>
          <w:tcPr>
            <w:tcW w:w="12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60,896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69,154</w:t>
            </w:r>
          </w:p>
        </w:tc>
        <w:tc>
          <w:tcPr>
            <w:tcW w:w="19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8"/>
                <w:szCs w:val="18"/>
                <w:color w:val="auto"/>
              </w:rPr>
              <w:t>67,413</w:t>
            </w:r>
          </w:p>
        </w:tc>
        <w:tc>
          <w:tcPr>
            <w:tcW w:w="12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1,741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3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60,830</w:t>
            </w:r>
          </w:p>
        </w:tc>
        <w:tc>
          <w:tcPr>
            <w:tcW w:w="196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8"/>
                <w:szCs w:val="18"/>
                <w:color w:val="auto"/>
              </w:rPr>
              <w:t>1,675</w:t>
            </w:r>
          </w:p>
        </w:tc>
        <w:tc>
          <w:tcPr>
            <w:tcW w:w="12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59,155</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With the next halving event currently anticipated to occur in April 2024, the Company places, and continues to place, importance on maintaining sufficient liquidity to manage the uncertainty and capitalize upon suitable opportunities the halving event may present. As of December 31, 2023, Bitfarms had working capital of $60.8 million, compared to $1.7 million as of December 31, 2022. The increase in working capital was mostly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$53.2 million increase in cash, mainly related to the issuance of (i) 52,120,899 common shares from the ATM program, for net proceeds of $68.5 million, (ii) 44,444,446 common shares from the private placement completed in November 2023, for net proceeds of $40.6 million, and (iii) 12,316,976 common shares from the exercise of stock options and warrants, for total proceeds of $13.0 million. The liquidity raised was partially used for expansion projects during FY 2023, with the remainder intended for future payments for T21 Miners and general working capital purposes.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$27.3 million increase in total digital assets, including the digital assets pledged as collateral, resulting from the increase of the Company’s treasury by 399 BTC and the appreciation of the BTC price during FY 2023.</w:t>
      </w:r>
    </w:p>
    <w:p>
      <w:pPr>
        <w:jc w:val="both"/>
        <w:ind w:left="340" w:hanging="332"/>
        <w:spacing w:after="0" w:line="250"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extinguishment of the BlockFi loan in Q1 2023, which had an outstanding balance of $20.0 million on December 31, 2022, for a payment of $7.8 million, resulting in an increase of $12.2 million in working capital. Refer to section 11A </w:t>
      </w:r>
      <w:r>
        <w:rPr>
          <w:rFonts w:ascii="Times New Roman" w:cs="Times New Roman" w:eastAsia="Times New Roman" w:hAnsi="Times New Roman"/>
          <w:sz w:val="18"/>
          <w:szCs w:val="18"/>
          <w:i w:val="1"/>
          <w:iCs w:val="1"/>
          <w:color w:val="auto"/>
        </w:rPr>
        <w:t>- Liquidity and Capital Resources</w:t>
      </w:r>
      <w:r>
        <w:rPr>
          <w:rFonts w:ascii="Times New Roman" w:cs="Times New Roman" w:eastAsia="Times New Roman" w:hAnsi="Times New Roman"/>
          <w:sz w:val="18"/>
          <w:szCs w:val="18"/>
          <w:color w:val="auto"/>
        </w:rPr>
        <w:t xml:space="preserve"> for details on the extinguishment of the BlockFi loan.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capital repayments of $22.2 million towards the NYDIG loan. The effect on working capital is nil as the repayments decreased the cash balance and the loan balance by corresponding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working capital was partially offset by:</w:t>
      </w:r>
    </w:p>
    <w:p>
      <w:pPr>
        <w:spacing w:after="0" w:line="27" w:lineRule="exact"/>
        <w:rPr>
          <w:sz w:val="20"/>
          <w:szCs w:val="20"/>
          <w:color w:val="auto"/>
        </w:rPr>
      </w:pPr>
    </w:p>
    <w:p>
      <w:pPr>
        <w:ind w:left="340" w:hanging="332"/>
        <w:spacing w:after="0" w:line="250" w:lineRule="auto"/>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warrant liabilities of $40.3 million due to the closing of the November 2023 private placements and the subsequent fair value revaluation of the warrants for the 2021 and the November 2023 private placements.</w:t>
      </w:r>
    </w:p>
    <w:p>
      <w:pPr>
        <w:ind w:left="340" w:hanging="332"/>
        <w:spacing w:after="0" w:line="250" w:lineRule="auto"/>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short-term prepaid deposits of $6.5 million, mainly related to an impairment loss of $7.0 million during FY 2023. Refer to section 8E - </w:t>
      </w:r>
      <w:r>
        <w:rPr>
          <w:rFonts w:ascii="Times New Roman" w:cs="Times New Roman" w:eastAsia="Times New Roman" w:hAnsi="Times New Roman"/>
          <w:sz w:val="18"/>
          <w:szCs w:val="18"/>
          <w:i w:val="1"/>
          <w:iCs w:val="1"/>
          <w:color w:val="auto"/>
        </w:rPr>
        <w:t>Financial Performance (Impairment).</w:t>
      </w:r>
    </w:p>
    <w:p>
      <w:pPr>
        <w:ind w:left="340" w:hanging="332"/>
        <w:spacing w:after="0"/>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taxes receivable of $12.1 million following the receipt of tax refunds during FY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3" w:lineRule="exact"/>
        <w:rPr>
          <w:sz w:val="20"/>
          <w:szCs w:val="20"/>
          <w:color w:val="auto"/>
        </w:rPr>
      </w:pPr>
    </w:p>
    <w:p>
      <w:pPr>
        <w:ind w:left="340" w:hanging="332"/>
        <w:spacing w:after="0"/>
        <w:tabs>
          <w:tab w:leader="none" w:pos="340" w:val="left"/>
        </w:tabs>
        <w:numPr>
          <w:ilvl w:val="0"/>
          <w:numId w:val="18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9"/>
        </w:trPr>
        <w:tc>
          <w:tcPr>
            <w:tcW w:w="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As of December 31,</w:t>
            </w: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394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101,454</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142,654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(41,200)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940" w:type="dxa"/>
            <w:vAlign w:val="bottom"/>
          </w:tcPr>
          <w:p>
            <w:pPr>
              <w:spacing w:after="0"/>
              <w:rPr>
                <w:sz w:val="18"/>
                <w:szCs w:val="18"/>
                <w:color w:val="auto"/>
              </w:rPr>
            </w:pPr>
          </w:p>
        </w:tc>
        <w:tc>
          <w:tcPr>
            <w:tcW w:w="2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18,154</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32,664</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(14,510)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54,657</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31,927</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22,730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Paraguay</w:t>
            </w:r>
          </w:p>
        </w:tc>
        <w:tc>
          <w:tcPr>
            <w:tcW w:w="2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11,747</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12,183</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186,012</w:t>
            </w:r>
          </w:p>
        </w:tc>
        <w:tc>
          <w:tcPr>
            <w:tcW w:w="18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219,428</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(33,416)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Bitfarms had PPE of $186.0 million, compared to $219.4 million as of December 31, 2022. The decrease of $33.4 million, or 15%, was primarily due to the $41.2 million decrease of PPE in Canada, mainly related to depreciation expense. PPE in the USA and Paraguay decreased by $14.5 million and $0.4 million, respectively, mostly due to depreciation expense incurred on Miners. These decreases were partially offset by the $22.7 million increase in Argentina PPE primarily due to the delivery of approximately 13,400 Miners in FY 2023.</w:t>
      </w:r>
    </w:p>
    <w:p>
      <w:pPr>
        <w:spacing w:after="0" w:line="176" w:lineRule="exact"/>
        <w:rPr>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Bitfarms had intangible assets of $3.7 million, compared to $33,000 as of December 31, 2022. The $3.7 million increase is mainly due to the Company’s three acquisitions of groups of assets in Quebec and Paraguay during the year ended December 31, 2023, net of $0.1 million of amortization. Each of those acquisitions of groups of assets resulted in contractual access rights to hydro power electricity.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those access 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4140" w:type="dxa"/>
            <w:vAlign w:val="bottom"/>
          </w:tcPr>
          <w:p>
            <w:pPr>
              <w:spacing w:after="0"/>
              <w:rPr>
                <w:sz w:val="18"/>
                <w:szCs w:val="18"/>
                <w:color w:val="auto"/>
              </w:rPr>
            </w:pPr>
          </w:p>
        </w:tc>
      </w:tr>
      <w:tr>
        <w:trPr>
          <w:trHeight w:val="245"/>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1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4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Quebec</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MW</w:t>
            </w:r>
          </w:p>
        </w:tc>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termination date</w:t>
            </w:r>
          </w:p>
        </w:tc>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over the lease term of the facility</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Villarrica (Paso Pe), Paraguay</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MW*</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Ending on December 31, 2027   Straight-line over the access rights period</w:t>
            </w:r>
          </w:p>
        </w:tc>
      </w:tr>
      <w:tr>
        <w:trPr>
          <w:trHeight w:val="223"/>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Yguazu, Paraguay</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MW</w:t>
            </w:r>
          </w:p>
        </w:tc>
        <w:tc>
          <w:tcPr>
            <w:tcW w:w="65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on December 31, 2027   Straight-line over the access rights period</w:t>
            </w:r>
          </w:p>
        </w:tc>
      </w:tr>
      <w:tr>
        <w:trPr>
          <w:trHeight w:val="223"/>
        </w:trPr>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3,801</w:t>
            </w:r>
          </w:p>
        </w:tc>
        <w:tc>
          <w:tcPr>
            <w:tcW w:w="11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172 MW</w:t>
            </w:r>
          </w:p>
        </w:tc>
        <w:tc>
          <w:tcPr>
            <w:tcW w:w="238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5 and 14 to the Restated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22 to the Restated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23 to the Restated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RESTATEMENT</w:t>
      </w:r>
    </w:p>
    <w:p>
      <w:pPr>
        <w:spacing w:after="0" w:line="225"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of statement of cash flows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Originally, the Company classified the proceeds from sale of digital assets in the statements of cash flows as operating activities on the basis that its core business and main activities are related to digital assets. Digital assets are accounted for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2024, the Company conducted a review of the presentation of the statements of cash flows to determine if the proceeds from sale of digital assets should be classified as investing activities rather than operating activities. In accordance with IAS 7,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paragraph 16(b), cash receipts from sales of intangible assets is an example of cash flows arising from investing activities.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concluded that the proper classification of the proceeds from sale of digital assets is an investing activity within the statement of cash flows. The Company determined that the restatement of financial information presented was necessary to correct the classification of proceeds from the sales of digital assets from cash flows from operations to cash flows from investing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errors were corrected in the Restated Financial Statements.</w:t>
      </w:r>
    </w:p>
    <w:p>
      <w:pPr>
        <w:spacing w:after="0" w:line="221"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2023 Warrants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corrected an errors identified in its accounting for the 2023 exercises of warrants issued in connection with the private placement financing in 2023 (“2023 Warrants”). The correction resulted in an increase in the share capital and net financial expenses in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RESTATEMENT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restatements on the affected financial statement line items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2022 -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(i) Cash flow</w:t>
            </w:r>
          </w:p>
        </w:tc>
        <w:tc>
          <w:tcPr>
            <w:tcW w:w="1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 (as restated)</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2022 (as reported)</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reclassification</w:t>
            </w:r>
          </w:p>
        </w:tc>
        <w:tc>
          <w:tcPr>
            <w:tcW w:w="1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(175,644)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(175,644)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158,674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(158,674)</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36,250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(122,424)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158,674</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158,674</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(155,011)</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158,674</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3,663</w:t>
            </w:r>
          </w:p>
        </w:tc>
        <w:tc>
          <w:tcPr>
            <w:tcW w:w="0" w:type="dxa"/>
            <w:vAlign w:val="bottom"/>
          </w:tcPr>
          <w:p>
            <w:pPr>
              <w:spacing w:after="0"/>
              <w:rPr>
                <w:sz w:val="1"/>
                <w:szCs w:val="1"/>
                <w:color w:val="auto"/>
              </w:rPr>
            </w:pPr>
          </w:p>
        </w:tc>
      </w:tr>
      <w:tr>
        <w:trPr>
          <w:trHeight w:val="432"/>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2023 - Restatement</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(ii) 2023</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Warrants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 Cash flow</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exercise</w:t>
            </w:r>
          </w:p>
        </w:tc>
        <w:tc>
          <w:tcPr>
            <w:tcW w:w="1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 (as restated)</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 (as reported)</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reclassification</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adjustment</w:t>
            </w:r>
          </w:p>
        </w:tc>
        <w:tc>
          <w:tcPr>
            <w:tcW w:w="1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(104,036)</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expenses</w:t>
            </w:r>
          </w:p>
        </w:tc>
        <w:tc>
          <w:tcPr>
            <w:tcW w:w="2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32,308</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4,886</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37,194</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129,309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(129,309)</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23,598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(129,309)</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(105,711)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129,309</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129,309</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(58,343)</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129,309</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RESTATEMENT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December 31, 2023 -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As of December 31,</w:t>
            </w:r>
          </w:p>
        </w:tc>
        <w:tc>
          <w:tcPr>
            <w:tcW w:w="3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As of December 31,</w:t>
            </w:r>
          </w:p>
        </w:tc>
      </w:tr>
      <w:tr>
        <w:trPr>
          <w:trHeight w:val="223"/>
        </w:trPr>
        <w:tc>
          <w:tcPr>
            <w:tcW w:w="40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 (as reported)</w:t>
            </w: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(ii) 2023 Warrants</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 (as restated)</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530,123</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535,009</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56,622</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56,622</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4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2,941</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2,941</w:t>
            </w:r>
          </w:p>
        </w:tc>
      </w:tr>
      <w:tr>
        <w:trPr>
          <w:trHeight w:val="22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(294,924)</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(4,886)</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r>
      <w:tr>
        <w:trPr>
          <w:trHeight w:val="22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294,762</w:t>
            </w: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294,762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profit or loss and comprehensive profit or loss for the year ended December 31, 2023 -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1"/>
                <w:szCs w:val="21"/>
                <w:color w:val="auto"/>
              </w:rPr>
            </w:pPr>
          </w:p>
        </w:tc>
        <w:tc>
          <w:tcPr>
            <w:tcW w:w="5720" w:type="dxa"/>
            <w:vAlign w:val="bottom"/>
            <w:tcBorders>
              <w:bottom w:val="single" w:sz="8" w:color="auto"/>
            </w:tcBorders>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(ii) 2023 Warrants</w:t>
            </w:r>
          </w:p>
        </w:tc>
        <w:tc>
          <w:tcPr>
            <w:tcW w:w="1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 (as restated)</w:t>
            </w:r>
          </w:p>
        </w:tc>
        <w:tc>
          <w:tcPr>
            <w:tcW w:w="0" w:type="dxa"/>
            <w:vAlign w:val="bottom"/>
          </w:tcPr>
          <w:p>
            <w:pPr>
              <w:spacing w:after="0"/>
              <w:rPr>
                <w:sz w:val="1"/>
                <w:szCs w:val="1"/>
                <w:color w:val="auto"/>
              </w:rPr>
            </w:pPr>
          </w:p>
        </w:tc>
      </w:tr>
      <w:tr>
        <w:trPr>
          <w:trHeight w:val="241"/>
        </w:trPr>
        <w:tc>
          <w:tcPr>
            <w:tcW w:w="55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 (as reported)</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exercise adjustment</w:t>
            </w:r>
          </w:p>
        </w:tc>
        <w:tc>
          <w:tcPr>
            <w:tcW w:w="1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(72,129)</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(37,194)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(104,437)</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(109,323)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2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2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25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9,242</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9,242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(94,794)</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(99,680)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262,237,117</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262,237,117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financial statements restatement, refer to Note 3e of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under the supervision of the Company’s CEO and CFO, has evaluated, or caused to be evaluated, the effectiveness of the Company’s DC&amp;P as defined in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as of December 31, 2023. As a result of this evaluation, the Company’s CEO and CFO have concluded that the Company’s DC&amp;P were not effective as of December 31, 2023, and that the design and operating of the Company’s DC&amp;P were not effective to provide reasonable assurance that all material information relating to the Company was reported as required because material weaknesses in the current operation of the Company’s internal control over financial reporting were identified, as described below.</w:t>
      </w:r>
    </w:p>
    <w:p>
      <w:pPr>
        <w:spacing w:after="0" w:line="183" w:lineRule="exact"/>
        <w:rPr>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under the supervision of the CEO and CFO of the Company, has evaluated the effectiveness of its ICFR as of December 31, 2023, as defined in National Instruments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The evaluation was based on the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as of December 31, 2023, the Company’s ICFR was not effective because a material weakness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annual report on internal control over financial reporting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material weaknesses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has been reflected in the restated comparative periods presented in the Restated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Management determined that the restatement of financial information presented was necessary to correct the classification of proceeds from the sales of digital assets from cash flows from operations to cash flows from investing activities. The errors was corrected in the restated Consolidated Statements of Cash Flows for the years ended December 31, 2023 and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determined that the control over accounting for complex transactions did not operate effectively in these instances which constitutes a material weakness.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Section 15 for more details about the material errors and related restatements. Management considers these restatements to constitute a material weakness that requires remediation, and Management is in the process of implementing remediation measures to address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annual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remediation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financial instruments and review of financial statements. Management’s efforts are ongoing and its remediation plan is expected to be completed during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the “Risk Factors” section of this MD&amp;A.</w:t>
      </w:r>
    </w:p>
    <w:p>
      <w:pPr>
        <w:spacing w:after="0" w:line="172"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the exception of the items identified above, there have been no changes in the Company’s ICFR that have materially affected, or are reasonably likely to materially affect, the Company’s ICFR during the period beginning on October 1, 2023 and ended December 31, 2023.</w:t>
      </w:r>
    </w:p>
    <w:p>
      <w:pPr>
        <w:spacing w:after="0" w:line="158"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339,274,330 common shares outstanding, 12,177,519 vested and 8,646,868 unvested stock options, 29,898,390 warrants outstanding and 624,998 restricted stock units. There are no preferred shares or any other classes of shares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CEO.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54 MW server farm located in Cordoba, Argentina (with an electrical infrastructure capacity of 55 MW). Refer to Section 7 - </w:t>
      </w:r>
      <w:r>
        <w:rPr>
          <w:rFonts w:ascii="Times New Roman" w:cs="Times New Roman" w:eastAsia="Times New Roman" w:hAnsi="Times New Roman"/>
          <w:sz w:val="18"/>
          <w:szCs w:val="18"/>
          <w:i w:val="1"/>
          <w:iCs w:val="1"/>
          <w:color w:val="auto"/>
        </w:rPr>
        <w:t xml:space="preserve">Expansion Projects - A. Argentina Expansion </w:t>
      </w:r>
      <w:r>
        <w:rPr>
          <w:rFonts w:ascii="Times New Roman" w:cs="Times New Roman" w:eastAsia="Times New Roman" w:hAnsi="Times New Roman"/>
          <w:sz w:val="18"/>
          <w:szCs w:val="18"/>
          <w:color w:val="auto"/>
        </w:rPr>
        <w:t>of this MD&amp;A and the 2023 AIF under Section 5.2</w:t>
      </w:r>
      <w:r>
        <w:rPr>
          <w:rFonts w:ascii="Times New Roman" w:cs="Times New Roman" w:eastAsia="Times New Roman" w:hAnsi="Times New Roman"/>
          <w:sz w:val="18"/>
          <w:szCs w:val="18"/>
          <w:i w:val="1"/>
          <w:iCs w:val="1"/>
          <w:color w:val="auto"/>
        </w:rPr>
        <w:t xml:space="preserve"> - FUTURE GROWTH PLANS - ARGENTINA 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2023 AIF,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operates one 10 MW server farm located in Villarrica, Paraguay. Refer to Section 7 - </w:t>
      </w:r>
      <w:r>
        <w:rPr>
          <w:rFonts w:ascii="Times New Roman" w:cs="Times New Roman" w:eastAsia="Times New Roman" w:hAnsi="Times New Roman"/>
          <w:sz w:val="18"/>
          <w:szCs w:val="18"/>
          <w:i w:val="1"/>
          <w:iCs w:val="1"/>
          <w:color w:val="auto"/>
        </w:rPr>
        <w:t>Expansion Projects - B. Paraguay Expansion</w:t>
      </w:r>
      <w:r>
        <w:rPr>
          <w:rFonts w:ascii="Times New Roman" w:cs="Times New Roman" w:eastAsia="Times New Roman" w:hAnsi="Times New Roman"/>
          <w:sz w:val="18"/>
          <w:szCs w:val="18"/>
          <w:color w:val="auto"/>
        </w:rPr>
        <w:t xml:space="preserve"> of this MD&amp;A and the 2023 AIF under Section 5.3 </w:t>
      </w:r>
      <w:r>
        <w:rPr>
          <w:rFonts w:ascii="Times New Roman" w:cs="Times New Roman" w:eastAsia="Times New Roman" w:hAnsi="Times New Roman"/>
          <w:sz w:val="18"/>
          <w:szCs w:val="18"/>
          <w:i w:val="1"/>
          <w:iCs w:val="1"/>
          <w:color w:val="auto"/>
        </w:rPr>
        <w:t>- FUTURE GROWTH PLANS - PARAGUAY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the 2023 AIF,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operates one 18 MW server farm located in the State of Washington in the United States. Refer to Section 7 - </w:t>
      </w:r>
      <w:r>
        <w:rPr>
          <w:rFonts w:ascii="Times New Roman" w:cs="Times New Roman" w:eastAsia="Times New Roman" w:hAnsi="Times New Roman"/>
          <w:sz w:val="18"/>
          <w:szCs w:val="18"/>
          <w:i w:val="1"/>
          <w:iCs w:val="1"/>
          <w:color w:val="auto"/>
        </w:rPr>
        <w:t>Expansion Projects -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Washington Expansion </w:t>
      </w:r>
      <w:r>
        <w:rPr>
          <w:rFonts w:ascii="Times New Roman" w:cs="Times New Roman" w:eastAsia="Times New Roman" w:hAnsi="Times New Roman"/>
          <w:sz w:val="18"/>
          <w:szCs w:val="18"/>
          <w:color w:val="auto"/>
        </w:rPr>
        <w:t>of this MD&amp;A and the 2023 AIF under the Section 5.4</w:t>
      </w:r>
      <w:r>
        <w:rPr>
          <w:rFonts w:ascii="Times New Roman" w:cs="Times New Roman" w:eastAsia="Times New Roman" w:hAnsi="Times New Roman"/>
          <w:sz w:val="18"/>
          <w:szCs w:val="18"/>
          <w:i w:val="1"/>
          <w:iCs w:val="1"/>
          <w:color w:val="auto"/>
        </w:rPr>
        <w:t xml:space="preserve"> - FUTURE GROWTH PLANS - WASHINGTON EXPANSION.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the 2023 AIF, and as of the date of this MD&amp;A,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158 MW located in the Province of Québec, Canada. Refer to Section 7 - </w:t>
      </w:r>
      <w:r>
        <w:rPr>
          <w:rFonts w:ascii="Times New Roman" w:cs="Times New Roman" w:eastAsia="Times New Roman" w:hAnsi="Times New Roman"/>
          <w:sz w:val="18"/>
          <w:szCs w:val="18"/>
          <w:i w:val="1"/>
          <w:iCs w:val="1"/>
          <w:color w:val="auto"/>
        </w:rPr>
        <w:t>Expansion Projects - D. Canada Expansion</w:t>
      </w:r>
      <w:r>
        <w:rPr>
          <w:rFonts w:ascii="Times New Roman" w:cs="Times New Roman" w:eastAsia="Times New Roman" w:hAnsi="Times New Roman"/>
          <w:sz w:val="18"/>
          <w:szCs w:val="18"/>
          <w:color w:val="auto"/>
        </w:rPr>
        <w:t xml:space="preserve"> of this MD&amp;A and the 2023 AIF under the Section 5.5 </w:t>
      </w:r>
      <w:r>
        <w:rPr>
          <w:rFonts w:ascii="Times New Roman" w:cs="Times New Roman" w:eastAsia="Times New Roman" w:hAnsi="Times New Roman"/>
          <w:sz w:val="18"/>
          <w:szCs w:val="18"/>
          <w:i w:val="1"/>
          <w:iCs w:val="1"/>
          <w:color w:val="auto"/>
        </w:rPr>
        <w:t>- FUTURE GROWTH PLANS -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the 2023 AIF, and as of the date of this MD&amp;A,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principal risk factors that apply to the Company’s business and that may have a material adverse effect on the Company’s business,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its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this MD&amp;A, as well as the risk factors, uncertainties, and other information disclosed in the Company’s other public filings before making an investment decision regarding the Company’s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Halving Event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May 2020, the BTC Block Reward decreased from 12.5 to 6.25 BTC per block (a “BTC Halving”), and, consequently, the number of new BTC issued to Miners as a subsidy decreased to approximately 900 per day, excluding transaction fees.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May 2020 BTC Halving had a significant negative impact on the Company’s profitability for several months following the BTC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BTC Halving is that market variables of BTC price will adjust over time to ensure that Mining remains profitable. The period of market normalization after the next BTC Halving to incentivize profitability levels is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Once 21 million BTC are generated, the network will stop producing more. The next BTC Halving is expected to occur in April 2024, at which time BTC Block Rewards will decrease from 6.25 BTC per block to 3.125 BTC per block. While BTC prices have had a history of price fluctuations around BTC Halving events, there is no guarantee that the price change will be favorable or would compensate for the reduction in Mining reward and the corresponding decrease in the compensation the Company receives from the Mining Pool(s) in which it participates.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BTC price and difficulty do not maintain or continue their trend of adjusting to pre-BTC Halving profitability levels over time, or the period of market normalization after the BTC Halving to pre-BTC Halving profitability levels is too long, there is a risk that a future BTC Halving will render the Company unprofitable for a sustained time period such that it could be unable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Insolvency, Bankruptcy, or Cessation of Operations of Mining Pool Operator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been a member of multiple third-party Mining Pools; however, as of the date hereof, it participates in only one Mining Pool, being Foundry Pool. Foundry Pool is owned indirectly by Digital Currency Group, which also owns Genesis Global Capital (“Genesis”). On January 19, 2023, Genesis filed for U.S. bankruptcy protection. In the event that Foundry Pool (or any other Mining Pool in which the Company participates) ceases making payments to Bitfarms for whatever reason, including bankruptcy, insolvency or cessation of its operations, or for no reason, Bitfarms would expect to immediately cease contributing its Hash power to such Mining Pool and either: (i) join a different Mining Pool; or (ii) commence Mining independently. The Company estimates that such a switch would take approximately one day in either scenario. Given that Foundry Pool pays the Company on a daily basis, the cost of switching, if such a switch is ever deemed necessary by the Company, is expected to be the lost revenues the Company would have earned had it been Mining during that approximate one day period (and one additional day in the case Foundry Pool failed to pay the Company for its work, causing the decision to leave the Mining Pool). In the event that the Company is unable to make such a switch of its operations in a timely manner and its Mining operations experience significant down time, it may experience a material adverse change</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Foreign Mining Pool Operator</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Bitfarms participates in a single Mining Pool, being Foundry Pool. Consequently, the Company’s operations are substantially reliant on Foundry Pool and the terms of services and other terms and conditions that govern its relationship with Foundry Pool. Foundry Pool has the right to unilaterally modify the service agreement between it and the Company at any time without notice. This includes the right to modify the payout methodology or Mining Pool fees. In the event that any such modifications are unattractive or unacceptable to the Company, it may: (i) join a different Mining Pool; or (ii) commence Mining independently, either of which may cause a material adverse change. See risk factor </w:t>
      </w:r>
      <w:r>
        <w:rPr>
          <w:rFonts w:ascii="Times New Roman" w:cs="Times New Roman" w:eastAsia="Times New Roman" w:hAnsi="Times New Roman"/>
          <w:sz w:val="18"/>
          <w:szCs w:val="18"/>
          <w:i w:val="1"/>
          <w:iCs w:val="1"/>
          <w:color w:val="auto"/>
        </w:rPr>
        <w:t>Insolvency, Bankruptcy, or Cessation of Operations of Mining Pool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Operator </w:t>
      </w:r>
      <w:r>
        <w:rPr>
          <w:rFonts w:ascii="Times New Roman" w:cs="Times New Roman" w:eastAsia="Times New Roman" w:hAnsi="Times New Roman"/>
          <w:sz w:val="18"/>
          <w:szCs w:val="18"/>
          <w:color w:val="auto"/>
        </w:rPr>
        <w:t>above.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on a monthly basis, the Company calculates the revenues it should earn based on its theoretical Hashrate and compares it to the payments the Company received from Foundry Pool. As of the date hereof, the Company has not identified any material discrepancies between its calculations and payments actually received from Foundry Pool. In the event that the Company identifies a material difference, the Company may have to engage in litigation and/or cease its relationship with Foundry Pool, either of which may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Pool Agreements Governed by Foreign Laws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agreement between the Company and Foundry Pool is governed by the laws of the State of New York. Furthermore, the Mining Pool agreement contains an arbitration provision that requires any dispute arising out of or relating to the Company’s agreement with Foundry Pool, or the breach thereof, to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Mining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event the Company decides to cease participating in a Mining Pool and conduct Mining operations independently, it may be exposed to certain risks. Refer to Section 2 - </w:t>
      </w:r>
      <w:r>
        <w:rPr>
          <w:rFonts w:ascii="Times New Roman" w:cs="Times New Roman" w:eastAsia="Times New Roman" w:hAnsi="Times New Roman"/>
          <w:sz w:val="18"/>
          <w:szCs w:val="18"/>
          <w:i w:val="1"/>
          <w:iCs w:val="1"/>
          <w:color w:val="auto"/>
        </w:rPr>
        <w:t>Company Overview</w:t>
      </w:r>
      <w:r>
        <w:rPr>
          <w:rFonts w:ascii="Times New Roman" w:cs="Times New Roman" w:eastAsia="Times New Roman" w:hAnsi="Times New Roman"/>
          <w:sz w:val="18"/>
          <w:szCs w:val="18"/>
          <w:color w:val="auto"/>
        </w:rPr>
        <w:t>. The primary risk of conducting independent Mining is that the Company could experience a protracted period of failing to solve any blocks, causing a disruption in its revenue stream. In such a circumstance, the Company may need to borrow or raise additional capital to continue operations. There can be no guarantee that the Company could obtain any such financing on commercially attractive terms, or at all, and, consequently, the Company could experience a material adverse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Mining Pool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and conditions of the Foundry Pool to which the Company is subject, the Company has agreed to release, indemnify and hold Foundry Pool harmless from any and all losses, damages, and expenses, including reasonable attorneys’ fees, rights, claims, actions of any kind and injury (including death), arising out of or relating to the Company’s participation in Foundry Pool. In the event of any such losses, damages, or expenses, the Company may experience a material adverse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Manufacturing in Foreign Countries and the Importation of Equipment to the Jurisdictions in Which the Company Operates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relies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in 2018 and 2019, the U.S. enacted tariffs (or increased existing tariffs) on certain items imported from other countries. Following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third-party manufacturers, which could have an adverse impact on the Company’s business, financial condition and results of operations. In addition, actions by foreign markets to implement further trade policy changes, including limiting foreign investment or trade, increasing regulatory scrutiny or taking other actions that apply to the jurisdictions in which the Company operates or in which third parties with which the Company does business operate, could negatively impact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markets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in a company with operations in emerging markets entails certain inherit risks.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 which, in turn, may have a material adverse effect on the Company’s overall business, financial condition and results of operations, and/or the trading price of the Company’s shares.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Argentina and/or Paraguay may experience economic volatility and other challenges that could affect the Company’s business, financial condition and result of operations.</w:t>
      </w: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The economies of Argentina and Paraguay are vulnerable to external shocks caused by significant economic difficulties of their respective trading partners or by more general “contagion” effects.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Weak, flat or negative economic growth or changes in international trade policy of the major trading partners of Argentina and Paraguay could adversely affect their balance of payments and, consequently, their respective economic growth.</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growth stagnated starting in 2012, and Argentina has struggled to curb strong inflationary pressures since, with inflation spiking in 2023. In particular, Argentina’s annual inflation rate for 2023 ended at 211.4%, the highest since the early 1990s, and it currently has one of the highest rates of inflation in the world. Argentina’s high rate of inflation may adversely impact the Company’s business, results of operation and financial condition in the future. Due to the political and economic uncertainties in Argentina, the Company is uncertain when, or if, the Argentine VAT receivable will be settled.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economic conditions of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compared to foreign currencies; (iv) competitiveness and efficiency of domestic industries and services; (v) levels of domestic consumption and foreign and domestic investment and financing; and (vi) the rate of inflation. Any difficulties faced by the economies of Argentina and Paraguay or challenging or deteriorating financial condition of the same could have a material adverse effect on companies operating in Argentina and Paraguay, including the Company.</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The Company conducts operations in countries known to experience high levels of corruption, and any violation of anti-corruption laws could subject us to penalties and other adverse consequences.</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those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 Company conducts operations in countries known to experience high levels of corruption, and any violation of anti-corruption laws could subject us to penalties and other adverse consequences.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operations in Argentina and Paraguay, which are jurisdictions perceived as having relatively high levels of corruption. The Company’s activities in those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sanctions regulations by the Company, or otherwise committed on its behalf, including by its employees, directors, or other agents, could have a material adverse effect on the Company’s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The Company’s operations in Argentina are subject to frequent and unpredictable changes in tax rates, capital controls, and foreign exchange restrictions, which may restrict or affect the profitability of the Company’s operations.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following which the government submitted a bill in order to maintain the 30% rate until the end of 2021 and to extend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 Company’s operations in Argentina are subject to frequent and unpredictable changes in tax rates, capital controls, and foreign exchange restrictions, which may restrict or affect the profitability of the Company’s operations.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Price Volatility of Cryptocurrencies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media coverage of cryptocurrency, inflation, and political or economic events, as well as market acceptance and demand for cryptocurrency. The market price of one BTC, in the Company’s principal market, ranged from approximately $16,600 to $44,700 during the year ended December 31, 2023 and ranged from approximately $15,600 to $48,100 during the year ended December 31, 2022. Although the Company partially hedges its investment in BTC, such hedging practices may not adequately protect the Company from BTC’s price volatility and surrounding risks.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BTC that it holds, or the number of BTC it will sell. Rather, decisions to hold or sell BTC are currently determined by Management by analyzing forecasts and monitoring the market in real time. Such decisions, however well-informed, may result in untimely sales and even losses, adversely affecting an investment in the Company. Further, some of the business decisions (e.g., purchases of Miners and debt financing) the Company has made, and may in the future make, were or will be tied to the price of BTC at the time of each of those decisions. For example, in 2021, the Company made purchase commitments in respect of a significant number of new Miners to be delivered and paid for during the year 2022, when BTC and Miner prices were much lower than at the time of such purchase. Although the Company was successful in renegotiating the agreement and canceling some of those purchase commitments, it may not be able to do so in the future.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Cryptocurrencies and related mining equipment may be subject to momentum pricing, which is typically associated with growth stocks and other assets whose valuation, as determined by the investing public, accounts for anticipated future appreciation in value. Further, the price of mining equipment is often tied to the price of cryptocurrencies and other cryptocurrency economics, such as mining difficulty and the value of corresponding rewards.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trading price of the Company’s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Valuation and Price Volatility of Cryptocurrencies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is, and, in the future, is likely to continue to be, highly correlated to the trading price of BTC. BTC Mining companies’ stock have shown volatility relative to BTC, with many such stocks outperforming BTC in 2020 and 2021 but underperforming relative to BTC in 2022. For example, the closing price of the Company’s common shares on December 31, 2022 was $0.44 and the closing price of BTC was approximately $16,500 and, as of December 30, 2023, the closing price of the Company’s common shares was $2.91 and the closing price of BTC was approximately $42,300.</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results and financial condition have been and may continue to be adversely affected by declines in cryptocurrency market prices. In addition, the Company has made, and may continue to make, decisions concerning the execution of its business plan, including the development of its facilities and expansion into new markets, purchases of new Miners (or exercising any options it has to purchase new Miners) and incurrence of indebtedness, when BTC prices were, or may be, significantly higher or lower than they currently are, resulting in plans and obligations that the Company reassesses and likely will continue to reassess, particularly in light of potential general declines in cryptocurrency market prices, to determine the practicality, profitability and timeline of such plans and commitments.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Volatility may have an impact on the value of the Company’s inventory of cryptocurrencies and could result in margin calls on the Company’s long-term debt collateral BTC with NYDIG as described in Note 17 -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Price Fluctuations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have experienced wide fluctuations in price. The market price of the Company’s common shares ranged from $0.42 to $3.56 on Nasdaq and CAD$0.57 to CAD$4.68 on the Toronto Stock Exchange from January 1, 2023 to December 31, 2023. The market price of the Company’s common shares fluctuates significantly in response to a number of factors, most of which the Company cannot control and many of which have not necessarily been related to the operating performance, underlying asset values or prospects of the Company. In particular, the trading price of the Company’s common shares is in many cases directly tied to the price of BTC. Refer to “</w:t>
      </w:r>
      <w:r>
        <w:rPr>
          <w:rFonts w:ascii="Times New Roman" w:cs="Times New Roman" w:eastAsia="Times New Roman" w:hAnsi="Times New Roman"/>
          <w:sz w:val="18"/>
          <w:szCs w:val="18"/>
          <w:i w:val="1"/>
          <w:iCs w:val="1"/>
          <w:color w:val="auto"/>
        </w:rPr>
        <w:t>Valuation and Price Volatility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Cryptocurrencies and Mining Equipment</w:t>
      </w:r>
      <w:r>
        <w:rPr>
          <w:rFonts w:ascii="Times New Roman" w:cs="Times New Roman" w:eastAsia="Times New Roman" w:hAnsi="Times New Roman"/>
          <w:sz w:val="18"/>
          <w:szCs w:val="18"/>
          <w:color w:val="auto"/>
        </w:rPr>
        <w:t>” above for more details. Other factors that may impact the trading price of the Company’s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but are not limited to:</w:t>
      </w:r>
    </w:p>
    <w:p>
      <w:pPr>
        <w:spacing w:after="0" w:line="194" w:lineRule="exact"/>
        <w:rPr>
          <w:sz w:val="20"/>
          <w:szCs w:val="20"/>
          <w:color w:val="auto"/>
        </w:rPr>
      </w:pPr>
    </w:p>
    <w:p>
      <w:pPr>
        <w:ind w:left="660" w:hanging="328"/>
        <w:spacing w:after="0" w:line="261"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between periods or as compared to the Company’s projections or the projections or actual results companies that are perceived to be similar to the Company;</w:t>
      </w: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its competitors, or others in the cryptocurrency industry, such as acquisitions, bankruptcies or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 Price Fluctuations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 or otherwise not currently known to the Company.</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in the past, caused, and may, in the future, cause, the trading price of the Company’s common shares to decline. A continuation or worsening of the levels of market disruption and volatility seen in the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the subject of that type of litigation in the future, which litigation may be expensive to defend and may divert Management’s attention and resources from the operation of the Company’s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 must comply with the continued listing requirements of the Toronto Stock Exchange, Nasdaq or any other securities exchange on which its securities are listed in the future to avoid its securities being delisted. A delisting from the Toronto Stock Exchange and/or Nasdaq would result in the Company’s common shares being eligible for quotation on the over-the-counter (OTC) market, which is generally considered to be a less efficient system than listing on a national exchange, such as the Toronto Stock Exchange and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Needs, Uncertainty of Additional Financing and Dilution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2023, the Company had cash of $84.0 million, compared to $30.9 million as of December 31, 2022. The Company expects to continue to depend upon selling BTC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or private financing, strategic relationships or other arrangements. The ability of the Company to secure any required financing will depend in part upon prevailing capital market conditions and business success. There can be no assurance that the Company will be successful in its efforts to secure any additional financing on terms satisfactory to Management or at all. Even if such funding is available, the Company cannot predict the size of future issues of common shares or securities convertible into common shares or the effect, if any, that future issues and sales of common shares will have on the price of the Company’s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Future Capital Needs, Uncertainty of Additional Financing and Dilution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Company raises additional capital through the issuance of equity securities, the percentage ownership of the Company’s existing shareholders may be reduced, and such existing shareholders may experience additional dilution in net book value per share. Any such newly-issued equity securities may also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and capital expenditures, increase the Company’s vulnerability to general adverse economic and industry conditions, place the Company at a competitive disadvantage compared to its competitors that have less debt, limit the Company’s ability to borrow additional funds, and otherwise subject the Company to the risks discussed under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below and heighten the possible effects of the other risks discussed in these risk factors. In connection with any such future capital raising transaction, whether involving the issuance of equity securities or the incurrence of indebtedness, the Company may be required to accept terms that restrict its ability to raise additional capital for a period of time, which may limit or prevent the Company from raising capital at times when it would otherwise be opportunistic to do so.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lenders as described in more detail in this MD&amp;A,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result of any such restrictive covenants, the Company could be limited in the manner in which it conducts its business, and it may be unable to engage in favorable business activities or finance future operations or capital needs. In addition, the indebtedness may contain affirmative covenant obligations (e.g., debt to equity ratios, EBITDA requirements, etc.) that may constrain the Company’s financing opportunities and business activities. Any violation by the Company of any of such restrictive or affirmative covenants or failure by the Company to meet payment obligations (as was the case in early 2023 in respect of the Company’s strategic decision to delay the making of principal and interest payments on its previously outstanding loan from BlockFi) could provide the lender with the ability to accelerate the maturity of the indebtedness and exercise a variety of remedies, including foreclosing on any collateral securing the debt. The occurrence of any such violation by the Company and the exercise by its lenders of remedies with respect to any such violation could have a material adverse effect on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actively engages in hedging practices with respect to its cryptocurrency holdings to lessen the impact of BTC volatility on the Company’s results of operations and financial condition and to optimize cryptocurrency monetization. Although the Company undertakes hedging activities on a risk adjusted basis, there can be no certainty that such activities will be profitable, and these activities could result in significant losses.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Financial Conditions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which has contributed to the bankruptcy of several financial institutions in the United States or the rescue thereof by governmental authorities. The continuation of such adverse economic conditions and other related factors may affect the ability of the Company to obtain equity or debt financing in the future on terms favorable to it, or at all, and may cause decreases in asset values that are deemed to be other than temporary, which may result in impairment losses. If such levels of volatility and market turmoil continue, the financial condition of the Company may suffer and the price of the Company’s common shares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Global Financial Conditions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currently engages in hedging practices with respect to its cryptocurrency holdings to lessen the impact of BTC volatility, and, in the future, the Company may enter into additional hedging transactions to mitigate its exposure to aspects of the economy or specific economic conditions that are particularly volatile, such as interest rates. Although hedging is expected to reduce the impact of these aforementioned risks, entering into hedging transactions may expose the Company to risks associated with such transactions. Hedging against a decline in the values of the Company’s assets caused by interest rate risk or volatile BTC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Possibility of BTC Mining Algorithms Transitioning to Proof of Stake Validation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BTC shifts from a proof of work validation method to a proof of stake validation method, Mining would require less energy and may render any company that maintains advantages in the current climate (e.g., lower priced electricity, processing, real estate or hosting) less competitive. In September 2022, another prominent cryptocurrency, Ether, shifted from proof of work to a proof of stake validation method. If BTC switches to proof of stake validation in the future, Bitfarms, as a result of its efforts to optimize and improve the efficiency of its BTC Mining operations, may be exposed to the risk of losing the benefit of its capital investments and the competitive advantage Bitfarms hopes to gain from this as a result and may otherwise be negatively impacted. Such events could have a material adverse effect on Bitfarms’ ability to continue as a going concern or to profitably pursue its current growth strategy, which could have a material adverse effect on Bitfarms’ business, prospects or operations and potentially the value of any BTC that Bitfarms earns or otherwise acquires or holds for its own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as well as an investment in the Company’s common shares, can be based. The Company is subject to many risks common to venture enterprises, including under-capitalization, potential cash shortages and limitations with respect to personnel, financial and other resources. Although the Company has achieved profitable quarters in the past, to date, it has not maintained consistent profitability from period to period, and no assurances can be made that the Company will achieve consistent profitability in the near future, if ever. For the year ended December 31, 2023, the Company had a net loss from continuing operations of $108.9 million, which net losses were generated as the Company executed its business plan and expands its bitcoin mining activities as bitcoin prices have at times been in a bear market. There is no assurance that the Company will be successful in achieving a return on shareholders’ investment or meeting other metrics of success, which is dependent on bitcoin prices,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and Growth</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the departure, death, disability or other extended loss of services of any of whom, particularly with little or no notice, could cause delays on projects, frustrate the Company’s growth prospects and have an adverse impact on the Company’s industry relationships, project exploration and development programs, other aspects of its business and its financial condition, results of operations, cash flow and prospects. The Company has not historically purchased, and, in the future, does not expect to purchase, key person insurance on such individuals, which insurance would provide the Company with insurance proceeds in the event of their death.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also depends on its ability to attract and retain highly qualified management and Mining personnel while maintaining its corporate culture and technical standards. The Company faces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Hacking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network operated by the Company may be vulnerable to intrusions by hackers who could interfere with and introduce defects into the Company’s Mining operations. Private keys which enable holders to transfer funds may also be lost or stolen, resulting in irreversible losses of cryptocurrencies.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History of De-centralized Financial System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a limited history. Online cryptocurrency exchanges and trades therein operate with comparatively little regulation and are particularly susceptible to platform failures and fraudulent activities, which may have an adverse effect on the underlying prices of cryptocurrencies. In fact, many of the largest online cryptocurrency exchanges have been compromised by hackers.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these and other factors, traditional banks and other banking institutions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industry difficult or impossible. The Company has experienced and may in the future experience such banking challenges, which could have a material adverse effect on the Company’s business, prospects or operations and potentially the value of any BTC or other cryptocurrencies the Company earns or otherwise acquires or holds for its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Technological Obsolescence and Difficulty in Obtaining Hardware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available technology and invest in hardware and equipment required for maintaining and, as applicable, enhancing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whether at a price that is commercially acceptable to the Company or at all,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Network Difficulty and Impact of Increased Global Computing Power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is adjusted upwards by requiring more hashrate to be deployed to solve a block. Thus, Mining companies are further incentivized to grow their hashrate to maintain or improve their chance of earning new BTC rewards. In theory, these dual processes should continually replicate themselves until the supply of available BTC is exhausted. In response, Mining companies have attempted to achieve greater hashrate by deploying increasingly sophisticated, powerful and expensive Miners in ever greater quantities. If the price of BTC is not sufficiently high to allow the Company to fund its desired hashrate growth, including through new Miner acquisitions, and if it is otherwise unable to access additional capital to acquire Miners, the Company’s hashrate may stagnate and fall behind its competitors, potentially resulting in a decline in its revenues, which would have a material adverse effect on the Company’s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Dependence on Regulated Terms of Service and Electricity Rates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operations in the Province of Québec, Washington State, Paraguay and Argentina. The Company’s current and future operations and anticipated growth, and the sustainability of hydro-electricity and natural gas at economical prices for the purposes of cryptocurrency Mining in multiple locations, poses certain risks. These risks as well as the supply of electrical power, electricity rates, terms of service and regulatory regimes are summarized as follows: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the city of Baie-Comeau, Grant PUD, CLYFSA and Generación Mediterranea S.A. Regulated power suppliers may be subject to public policy initiatives and economic development programs which may or may not support the crypto mining industry. There can be no assurance that electricity will continue to be provided in the future or not curtailed to accommodate other users, or otherwise made available on terms which are economic for the Company’s current and future operations, anticipated growth, and sustainability. Any suspension or cessation of power supply, failure of electrical networks, or changes in cost structure which are not economic, in the jurisdictions where the Company utilizes power for its operations, could result in a material adverse effect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w:t>
      </w:r>
      <w:r>
        <w:rPr>
          <w:rFonts w:ascii="Times New Roman" w:cs="Times New Roman" w:eastAsia="Times New Roman" w:hAnsi="Times New Roman"/>
          <w:sz w:val="18"/>
          <w:szCs w:val="18"/>
          <w:i w:val="1"/>
          <w:iCs w:val="1"/>
          <w:color w:val="auto"/>
        </w:rPr>
        <w:t>Régie de l’énergie du Québec</w:t>
      </w:r>
      <w:r>
        <w:rPr>
          <w:rFonts w:ascii="Times New Roman" w:cs="Times New Roman" w:eastAsia="Times New Roman" w:hAnsi="Times New Roman"/>
          <w:sz w:val="18"/>
          <w:szCs w:val="18"/>
          <w:color w:val="auto"/>
        </w:rPr>
        <w:t xml:space="preserve"> (the “Régie”) by giving the Government of Québec the power to determine by regulation the cases in which Hydro-Québec, or any other electrical service provider, may be exempt from their obligation to provide electricity to industrial clients in the Province of Québec.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Hydro-Québec supplies power to certain of the Company’s facilities, and to the Municipal Electrical Networks for the Magog, Baie-Comeau and Sherbrooke facilities. The rates imposed on Hydro-Québec by the Régie are subject to change. Although power is supplied by Municipal Networks to the Company, the rates in those contracts are adjusted in response to tariff changes imposed by the Régie. Modifications to the rates are set pursuant to the Hydro-Québec Act by operation of law on April 1st each year, by a rate corresponding to the annual change in the overall average Québec consumer price index, on a tariff class basis such that any adjustment would apply equally to all industrial clients, which includes CB tariff users (for Cryptocurrency Mining), M tariff users or LG tariff users regardless of end use.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4" w:lineRule="exact"/>
        <w:rPr>
          <w:sz w:val="20"/>
          <w:szCs w:val="20"/>
          <w:color w:val="auto"/>
        </w:rPr>
      </w:pPr>
    </w:p>
    <w:p>
      <w:pPr>
        <w:jc w:val="both"/>
        <w:ind w:left="340" w:hanging="332"/>
        <w:spacing w:after="0" w:line="261" w:lineRule="auto"/>
        <w:tabs>
          <w:tab w:leader="none" w:pos="3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ind w:left="340" w:hanging="332"/>
        <w:spacing w:after="0" w:line="251"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would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Québec expansion projects, it would be required to participate in the call for tenders process. However, the Régie’s decision also meant that the Company’s pre-existing operations in the Province of Québec would remain subject to the M or LG tariff in force, as the case may be, and they were exempt from the tender process as well as the provisional tariff of CAD$0.15/kWh which had been requested by Hydro-Québec. The provisional tariff would apply to energy consumption not previously authorized under cryptocurrency contracts, to those cryptocurrency contracts entered into after June 7, 2018 and to any substitution of use or any increase of capacity for crypto Miners not already under authorized cryptocurrency contracts. The decision of the Régie did impose the potential requirement to curtail electricity use (of up to 95%) during peak hours at Hydro-Québec’s request (up to a maximum of 300 hours a year) under all cryptocurrency contracts including those at the Company’s pre-existing operations at the already operating Facilities in Québec. A shut down of 95% of operations for the maximum of 300 hours could result in a revenue decrease of approximately 3.4%.</w:t>
      </w:r>
    </w:p>
    <w:p>
      <w:pPr>
        <w:spacing w:after="0" w:line="19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On January 28, 2021, the Régie rendered its decision on Step 3 of the request filed by Hydro-Québec. The Régie decided that the existing subscriptions on the Hydro-Québec network were to be subject to non-firm service, starting in Winter 2021-2022. The non-firm service applies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3"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had already executed agreements with municipal electricity networks with non-firm service (without financial compensation) for at least 300 hours per year;</w:t>
      </w:r>
    </w:p>
    <w:p>
      <w:pPr>
        <w:ind w:left="660" w:right="20" w:hanging="328"/>
        <w:spacing w:after="0" w:line="250" w:lineRule="auto"/>
        <w:tabs>
          <w:tab w:leader="none" w:pos="66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would be subject to non-firm service without financial compensation. The treatment of those new clients must be fair and equitable with existing clients; and</w:t>
      </w:r>
    </w:p>
    <w:p>
      <w:pPr>
        <w:ind w:left="660" w:right="20" w:hanging="328"/>
        <w:spacing w:after="0" w:line="260" w:lineRule="auto"/>
        <w:tabs>
          <w:tab w:leader="none" w:pos="66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was estimated to represent only 3.4% of the 8,760 hours in a year. The Régie did not consider this request unreasonable considering the risks that cryptocurrency clients represent for Hydro-Québec.</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Consequently, the main difference between the CB tariff and the M or LG tariff is the curtailment obligation applicable to the CB tariff.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Régie an administrative complaint against Hydro-Québec requesting information regarding the process for the allocation of the balance of the 300 MW block. The filing of this complaint was justified by the fact that Hydro-Québec, at the time of filing and more than 6 months after the decision rendered by the Régie in Step 3, had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Hydro-Québec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authorize the suspension of the allocation process for the granting of the balance of the 300 MW reserved block and to reassess the amount of MWs to be allocated to crypto Miners for future operations. The Company has actively participated in the regulatory process on the approval, by the Régie, of the Supply Plan and has challenged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2023, the Régie rendered its decision on Hydro-Québec’s request to suspend the allocation process for the granting of the 300 MW reserved block. The Régie decided to suspend the allocation process while it assessed the Supply Plan submitted by Hydro-Québec. The Company did not challenge this decision but has strongly challenged Hydro-Quebec’s request to reduce the amount of power allocated to zero.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9, 2023, the Régie approved the reduction to zero MW for the remaining quantity of the reserved block, which totaled approximately 270MW at the time. In addition, the Régie decided to maintain the 32.6 MW of the reserved block that had already been allocated to CB tariff clients. The Régie considered that the potential reallocation of the quantities currently held by these customers in case of their subscriptions being abandoned or cancelled could enable certain companies to continue their development or a few new CB tariff customers to be served. The Régie requested Hydro-Quebec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already allocated. Hydro-Quebec requested, and the Régie accepted, that such new process be presented on or before January 31, 2024. The hearing is expected to be held between May 13 and June 21,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Company’s complaint was suspended at the request of the parties while the Company and Hydro-Quebec entered into direct discussions. On January 17, 2024, after settlement discussions proved to be unsuccessful, the Company requested the reactivation of the complaint and that a date of hearing be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Cowansville Facility is subject to a preferential rate of 5% on its first 5 MW of power; and the Farnham Facility is subject to a preferential rate of 20% on its first 10 MW of power.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(“Grant PUD”).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USD 2.100¢ per kWh for the first 50,000 kWh of consumption and USD 1.857¢ per additional kWh of consumption. Historically, rates for Schedule 7 have increased by an annual average of 1.27% per year. Effective February 1, 2023, Grant PUD’s commissioners authorized the addition of cryptocurrency Mining into the Evolving Industry Rate Schedule 17 (“Schedule 17”). The applicable rates for Schedule 17 are a demand charge for $28.18 per kW plus a variable component of 0.389¢ per kWh of consumption. Grant PUD may adjust the rate pricing with approval from its Board of Commissioners. An increase in the rates applicable to the Company’s electricity consumption in its operations in Washington State may adversely impact its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the Company completed the construction of a 10 MW facility in Paraguay (Villarrica). The facility is powered by CLYFSA. CLYFSA is the only private energy distribution company in Paraguay which purchases energy from ANDE, the operator of Paraguay’s national electricity grid, and provides power to almost 15,000 residential and commercial customers in Villarrica.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Paraguay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two power purchase agreements in Paraguay for up to 150 MW of hydro power until December 31, 2027: up to 50 MW in Villarrica, in close proximity to the Company’s existing operations in Paraguay, and up to 100 MW in Yguazu, a new location close to the Itaipú dam, the third largest hydro-electric dam in the world. Hydro power at both locations will be provided by ANDE at a contracted cost of approximately $0.039 per kWh, before VAT, until December 31, 2027, and is not subject to annual inflationary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Company commenced the construction of a 56 MW facility in Argentina (Rio Cuarto - Cordoba). Construction concluded during Q3 2022, and the site started operations gradually by adding 10MW modules at a time until September 2023, when it became fully operational. The facility receives electricity from Generacion Mediterranea S.A. (“GMSA”), one of the subsidiaries of Grupo Albanesi. Grupo Albanesi is an Argentine private corporate group focused on the energy market which provides natural gas and electrical energy to its clients from its multiple facilities.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Argentina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agreement also allows for GMSA to renegotiate the $0.02 per kWh rate if the ratio of the exchange rate under the blue-chip swap mechanism (refer to section 8d - </w:t>
      </w:r>
      <w:r>
        <w:rPr>
          <w:rFonts w:ascii="Times New Roman" w:cs="Times New Roman" w:eastAsia="Times New Roman" w:hAnsi="Times New Roman"/>
          <w:sz w:val="18"/>
          <w:szCs w:val="18"/>
          <w:i w:val="1"/>
          <w:iCs w:val="1"/>
          <w:color w:val="auto"/>
        </w:rPr>
        <w:t>Net financial income)</w:t>
      </w:r>
      <w:r>
        <w:rPr>
          <w:rFonts w:ascii="Times New Roman" w:cs="Times New Roman" w:eastAsia="Times New Roman" w:hAnsi="Times New Roman"/>
          <w:sz w:val="18"/>
          <w:szCs w:val="18"/>
          <w:color w:val="auto"/>
        </w:rPr>
        <w:t xml:space="preserve"> used in Argentina to the official exchange rate is less than 1.50. The $0.02 per kWh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specifies certain situations where the Company’s supply of electricity can be interrupted, including:</w:t>
      </w:r>
    </w:p>
    <w:p>
      <w:pPr>
        <w:spacing w:after="0" w:line="2" w:lineRule="exact"/>
        <w:rPr>
          <w:sz w:val="20"/>
          <w:szCs w:val="20"/>
          <w:color w:val="auto"/>
        </w:rPr>
      </w:pPr>
    </w:p>
    <w:p>
      <w:pPr>
        <w:ind w:left="660" w:hanging="328"/>
        <w:spacing w:after="0" w:line="250"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pro-rata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agreement with GMSA to receive power at its facility in Rio Cuarto at a fixed rate of 2.1 cents per kWh for the months of November through April 2024, which is expected to lower the Company’s blended cost of power over a full year of operations at approximately 2.5 cents per kWh plus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Commodity Prices or Reductions in the Availability of Such Commodities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and intends to continue using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are difficult to predict given the fluidity of the military conflict, the novelty of sanctions against Russia and the possibility of yet harsher sanctions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Profits/Losses and Production Revenues/Expenses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Company’s existing Mining farms, will require additional capital to fund expenses. The Company’s operating expenses and capital expenditures may also increase in future years as it adds consultants, personnel and equipment associated with the maintenance of its Mining farms and any other Mining farms the Company may acquire or develop, potentially leading to a decrease in the Company’s profits if its revenues do not increase correspondingly. The Company may not be successful in obtaining the required financing for these or other purposes, including for general working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and Failure of Cryptocurrency Exchanges, Custodians and Other Trading Venues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and into early 2023 (namely, FTX Trading Ltd., Celsius Network LLC,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 markets and in BTC. These events have also negatively impacted the liquidity of the digital asset markets and, in turn, the market price of shares of companies in the cryptocurrency industry, including the Company, as certain entities affiliated with bankrupt cryptocurrency exchanges engaged in significant trading activity. If the liquidity of the digital asset markets continues to be negatively impacted by these events, digital asset prices (including the price of BTC) may continue to experience significant volatility and confidence in the digital asset markets may be further undermined. These and similar events are ongoing and may occur with respect to other participants in the digital asset ecosystem in the future to develop, and it is not possible to predict at this time all of the risks that such events may pose to the Company, its service providers, the other third parties with which it does business or the digital asset industry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Fraud and Failure of Cryptocurrency Exchanges, Custodians and Other Trading Venues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this MD&amp;A) nor any material assets that may not be recovered or may otherwise be lost or misappropriated due to the bankruptcies, the failure or insolvency of large exchanges may cause the price of BTC to fall and decrease confidence in the larger ecosystem, which could adversely affect an investment in the Company. Such market volatility has had a material and adverse effect on the Company’s results of operations and financial condition, and the Company expects its results of operations to continue to be affected by the price of BTC as the results of its operations are significantly tied to the price of BTC.</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and similar events have had, and, in the future, may have, an adverse impact on the profitability of the Company’s BTC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the current and future custodians of the Company’s BTC or exchanges can result in a direct loss of the Company’s cryptocurrency and fiat currency assets, which loss may not be recoverable by the Company, whether under any insurance policies it has in place or otherwise.</w:t>
      </w:r>
    </w:p>
    <w:p>
      <w:pPr>
        <w:spacing w:after="0" w:line="17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Significant costs and demands upon Management and accounting and finance resources as a result of complying with the laws and regulations affecting public companies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the Company incurs significant administrative, legal, accounting and other burdens and expenses beyond those of a private company, including public company reporting obligations and Toronto Stock Exchange and Nasdaq listing requirements. In particular, the Company has needed, and continues to need, to enhance and supplement its internal accounting resources with additional accounting and finance personnel with the requisite technical and public company experience and expertise to enable the Company to satisfy such reporting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and impact of restatement of the Company’s historical financial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restated certain historical financial statements to reflect a correction to its accounting for warrants issued in the 2021 private placements. Specifically, the Company had previously accounted for the warrants as equity instruments; however, in connection with the preparation of its financial statements for the year ended December 31, 2023, Management concluded that the proper accounting classification of the warrants was as financial liabilities due to the cashless exercise feature included in the warrants. For more information, see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 xml:space="preserve"> in this MD&amp;A. It is difficult to predict all of the ramifications to the Company from the restatement. The restatement process was time and resource-intensive and involved substantial attention from management and significant costs and expenses, including for professional advisors assisting with the restatement. Although the restatement is now completed, it is possible that the Company will receive inquiries from the SEC, Canadian securities regulators, TSX and/or Nasdaq regarding the restated financial statements or related matters, which could consume a significant amount of resources. Moreover, many companies that have been required to restate their historical financial statements have experienced volatility in stock prices and declines in stock prices and shareholder lawsuits, which can be expensive to defend and divert Management attention and resources. The Company may suffer similar consequences as a result of the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Comprehensive Accounting Guidance for Cryptocurrencies under IFRS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there has been limited precedent set and a lack of specific accounting guidance for cryptocurrencies under certain applicable accounting standards, including, among other things, revenue recognition, it is unclear how Bitcoin miners (in particular, non-U.S. companies like the Company that utilize IFRS Accounting Standards) may be required to account for cryptocurrency operations, transactions and assets and related revenue recognition. A change in regulatory or financial accounting standards, or interpretations thereof by the SEC, particularly as they relate to the Company and the financial accounting of its Bitcoin-related operations, could result in changes in the Company’s accounting policies. Further, unlike in the case of U.S. generally accepted accounting principles where the Financial Accounting Standards Board has recently issued ASU 2023-08, which addresses the accounting and disclosure requirements for certain crypto assets, no similar guidance has yet been issued in respect of IFRS Accounting Standards. In addition, the accounting policies of many Bitcoin mining companies are being subjected to heightened scrutiny by regulators and the public. More specifically, the Company received comments from the staff of the SEC’s Division of Corporation Finance Office of Crypto Assets on the financial statements included in the Company’s annual report on Form 40-F for the year ended December 31, 2022 filed with the SEC, which comments focused on the accounting of the Company’s Bitcoin-related operations. Some of those comments have not yet been resolved.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as a result of the SEC’s determinations as to the application of the relevant IFRS Accounting Standards and the resolution of the Company’s SEC comments, the Company could be obligated in the future to restate historical financial statements. In connection with any such restatement, as well as the warrant accounting restatement, the market price of the Company’s common shares could be adversely affected, and the Company could become subject to private litigation or to investigations or enforcement actions by the SEC or other regulatory authorities, all of which could require the Company’s expenditure of additional financial and management resources. Furthermore, continued uncertainty with regard to financial accounting matters, particularly as they relate to the Company, the financial accounting of its bitcoin-related operations and the SEC comments the Company has received in respect of such matters, could negatively impact the Company’s business, prospects, financial condition and results of operations and its ability to raise capital on terms acceptable to the Company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Material Weakness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National Instrument 52-109 Certification of Disclosure in Issuers’ Annual and Interim Filings and Section 404 of the Sarbanes-Oxley Act of 2002 (the “Sarbanes-Oxley Act”), the Company is required to document and test its internal control procedures and prepare annual management assessments of the effectiveness of the Company’s internal control over financial reporting. The Company’s assessments must include disclosure of identified material weaknesses in its internal control over financial reporting. The existence of one or more material weaknesses could affect the accuracy and timing of the Company’s financial reporting. Testing and maintaining internal control over financial reporting involves significant costs and could divert management’s attention from other matters that are important to the Company’s business. Additionally, the Company may not be successful in remediating any deficiencies that may be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Internal Control Material Weakness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course of preparing the financial statements for the year ended December 31, 2023, Management identified a material weakness in the effectiveness of the Company’s ICFR for each of the years ended December 31, 2021, 2022 and 2023 related to the classification of warrants as financial liabilities that resulted in the restatement of the Company’s financial statements for the year ended December 31, 2022. For more information, including a description of the remediation efforts that the Company believes are required to address the identified material weakness, refer to the “Disclosure Controls and Procedures” and “Internal Control over Financial Reporting” sections in this MD&amp;A. The Company cannot assure investors that the measures the Company has taken or, in the future, will take will in fact be sufficient to remediate the control deficiencies that led to the material weakness in its ICFR or that such measures will prevent or avoid potential future material weaknesses, and the Company’s current controls and any new controls that it develops may become inadequate because of changes in conditions in the Company’s business. Further, additional weaknesses in the Company’s ICFR may be discovered in the future.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unable to remediate its material weakness or any future material weaknesses and otherwise implement and maintain effective ICFR, there may be material misstatements in the Company’s consolidated financial statements, the Company may be unable to comply with its reporting obligations on a timely basis, or the Company may fail to prevent or detect fraud. In any such case, the price of the Common Shares could be negatively impacted, and the Company could be unable to raise additional capital on terms acceptable to Management or at all. The lack of effective internal controls could thus materially adversely affect the Company’s financial condition and ability to implement the Company’s business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the Company were to conclude in the future that its ICFR provides reasonable assurance regarding the reliability of financial reporting and the preparation of consolidated financial statements for external purposes in accordance with IFRS Accounting Standards, because of its inherent limitations, ICFR may not prevent or detect all instances of fraud or misstatements. Regardless of how well designed and operated a control system may be, it can only provide reasonable, not absolute, safeguards with respect to the reliability of financial reporting and financial statement preparation.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Regulatory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section 7b -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 xml:space="preserve">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unfavorable conditions relating to the liquidity of and value of an investment in the Company’s common shares, such as restrictions on the acquisition, ownership, holding, selling, use or trading in the Company’s common shares or in the securities of companies in the Mining industry. Any such unfavorable conditions could result in the Company liquidating its cryptocurrency inventory at unfavorable prices and may adversely affect the Company’s shareholders.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For example, novel or unique assets such as BTC and other digital assets may be classified as securities if they meet the definition of investment contracts under applicable securities laws. In recent years, the offer and sale of digital assets other than BTC, most notably Kik Interactive Inc.’s Kin tokens and Telegram Group Inc.’s TON tokens, have been deemed to be investment contracts by the U.S. Securities and Exchange Commission (the “SEC”). While the Company believes that BTC is unlikely to be considered an investment contract and, thus, the BTC it holds is unlikely to be considered a security under the investment contract definition, the Company cannot provide any assurances that digital assets that it earns or otherwise acquires or holds for its own account, including BTC, will never be classified as securities under applicable securities laws. If BTC is considered a security, the Company may be required to register as an investment company under the U.S. Investment Company Act of 1940, as amended (the “1940 Act”), and comply with other requirements applicable to investment companies, which would, in turn, cause the Company to incur significant expenses, thereby materially and adversely impacting an investment in the Company. In addition, registration as an investment company may not be possible under the 1940 Act or may require meaningful corporate changes to effectuate, which, in turn, may have a material adverse effect on the Company’s business, financial condition and results of operations. The effect of any future such regulatory change on the Company or any cryptocurrency that the Company may earn is impossible to predict, but any such change could be substantial and adverse to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attitude toward and regulations applicable to foreign investment and the cryptocurrency Mining industry in each of the jurisdictions in which the Company operates may also change, including changes that are adverse,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22, 2023, the Canadian Department of Finance released the Budget Implementation Act, Bill c.47, a set of legislation to implement certain tax measures. These tax measures include restricting the ability of cryptocurrency Mining companies to claim back the consumption taxes they incur on purchases of goods and services made in Canada and imports into Canada with a date of enactment of February 5, 2022. As currently enacted, the legislation imposes restrictions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 The Company does not currently accrue for the recovery of these taxes. The Company is currently in discussions with Canadian tax authorities to determine whether the exemption provisions included in the legislation are applicable to relieve the Company of this potential financial burden. The timing for resolution of those discussions as well as the likelihood of a favorable outcome to the Company is currently unknown.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as well as certain U.S. state governments have enacted legislation and/or regulations, solicited comments and initiated procedures to consider further regulating cryptocurrency and Mining operations, including through proposed taxes on Mining operations and policy statements and guidance to companies in the cryptocurrency industry, as well as third parties that do business with those companies. The Company will continue to monitor for developments in U.S. federal and state-level legislation, guidance or regulations applicable to the Company and its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Licenses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operations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that all permits which the Company may require for its operations will be obtained on reasonable terms, on a timely basis, or at all, or otherwise maintained or that applicable laws and regulations will not have an adverse effect on any Mining projects or related activities that the Company might undertake.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Server or Internet Failures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any time, the servers or central processing units utilized by the Company could experience a severe malfunction and/or collapse. Although the Company works to reduce this risk by employing a team of experts with many years of experience in building and managing data centers as well as a hardware team that focuses, among other things, on Miner repair and the daily evaluation of the technical condition of the server farms that the Company operates, including through software (developed by its management) that facilitates, among other things, control, management and reporting of malfunctions in real time or any server crashes or failures, even if quickly addressed, may interrupt the Company’s operations and cause significant economic harm to the Company.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Internet disruptions or failures may adversely affect the Mining and use of cryptocurrencies, including BTC. Generally, cryptocurrencies and the Company’s business of Mining BTC are dependent upon the Internet. A significant disruption or failure of Internet connectivity, including of the Company’s backup Internet connection, could disrupt the network operations of cryptocurrencies until the disruption is resolved and have an adverse effect on the price of BTC and the Company’s ability to mine BTC.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Existing and prospective shareholders should consult their own tax advisors with respect to any tax considerations that may be relevant to an investment in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due to changes in, or the imposition of new, environmental regulations has the potential to reduce the profitability of the Company’s operations, cause delays in the development of its Mining projects or, in extreme cases, lead to the Company not being able to operate fully or at all in one or more of the jurisdictions in which it currently has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produce computational power. As of the date of this MD&amp;A, approximately 74% of the Company’s energy requirements are met by hydro-electricity.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for such matters may be significant and could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ESG Practices and the Impacts of Climate Change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Management’s time and energy may be diverted from executing on the Company’s strategic goals towards responding to such scrutiny and addressing and enhancing the Company’s ESG practices, which may not enhance the value of the Company’s common shares or positively impact shareholder return.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 of the Company’s operations. Other factors which may impact the Company’s profitability include, but are not limited to, demand for BTC and other cryptocurrencies, insurance and other operating costs, and damage incurred as a result of extreme weather events. New environmental laws, regulations or industry standards may be adopted with little or no notice to the Company and may impose significant operational restrictions and compliance requirements on the Company’s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Legislation and Scrutiny Regarding Human Rights Issues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Emerging legislation in multiple jurisdictions is intensifying investor, stakeholder and public scrutiny on human rights issues that include, among other matters, forced labour, child labour and other slavery-like practices; displacement of local communities; discrimination by race, age, gender, sexuality and other protected attributes; and underpayment for labour or services provided. Although the Company does not tolerate slavery, forced labor, or human trafficking in any form and will not knowingly work with third-parties who engage in these practices or permit their subcontractors to engage in these practices, the Company conducts business on a global scale and interacts with a number of different parties. Accordingly, the failure to identify and respond to human rights issues can lead to costly and disruptive legal action, investor divestment, negative publicity, reputational damage and significant financial loss.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force since January 1, 2024, Canada’s Fighting Against Forced Labour and Child Labour in Supply Chains Act introduces a statutory requirement to report on the steps taken by in-scope entities, including the Company, to prevent and reduce the risk that forced labour or child labour is used at any step in the production of goods in Canada or goods that are imported into Canada. Although the Company does not anticipate that this legislation will have a material impact on its operations, it is impossible to predict how additional legislation or increased scrutiny from human rights groups regarding the cryptocurrency industry and related supply chains may affect the Company going forward, particularly in the complex socio-economic and socio-political jurisdictions in which the Company conducts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Legislation and Scrutiny Regarding Human Rights Issues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committed to protecting human rights and has adopted a Code of Business Conduct and Ethics, along with other policies, to support such commitment, including its own Vendor and Suppliers Due Diligence process in order to mitigate third party-risks. Such policies and procedures may not minimize or prevent human rights issues. Any future failure to identify and respond to human rights issues, despite our efforts, may lead to costly and disruptive legal action, investor divestment, negative publicity, reputational damage and significant financial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Erroneous Transactions and Human Error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are also generally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may also be unable to convert or recover cryptocurrencies transferred to uncontrolled accounts.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operations. The factors affecting the further development of the industry, include, but are not limited to:</w:t>
      </w:r>
    </w:p>
    <w:p>
      <w:pPr>
        <w:spacing w:after="0" w:line="183" w:lineRule="exact"/>
        <w:rPr>
          <w:sz w:val="20"/>
          <w:szCs w:val="20"/>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BTC specifically and cryptocurrencies generally.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Developments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Note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including, in particular, in Argentina and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risks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 considered practical to do so, the Company maintains, and intends to continue maintaining, insurance against risks in the operation of its business and in amounts that it believes to be reasonable. Such insurance, however, contains, and may in the future contain, exclusions and limitations on coverage. There can be no assurance that such insurance will continue to be available, will be available at economically acceptable premiums or will be adequate to cover any resulting liability. The novelty of the cryptocurrency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by Management to be too expensive relative to the perceived risk.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BTC, which is held in custody by Coinbase Custody and Anchorage Digital, is not insured. Although Coinbase Custody maintains an insurance policy of $320 million for its cold storage and Anchorage Digital maintains an insurance policy of an aggregate of $50 million for its cold and hot storage, the full limits of those policies may not be available to the Company or, if available, may not be sufficient to make the Company whole for any BTC that are lost or stolen from the Company’s accounts. Therefore, a loss may be suffered with respect to the Company’s BTC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that are not adequately covered by insurance or for which insurance coverage is not available or has not been obtained could adversely impact the Company, including its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price volatility and, with respect to BTC, any future BTC Halvings, may make certain cryptocurrencies relatively unprofitable to mine compared to others.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in certain jurisdictions has led some Mining companies to consider Paraguay as an attractive jurisdiction in which to operate, which may increase competition with the Company and its expansion efforts in Paraguay. Despite the Company’s strategic planning and expected advantages over certain of its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award of coins for solving blocks and any related transaction fees are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BTC may adversely affect their value and result in a reduction in the market price of BTC, which could adversely impact the value of the Company’s cryptocurrency holdings and investments. If Miners choose to cease operations, there would be a reduction in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of acceptance and/or Widespread Use of Cryptocurrencies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cryptocurrencies are not widely used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individuals to widely utilize currently available, and/or 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Hazards Associated with High-voltage Electricity Transmission and Industrial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Doing business in international developing markets brings with it inherent risks associated with enforcement of obligations, fraud, bribery and corruption. The Company currently has operations in Argentina and Paraguay, which are jurisdictions perceived as having relatively high levels of corruption. While the Company uses its best efforts to prevent the occurrence of fraud, bribery and corruption, it may not be possible to detect or prevent every instance of fraud, bribery and corruption in every jurisdiction in which its employees, agents or contractors are located. The Company may therefore be subject to civil and criminal penalties and to reputational damage if any fraud, bribery or corruption is perpetrated by or on behalf of the Company. See “</w:t>
      </w:r>
      <w:r>
        <w:rPr>
          <w:rFonts w:ascii="Times New Roman" w:cs="Times New Roman" w:eastAsia="Times New Roman" w:hAnsi="Times New Roman"/>
          <w:sz w:val="18"/>
          <w:szCs w:val="18"/>
          <w:i w:val="1"/>
          <w:iCs w:val="1"/>
          <w:color w:val="auto"/>
        </w:rPr>
        <w:t>The Company conducts operations in countries known to experience high levels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corruption, and any violation of anti-corruption laws could subject us to penalties and other adverse consequences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Corrupt Practices Act and Similar Legislation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laws, if violated, often provide for the levy of substantial penalties against offending parties. The Company operates in jurisdictions that have experienced governmental and private sector corruption to varying degrees,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its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Foreign Corrupt Practices Act and Similar Legislation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The Company uses its best efforts to prevent the occurrence of fraud, bribery and corruption, but it may not be possible to detect or prevent every instance of fraud, bribery and corruption in every jurisdiction in which its employees, agents or contractors are located. The Company, or any of its employees or contractors, could be charged with bribery or corruption as a result of the actual or perceived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or its directors, officers, employees or contractors, or a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Instability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The occurrence of any of the foregoing could result in conditions that have a material adverse impact on the Company and its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 Risks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using certain Miners or otherwise alter its operations and may encounter delays. In addition, the Company may in the future be held directly or indirectly responsible, or be otherwise subject to liability, for actions or omissions of third parties undertaken in connection with the Company’s arrangements with such third parties. Any such responsibility or liability in the future may have a material adverse effect on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of Bitfarms Being Classified as a Passive Foreign Investment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2023 and does not expect to be a PFIC for 2024.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the Company’s shares may suffer adverse tax consequences, including the treatment of gains realized on the sale of the Company’s shares as ordinary income, rather than as capital gain, the loss of the preferential income tax rate applicable to dividends received on the Company’s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Pandemic and Infectious Disease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could have an adverse impact on the global economy, the economies of the jurisdictions where the Company operates and the Company’s business, including adverse changes to the way the Company and its counterparties operate and the ability of the Company to execute on its strategic goals and expansion plans in a timely manner or at all, and on the Company’s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preparation of the Company’s Restated Financial Statements requires Management to make certain estimates, judgments and assumptions that affect the reported amounts of assets and liabilities at the date of the Restated Financial Statements and the reported amounts of revenues and expenses during the reporting periods. Actual outcomes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Financial Statements include estimates that, by their nature, are uncertain. Key areas of estimation uncertainty include those relating to:</w:t>
      </w:r>
    </w:p>
    <w:p>
      <w:pPr>
        <w:spacing w:after="0" w:line="225" w:lineRule="exact"/>
        <w:rPr>
          <w:sz w:val="20"/>
          <w:szCs w:val="20"/>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(Note 4 and Note 9 to the Restated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and going concern (Note 2 and Note 4 to the Restated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(Note 4 and Note 18 to the Restated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and intangible assets (Note 4, Note 13 and Note 14 to the Restated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reversal of impairment of non-financial assets (Note 4 and Note 12 to the Restated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(Note 4 to the Restated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liability (Note 4 and Note 15 to the Restated Financial Statements);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rates of long-term debt (Note 4 and Note 17 to the Restated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impacts of such estimates are pervasive throughout the Restated Financial Statements and may require accounting adjustments based on future occurrences. Revisions to accounting estimates are recognized in the period in which the estimate is revised and future periods if the revision affects both current and future periods. These estimates are based on historical experience, current and future economic conditions and other factors, including expectations of future events that are believed to be reasonable under the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to the Restated Financial Statements for more information regarding the Company’s significant accounting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Restated Financial Statements for more information regarding the Company’s material accounting policy information and new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0" w:hanging="272"/>
        <w:spacing w:after="0"/>
        <w:tabs>
          <w:tab w:leader="none" w:pos="28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MD&amp;A for more details.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including the Company’s Annual Information Form,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ASIC</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SHA-256 algorithm.</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Bitcoin (BTC)</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Block Reward</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 Miners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 each block they successfully mine. The current block reward is 6.25 BTC per block.</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Blockchain</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 Blockchain</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grows as new sets of data, or ‘blocks’, are added to it through Mining. Each block contains a timestamp and a link to the</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previous block, such that the series of blocks form a continuous chain.  Given that each block has a separate hash and each</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hash requires information from the previous block, altering information an established block would require recalculating all</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hashes on the Blockchain which would require an enormous and impracticable amount of computing power. As a result,</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once a block is added to the Blockchain it is very difficult to edit and impossible to delete.</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Exahash</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One quintillion (1,000,000,000,000,000,000) hashes per second or one million Terahash.</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Hash</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Bitcoin</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transactions is the SHA-256 algorithm.</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Megawatt</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Rewards.</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Mining Pool</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 increase</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probability of finding a block on the BTC Blockchain. Mining pools administer regular payouts to mitigate the risk of</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Miners operating for a prolonged period of time without finding a block.</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439"/>
        </w:trPr>
        <w:tc>
          <w:tcPr>
            <w:tcW w:w="16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43"/>
        </w:trPr>
        <w:tc>
          <w:tcPr>
            <w:tcW w:w="1600" w:type="dxa"/>
            <w:vAlign w:val="bottom"/>
          </w:tcPr>
          <w:p>
            <w:pPr>
              <w:spacing w:after="0"/>
              <w:rPr>
                <w:sz w:val="21"/>
                <w:szCs w:val="21"/>
                <w:color w:val="auto"/>
              </w:rPr>
            </w:pPr>
          </w:p>
        </w:tc>
        <w:tc>
          <w:tcPr>
            <w:tcW w:w="9200" w:type="dxa"/>
            <w:vAlign w:val="bottom"/>
            <w:tcBorders>
              <w:right w:val="single" w:sz="8" w:color="auto"/>
            </w:tcBorders>
          </w:tcPr>
          <w:p>
            <w:pPr>
              <w:ind w:left="8960"/>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 protocol</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automatically adjusts Network Difficulty by changing the target every 2,016 blocks hashed based on the time it took for the</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computing power used in Bitcoin Mining to solve the previous 2,016 blocks such that the average time to solve each</w:t>
            </w:r>
          </w:p>
        </w:tc>
      </w:tr>
      <w:tr>
        <w:trPr>
          <w:trHeight w:val="234"/>
        </w:trPr>
        <w:tc>
          <w:tcPr>
            <w:tcW w:w="1780" w:type="dxa"/>
            <w:vAlign w:val="bottom"/>
          </w:tcPr>
          <w:p>
            <w:pPr>
              <w:spacing w:after="0"/>
              <w:rPr>
                <w:sz w:val="20"/>
                <w:szCs w:val="20"/>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block is ten minutes.</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 cryptocurrency.</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Petahash</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One quadrillion (1,000,000,000,000,000) hashes per second or one thousand Terahash.</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SHA-256</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1780" w:type="dxa"/>
            <w:vAlign w:val="bottom"/>
          </w:tcPr>
          <w:p>
            <w:pPr>
              <w:spacing w:after="0"/>
              <w:rPr>
                <w:sz w:val="20"/>
                <w:szCs w:val="20"/>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Synthetic HODL</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Synthetic HODL is the use of financial instruments to create BTC-equivalent exposure.</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Terahash</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One trillion (1,000,000,000,000) hashes per second.</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439"/>
        </w:trPr>
        <w:tc>
          <w:tcPr>
            <w:tcW w:w="17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43"/>
        </w:trPr>
        <w:tc>
          <w:tcPr>
            <w:tcW w:w="1780" w:type="dxa"/>
            <w:vAlign w:val="bottom"/>
          </w:tcPr>
          <w:p>
            <w:pPr>
              <w:spacing w:after="0"/>
              <w:rPr>
                <w:sz w:val="21"/>
                <w:szCs w:val="21"/>
                <w:color w:val="auto"/>
              </w:rPr>
            </w:pPr>
          </w:p>
        </w:tc>
        <w:tc>
          <w:tcPr>
            <w:tcW w:w="9020" w:type="dxa"/>
            <w:vAlign w:val="bottom"/>
            <w:tcBorders>
              <w:right w:val="single" w:sz="8" w:color="auto"/>
            </w:tcBorders>
          </w:tcPr>
          <w:p>
            <w:pPr>
              <w:ind w:left="8780"/>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Gagnon, certify that:</w:t>
      </w:r>
    </w:p>
    <w:p>
      <w:pPr>
        <w:spacing w:after="0" w:line="225"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40-F/A of Bitfarms Ltd.;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have: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certify that:</w:t>
      </w:r>
    </w:p>
    <w:p>
      <w:pPr>
        <w:spacing w:after="0" w:line="225" w:lineRule="exact"/>
        <w:rPr>
          <w:sz w:val="20"/>
          <w:szCs w:val="20"/>
          <w:color w:val="auto"/>
        </w:rPr>
      </w:pPr>
    </w:p>
    <w:p>
      <w:pPr>
        <w:ind w:left="660" w:hanging="652"/>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40-F/A of Bitfarms Ltd.;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have: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66" w:name="page167"/>
    <w:bookmarkEnd w:id="166"/>
    <w:p>
      <w:pPr>
        <w:ind w:left="10320"/>
        <w:spacing w:after="0"/>
        <w:rPr>
          <w:sz w:val="20"/>
          <w:szCs w:val="20"/>
          <w:color w:val="auto"/>
        </w:rPr>
      </w:pPr>
      <w:r>
        <w:rPr>
          <w:rFonts w:ascii="Times New Roman" w:cs="Times New Roman" w:eastAsia="Times New Roman" w:hAnsi="Times New Roman"/>
          <w:sz w:val="17"/>
          <w:szCs w:val="17"/>
          <w:b w:val="1"/>
          <w:bCs w:val="1"/>
          <w:color w:val="auto"/>
        </w:rPr>
        <w:t>Exhibit 99.6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Bitfarms Ltd. (the “Company”) on Form 40-F/A for the year ended December 31, 2023, as filed with the Securities and Exchange Commission on the date hereof (the “Report”), I, Benjamin Gagnon,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 or otherwise subject to the liability of that section.</w:t>
      </w:r>
    </w:p>
    <w:p>
      <w:pPr>
        <w:sectPr>
          <w:pgSz w:w="11900" w:h="16838" w:orient="portrait"/>
          <w:cols w:equalWidth="0" w:num="1">
            <w:col w:w="11240"/>
          </w:cols>
          <w:pgMar w:left="320" w:top="117" w:right="339" w:bottom="1440" w:gutter="0" w:footer="0" w:header="0"/>
        </w:sectPr>
      </w:pPr>
    </w:p>
    <w:bookmarkStart w:id="167" w:name="page168"/>
    <w:bookmarkEnd w:id="167"/>
    <w:p>
      <w:pPr>
        <w:ind w:left="10320"/>
        <w:spacing w:after="0"/>
        <w:rPr>
          <w:sz w:val="20"/>
          <w:szCs w:val="20"/>
          <w:color w:val="auto"/>
        </w:rPr>
      </w:pPr>
      <w:r>
        <w:rPr>
          <w:rFonts w:ascii="Times New Roman" w:cs="Times New Roman" w:eastAsia="Times New Roman" w:hAnsi="Times New Roman"/>
          <w:sz w:val="17"/>
          <w:szCs w:val="17"/>
          <w:b w:val="1"/>
          <w:bCs w:val="1"/>
          <w:color w:val="auto"/>
        </w:rPr>
        <w:t>Exhibit 99.7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Bitfarms Ltd. (the “Company”) on Form 40-F/A for the year ended December 31, 2023, as filed with the Securities and Exchange Commission on the date hereof (the “Report”), I, Jeffrey Lucas,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 or otherwise subject to the liability of that section.</w:t>
      </w:r>
    </w:p>
    <w:p>
      <w:pPr>
        <w:sectPr>
          <w:pgSz w:w="11900" w:h="16838" w:orient="portrait"/>
          <w:cols w:equalWidth="0" w:num="1">
            <w:col w:w="11240"/>
          </w:cols>
          <w:pgMar w:left="320" w:top="11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2"/>
          <w:szCs w:val="22"/>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71525" cy="6083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7152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Amendment No. 1 to the Annual Report on Form 40-F (the “Form 40-F/A”) for the year ended December 31, 2023, of Bitfarms Ltd. of our report dated December 9, 2024, relating to the consolidated financial statements, which appears in Exhibit 99.2 incorporated by reference in this Form 40-F/A.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 PricewaterhouseCoopers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Chartered Professional Accountants, Licensed Public Accountants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Toronto, Canada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9, 2024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PricewaterhouseCoopers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PwC Tower, 18 York Street, Suite 2500, Toronto, Ontario, Canada M5J 0B2</w:t>
      </w:r>
    </w:p>
    <w:p>
      <w:pPr>
        <w:spacing w:after="0"/>
        <w:rPr>
          <w:sz w:val="20"/>
          <w:szCs w:val="20"/>
          <w:color w:val="auto"/>
        </w:rPr>
      </w:pPr>
      <w:r>
        <w:rPr>
          <w:rFonts w:ascii="Times New Roman" w:cs="Times New Roman" w:eastAsia="Times New Roman" w:hAnsi="Times New Roman"/>
          <w:sz w:val="22"/>
          <w:szCs w:val="22"/>
          <w:color w:val="auto"/>
        </w:rPr>
        <w:t>T: +1 416 863 1133, F: +1 416 365 8215, ca_toronto_18_york_fax@pwc.com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“PwC” refers to PricewaterhouseCoopers LLP, an Ontario limited liability partnership.</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lvl w:ilvl="1">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1)"/>
      <w:numFmt w:val="lowerLetter"/>
      <w:start w:val="1"/>
    </w:lvl>
  </w:abstractNum>
  <w:abstractNum w:abstractNumId="3">
    <w:nsid w:val="1D9F6E5F"/>
    <w:multiLevelType w:val="hybridMultilevel"/>
    <w:lvl w:ilvl="0">
      <w:lvlJc w:val="left"/>
      <w:lvlText w:val="%1"/>
      <w:numFmt w:val="decimal"/>
      <w:start w:val="104"/>
    </w:lvl>
  </w:abstractNum>
  <w:abstractNum w:abstractNumId="4">
    <w:nsid w:val="97E1B4E"/>
    <w:multiLevelType w:val="hybridMultilevel"/>
    <w:lvl w:ilvl="0">
      <w:lvlJc w:val="left"/>
      <w:lvlText w:val="%1."/>
      <w:numFmt w:val="lowerLetter"/>
      <w:start w:val="1"/>
    </w:lvl>
  </w:abstractNum>
  <w:abstractNum w:abstractNumId="5">
    <w:nsid w:val="51088277"/>
    <w:multiLevelType w:val="hybridMultilevel"/>
    <w:lvl w:ilvl="0">
      <w:lvlJc w:val="left"/>
      <w:lvlText w:val="%1."/>
      <w:numFmt w:val="lowerLetter"/>
      <w:start w:val="2"/>
    </w:lvl>
  </w:abstractNum>
  <w:abstractNum w:abstractNumId="6">
    <w:nsid w:val="1CA0C5FA"/>
    <w:multiLevelType w:val="hybridMultilevel"/>
    <w:lvl w:ilvl="0">
      <w:lvlJc w:val="left"/>
      <w:lvlText w:val="%1."/>
      <w:numFmt w:val="lowerLetter"/>
      <w:start w:val="2"/>
    </w:lvl>
  </w:abstractNum>
  <w:abstractNum w:abstractNumId="7">
    <w:nsid w:val="53584BCB"/>
    <w:multiLevelType w:val="hybridMultilevel"/>
    <w:lvl w:ilvl="0">
      <w:lvlJc w:val="left"/>
      <w:lvlText w:val="%1."/>
      <w:numFmt w:val="lowerRoman"/>
      <w:start w:val="1"/>
    </w:lvl>
  </w:abstractNum>
  <w:abstractNum w:abstractNumId="8">
    <w:nsid w:val="415E286C"/>
    <w:multiLevelType w:val="hybridMultilevel"/>
    <w:lvl w:ilvl="0">
      <w:lvlJc w:val="left"/>
      <w:lvlText w:val="%1."/>
      <w:numFmt w:val="lowerRoman"/>
      <w:start w:val="2"/>
    </w:lvl>
  </w:abstractNum>
  <w:abstractNum w:abstractNumId="9">
    <w:nsid w:val="7C58FD05"/>
    <w:multiLevelType w:val="hybridMultilevel"/>
    <w:lvl w:ilvl="0">
      <w:lvlJc w:val="left"/>
      <w:lvlText w:val="%1."/>
      <w:numFmt w:val="lowerLetter"/>
      <w:start w:val="2"/>
    </w:lvl>
  </w:abstractNum>
  <w:abstractNum w:abstractNumId="10">
    <w:nsid w:val="23D86AAC"/>
    <w:multiLevelType w:val="hybridMultilevel"/>
    <w:lvl w:ilvl="0">
      <w:lvlJc w:val="left"/>
      <w:lvlText w:val="%1."/>
      <w:numFmt w:val="lowerRoman"/>
      <w:start w:val="1"/>
    </w:lvl>
  </w:abstractNum>
  <w:abstractNum w:abstractNumId="11">
    <w:nsid w:val="45E6D486"/>
    <w:multiLevelType w:val="hybridMultilevel"/>
    <w:lvl w:ilvl="0">
      <w:lvlJc w:val="left"/>
      <w:lvlText w:val="(%1)"/>
      <w:numFmt w:val="lowerRoman"/>
      <w:start w:val="1"/>
    </w:lvl>
  </w:abstractNum>
  <w:abstractNum w:abstractNumId="12">
    <w:nsid w:val="5C10FE21"/>
    <w:multiLevelType w:val="hybridMultilevel"/>
    <w:lvl w:ilvl="0">
      <w:lvlJc w:val="left"/>
      <w:lvlText w:val="%1."/>
      <w:numFmt w:val="lowerLetter"/>
      <w:start w:val="2"/>
    </w:lvl>
  </w:abstractNum>
  <w:abstractNum w:abstractNumId="13">
    <w:nsid w:val="E7FFA2B"/>
    <w:multiLevelType w:val="hybridMultilevel"/>
    <w:lvl w:ilvl="0">
      <w:lvlJc w:val="left"/>
      <w:lvlText w:val="%1."/>
      <w:numFmt w:val="lowerRoman"/>
      <w:start w:val="1"/>
    </w:lvl>
  </w:abstractNum>
  <w:abstractNum w:abstractNumId="14">
    <w:nsid w:val="3C5991AA"/>
    <w:multiLevelType w:val="hybridMultilevel"/>
    <w:lvl w:ilvl="0">
      <w:lvlJc w:val="left"/>
      <w:lvlText w:val="%1."/>
      <w:numFmt w:val="lowerRoman"/>
      <w:start w:val="2"/>
    </w:lvl>
  </w:abstractNum>
  <w:abstractNum w:abstractNumId="15">
    <w:nsid w:val="4BD8591A"/>
    <w:multiLevelType w:val="hybridMultilevel"/>
    <w:lvl w:ilvl="0">
      <w:lvlJc w:val="left"/>
      <w:lvlText w:val="%1."/>
      <w:numFmt w:val="lowerLetter"/>
      <w:start w:val="2"/>
    </w:lvl>
  </w:abstractNum>
  <w:abstractNum w:abstractNumId="16">
    <w:nsid w:val="78DF6A55"/>
    <w:multiLevelType w:val="hybridMultilevel"/>
    <w:lvl w:ilvl="0">
      <w:lvlJc w:val="left"/>
      <w:lvlText w:val="%1."/>
      <w:numFmt w:val="lowerRoman"/>
      <w:start w:val="1"/>
    </w:lvl>
  </w:abstractNum>
  <w:abstractNum w:abstractNumId="17">
    <w:nsid w:val="39B7AAA2"/>
    <w:multiLevelType w:val="hybridMultilevel"/>
    <w:lvl w:ilvl="0">
      <w:lvlJc w:val="left"/>
      <w:lvlText w:val="%1."/>
      <w:numFmt w:val="lowerRoman"/>
      <w:start w:val="2"/>
    </w:lvl>
  </w:abstractNum>
  <w:abstractNum w:abstractNumId="18">
    <w:nsid w:val="2B0D8DBE"/>
    <w:multiLevelType w:val="hybridMultilevel"/>
    <w:lvl w:ilvl="0">
      <w:lvlJc w:val="left"/>
      <w:lvlText w:val="%1."/>
      <w:numFmt w:val="lowerLetter"/>
      <w:start w:val="2"/>
    </w:lvl>
  </w:abstractNum>
  <w:abstractNum w:abstractNumId="19">
    <w:nsid w:val="6C80EC70"/>
    <w:multiLevelType w:val="hybridMultilevel"/>
    <w:lvl w:ilvl="0">
      <w:lvlJc w:val="left"/>
      <w:lvlText w:val="%1."/>
      <w:numFmt w:val="lowerRoman"/>
      <w:start w:val="1"/>
    </w:lvl>
  </w:abstractNum>
  <w:abstractNum w:abstractNumId="20">
    <w:nsid w:val="379E21B5"/>
    <w:multiLevelType w:val="hybridMultilevel"/>
    <w:lvl w:ilvl="0">
      <w:lvlJc w:val="left"/>
      <w:lvlText w:val="%1."/>
      <w:numFmt w:val="lowerLetter"/>
      <w:start w:val="2"/>
    </w:lvl>
  </w:abstractNum>
  <w:abstractNum w:abstractNumId="21">
    <w:nsid w:val="69E373"/>
    <w:multiLevelType w:val="hybridMultilevel"/>
    <w:lvl w:ilvl="0">
      <w:lvlJc w:val="left"/>
      <w:lvlText w:val="%1."/>
      <w:numFmt w:val="lowerRoman"/>
      <w:start w:val="2"/>
    </w:lvl>
  </w:abstractNum>
  <w:abstractNum w:abstractNumId="22">
    <w:nsid w:val="2C27173B"/>
    <w:multiLevelType w:val="hybridMultilevel"/>
    <w:lvl w:ilvl="0">
      <w:lvlJc w:val="left"/>
      <w:lvlText w:val="%1."/>
      <w:numFmt w:val="lowerRoman"/>
      <w:start w:val="3"/>
    </w:lvl>
  </w:abstractNum>
  <w:abstractNum w:abstractNumId="23">
    <w:nsid w:val="4C9B0904"/>
    <w:multiLevelType w:val="hybridMultilevel"/>
    <w:lvl w:ilvl="0">
      <w:lvlJc w:val="left"/>
      <w:lvlText w:val="%1."/>
      <w:numFmt w:val="lowerLetter"/>
      <w:start w:val="2"/>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1."/>
      <w:numFmt w:val="lowerLetter"/>
      <w:start w:val="2"/>
    </w:lvl>
  </w:abstractNum>
  <w:abstractNum w:abstractNumId="26">
    <w:nsid w:val="5675FF36"/>
    <w:multiLevelType w:val="hybridMultilevel"/>
    <w:lvl w:ilvl="0">
      <w:lvlJc w:val="left"/>
      <w:lvlText w:val="%1."/>
      <w:numFmt w:val="lowerRoman"/>
      <w:start w:val="1"/>
    </w:lvl>
  </w:abstractNum>
  <w:abstractNum w:abstractNumId="27">
    <w:nsid w:val="3DD15094"/>
    <w:multiLevelType w:val="hybridMultilevel"/>
    <w:lvl w:ilvl="0">
      <w:lvlJc w:val="left"/>
      <w:lvlText w:val="%1."/>
      <w:numFmt w:val="lowerRoman"/>
      <w:start w:val="2"/>
    </w:lvl>
  </w:abstractNum>
  <w:abstractNum w:abstractNumId="28">
    <w:nsid w:val="3DB012B3"/>
    <w:multiLevelType w:val="hybridMultilevel"/>
    <w:lvl w:ilvl="0">
      <w:lvlJc w:val="left"/>
      <w:lvlText w:val="%1."/>
      <w:numFmt w:val="lowerLetter"/>
      <w:start w:val="2"/>
    </w:lvl>
  </w:abstractNum>
  <w:abstractNum w:abstractNumId="29">
    <w:nsid w:val="2708C9AF"/>
    <w:multiLevelType w:val="hybridMultilevel"/>
    <w:lvl w:ilvl="0">
      <w:lvlJc w:val="left"/>
      <w:lvlText w:val="%1."/>
      <w:numFmt w:val="lowerRoman"/>
      <w:start w:val="1"/>
    </w:lvl>
  </w:abstractNum>
  <w:abstractNum w:abstractNumId="30">
    <w:nsid w:val="5B25ACE2"/>
    <w:multiLevelType w:val="hybridMultilevel"/>
    <w:lvl w:ilvl="0">
      <w:lvlJc w:val="left"/>
      <w:lvlText w:val="%1."/>
      <w:numFmt w:val="lowerLetter"/>
      <w:start w:val="2"/>
    </w:lvl>
  </w:abstractNum>
  <w:abstractNum w:abstractNumId="31">
    <w:nsid w:val="175DFCF0"/>
    <w:multiLevelType w:val="hybridMultilevel"/>
    <w:lvl w:ilvl="0">
      <w:lvlJc w:val="left"/>
      <w:lvlText w:val="%1."/>
      <w:numFmt w:val="lowerRoman"/>
      <w:start w:val="2"/>
    </w:lvl>
  </w:abstractNum>
  <w:abstractNum w:abstractNumId="32">
    <w:nsid w:val="4F97E3E4"/>
    <w:multiLevelType w:val="hybridMultilevel"/>
    <w:lvl w:ilvl="0">
      <w:lvlJc w:val="left"/>
      <w:lvlText w:val="%1."/>
      <w:numFmt w:val="lowerRoman"/>
      <w:start w:val="3"/>
    </w:lvl>
  </w:abstractNum>
  <w:abstractNum w:abstractNumId="33">
    <w:nsid w:val="53B0A9E"/>
    <w:multiLevelType w:val="hybridMultilevel"/>
    <w:lvl w:ilvl="0">
      <w:lvlJc w:val="left"/>
      <w:lvlText w:val="%1."/>
      <w:numFmt w:val="lowerRoman"/>
      <w:start w:val="4"/>
    </w:lvl>
  </w:abstractNum>
  <w:abstractNum w:abstractNumId="34">
    <w:nsid w:val="34FD6B4F"/>
    <w:multiLevelType w:val="hybridMultilevel"/>
    <w:lvl w:ilvl="0">
      <w:lvlJc w:val="left"/>
      <w:lvlText w:val="%1."/>
      <w:numFmt w:val="lowerRoman"/>
      <w:start w:val="5"/>
    </w:lvl>
  </w:abstractNum>
  <w:abstractNum w:abstractNumId="35">
    <w:nsid w:val="5915FF32"/>
    <w:multiLevelType w:val="hybridMultilevel"/>
    <w:lvl w:ilvl="0">
      <w:lvlJc w:val="left"/>
      <w:lvlText w:val="%1."/>
      <w:numFmt w:val="lowerLetter"/>
      <w:start w:val="2"/>
    </w:lvl>
  </w:abstractNum>
  <w:abstractNum w:abstractNumId="36">
    <w:nsid w:val="56438D15"/>
    <w:multiLevelType w:val="hybridMultilevel"/>
    <w:lvl w:ilvl="0">
      <w:lvlJc w:val="left"/>
      <w:lvlText w:val="%1."/>
      <w:numFmt w:val="lowerLetter"/>
      <w:start w:val="2"/>
    </w:lvl>
  </w:abstractNum>
  <w:abstractNum w:abstractNumId="37">
    <w:nsid w:val="519E3149"/>
    <w:multiLevelType w:val="hybridMultilevel"/>
    <w:lvl w:ilvl="0">
      <w:lvlJc w:val="left"/>
      <w:lvlText w:val="%1."/>
      <w:numFmt w:val="lowerLetter"/>
      <w:start w:val="3"/>
    </w:lvl>
  </w:abstractNum>
  <w:abstractNum w:abstractNumId="38">
    <w:nsid w:val="2C6E4AFD"/>
    <w:multiLevelType w:val="hybridMultilevel"/>
    <w:lvl w:ilvl="0">
      <w:lvlJc w:val="left"/>
      <w:lvlText w:val="%1."/>
      <w:numFmt w:val="lowerLetter"/>
      <w:start w:val="4"/>
    </w:lvl>
  </w:abstractNum>
  <w:abstractNum w:abstractNumId="39">
    <w:nsid w:val="17A1B582"/>
    <w:multiLevelType w:val="hybridMultilevel"/>
    <w:lvl w:ilvl="0">
      <w:lvlJc w:val="left"/>
      <w:lvlText w:val="%1."/>
      <w:numFmt w:val="lowerLetter"/>
      <w:start w:val="5"/>
    </w:lvl>
  </w:abstractNum>
  <w:abstractNum w:abstractNumId="40">
    <w:nsid w:val="4DF72E4E"/>
    <w:multiLevelType w:val="hybridMultilevel"/>
    <w:lvl w:ilvl="0">
      <w:lvlJc w:val="left"/>
      <w:lvlText w:val="%1."/>
      <w:numFmt w:val="lowerRoman"/>
      <w:start w:val="2"/>
    </w:lvl>
  </w:abstractNum>
  <w:abstractNum w:abstractNumId="41">
    <w:nsid w:val="5046B5A9"/>
    <w:multiLevelType w:val="hybridMultilevel"/>
    <w:lvl w:ilvl="0">
      <w:lvlJc w:val="left"/>
      <w:lvlText w:val="%1."/>
      <w:numFmt w:val="lowerLetter"/>
      <w:start w:val="5"/>
    </w:lvl>
  </w:abstractNum>
  <w:abstractNum w:abstractNumId="42">
    <w:nsid w:val="5D888A08"/>
    <w:multiLevelType w:val="hybridMultilevel"/>
    <w:lvl w:ilvl="0">
      <w:lvlJc w:val="left"/>
      <w:lvlText w:val="%1."/>
      <w:numFmt w:val="lowerLetter"/>
      <w:start w:val="1"/>
    </w:lvl>
  </w:abstractNum>
  <w:abstractNum w:abstractNumId="43">
    <w:nsid w:val="2A082C70"/>
    <w:multiLevelType w:val="hybridMultilevel"/>
    <w:lvl w:ilvl="0">
      <w:lvlJc w:val="left"/>
      <w:lvlText w:val="%1."/>
      <w:numFmt w:val="lowerLetter"/>
      <w:start w:val="2"/>
    </w:lvl>
  </w:abstractNum>
  <w:abstractNum w:abstractNumId="44">
    <w:nsid w:val="5EC6AFD4"/>
    <w:multiLevelType w:val="hybridMultilevel"/>
    <w:lvl w:ilvl="0">
      <w:lvlJc w:val="left"/>
      <w:lvlText w:val="%1."/>
      <w:numFmt w:val="lowerLetter"/>
      <w:start w:val="2"/>
    </w:lvl>
  </w:abstractNum>
  <w:abstractNum w:abstractNumId="45">
    <w:nsid w:val="19E21BB2"/>
    <w:multiLevelType w:val="hybridMultilevel"/>
    <w:lvl w:ilvl="0">
      <w:lvlJc w:val="left"/>
      <w:lvlText w:val="%1."/>
      <w:numFmt w:val="lowerLetter"/>
      <w:start w:val="2"/>
    </w:lvl>
  </w:abstractNum>
  <w:abstractNum w:abstractNumId="46">
    <w:nsid w:val="75E0858A"/>
    <w:multiLevelType w:val="hybridMultilevel"/>
    <w:lvl w:ilvl="0">
      <w:lvlJc w:val="left"/>
      <w:lvlText w:val="%1."/>
      <w:numFmt w:val="lowerLetter"/>
      <w:start w:val="1"/>
    </w:lvl>
  </w:abstractNum>
  <w:abstractNum w:abstractNumId="47">
    <w:nsid w:val="57A61A29"/>
    <w:multiLevelType w:val="hybridMultilevel"/>
    <w:lvl w:ilvl="0">
      <w:lvlJc w:val="left"/>
      <w:lvlText w:val="%1."/>
      <w:numFmt w:val="lowerLetter"/>
      <w:start w:val="2"/>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1."/>
      <w:numFmt w:val="lowerLetter"/>
      <w:start w:val="1"/>
    </w:lvl>
  </w:abstractNum>
  <w:abstractNum w:abstractNumId="52">
    <w:nsid w:val="2157F6BC"/>
    <w:multiLevelType w:val="hybridMultilevel"/>
    <w:lvl w:ilvl="0">
      <w:lvlJc w:val="left"/>
      <w:lvlText w:val="%1."/>
      <w:numFmt w:val="lowerRoman"/>
      <w:start w:val="1"/>
    </w:lvl>
  </w:abstractNum>
  <w:abstractNum w:abstractNumId="53">
    <w:nsid w:val="704E1DD5"/>
    <w:multiLevelType w:val="hybridMultilevel"/>
    <w:lvl w:ilvl="0">
      <w:lvlJc w:val="left"/>
      <w:lvlText w:val="%1."/>
      <w:numFmt w:val="lowerLetter"/>
      <w:start w:val="2"/>
    </w:lvl>
  </w:abstractNum>
  <w:abstractNum w:abstractNumId="54">
    <w:nsid w:val="57D2F10E"/>
    <w:multiLevelType w:val="hybridMultilevel"/>
    <w:lvl w:ilvl="0">
      <w:lvlJc w:val="left"/>
      <w:lvlText w:val="%1."/>
      <w:numFmt w:val="lowerLetter"/>
      <w:start w:val="3"/>
    </w:lvl>
  </w:abstractNum>
  <w:abstractNum w:abstractNumId="55">
    <w:nsid w:val="BFFAE18"/>
    <w:multiLevelType w:val="hybridMultilevel"/>
    <w:lvl w:ilvl="0">
      <w:lvlJc w:val="left"/>
      <w:lvlText w:val="%1."/>
      <w:numFmt w:val="lowerLetter"/>
      <w:start w:val="4"/>
    </w:lvl>
  </w:abstractNum>
  <w:abstractNum w:abstractNumId="56">
    <w:nsid w:val="E3E47A8"/>
    <w:multiLevelType w:val="hybridMultilevel"/>
    <w:lvl w:ilvl="0">
      <w:lvlJc w:val="left"/>
      <w:lvlText w:val="%1."/>
      <w:numFmt w:val="lowerRoman"/>
      <w:start w:val="2"/>
    </w:lvl>
  </w:abstractNum>
  <w:abstractNum w:abstractNumId="57">
    <w:nsid w:val="2E48F044"/>
    <w:multiLevelType w:val="hybridMultilevel"/>
    <w:lvl w:ilvl="0">
      <w:lvlJc w:val="left"/>
      <w:lvlText w:val="%1."/>
      <w:numFmt w:val="lowerLetter"/>
      <w:start w:val="1"/>
    </w:lvl>
  </w:abstractNum>
  <w:abstractNum w:abstractNumId="58">
    <w:nsid w:val="49D0FEAC"/>
    <w:multiLevelType w:val="hybridMultilevel"/>
    <w:lvl w:ilvl="0">
      <w:lvlJc w:val="left"/>
      <w:lvlText w:val="%1."/>
      <w:numFmt w:val="lowerRoman"/>
      <w:start w:val="1"/>
    </w:lvl>
  </w:abstractNum>
  <w:abstractNum w:abstractNumId="59">
    <w:nsid w:val="4BEE5A5B"/>
    <w:multiLevelType w:val="hybridMultilevel"/>
    <w:lvl w:ilvl="0">
      <w:lvlJc w:val="left"/>
      <w:lvlText w:val="%1."/>
      <w:numFmt w:val="lowerRoman"/>
      <w:start w:val="2"/>
    </w:lvl>
  </w:abstractNum>
  <w:abstractNum w:abstractNumId="60">
    <w:nsid w:val="5551B9F3"/>
    <w:multiLevelType w:val="hybridMultilevel"/>
    <w:lvl w:ilvl="0">
      <w:lvlJc w:val="left"/>
      <w:lvlText w:val="%1."/>
      <w:numFmt w:val="lowerRoman"/>
      <w:start w:val="1"/>
    </w:lvl>
  </w:abstractNum>
  <w:abstractNum w:abstractNumId="61">
    <w:nsid w:val="24F6AB8E"/>
    <w:multiLevelType w:val="hybridMultilevel"/>
    <w:lvl w:ilvl="0">
      <w:lvlJc w:val="left"/>
      <w:lvlText w:val="%1."/>
      <w:numFmt w:val="lowerRoman"/>
      <w:start w:val="2"/>
    </w:lvl>
  </w:abstractNum>
  <w:abstractNum w:abstractNumId="62">
    <w:nsid w:val="634C574C"/>
    <w:multiLevelType w:val="hybridMultilevel"/>
    <w:lvl w:ilvl="0">
      <w:lvlJc w:val="left"/>
      <w:lvlText w:val="%1."/>
      <w:numFmt w:val="lowerRoman"/>
      <w:start w:val="1"/>
    </w:lvl>
  </w:abstractNum>
  <w:abstractNum w:abstractNumId="63">
    <w:nsid w:val="24E99DD7"/>
    <w:multiLevelType w:val="hybridMultilevel"/>
    <w:lvl w:ilvl="0">
      <w:lvlJc w:val="left"/>
      <w:lvlText w:val="%1."/>
      <w:numFmt w:val="lowerRoman"/>
      <w:start w:val="2"/>
    </w:lvl>
  </w:abstractNum>
  <w:abstractNum w:abstractNumId="64">
    <w:nsid w:val="2A31B62D"/>
    <w:multiLevelType w:val="hybridMultilevel"/>
    <w:lvl w:ilvl="0">
      <w:lvlJc w:val="left"/>
      <w:lvlText w:val="%1."/>
      <w:numFmt w:val="lowerLetter"/>
      <w:start w:val="2"/>
    </w:lvl>
  </w:abstractNum>
  <w:abstractNum w:abstractNumId="65">
    <w:nsid w:val="1849C29B"/>
    <w:multiLevelType w:val="hybridMultilevel"/>
    <w:lvl w:ilvl="0">
      <w:lvlJc w:val="left"/>
      <w:lvlText w:val="%1."/>
      <w:numFmt w:val="lowerRoman"/>
      <w:start w:val="1"/>
    </w:lvl>
  </w:abstractNum>
  <w:abstractNum w:abstractNumId="66">
    <w:nsid w:val="7DFF9D09"/>
    <w:multiLevelType w:val="hybridMultilevel"/>
    <w:lvl w:ilvl="0">
      <w:lvlJc w:val="left"/>
      <w:lvlText w:val="%1."/>
      <w:numFmt w:val="lowerRoman"/>
      <w:start w:val="2"/>
    </w:lvl>
  </w:abstractNum>
  <w:abstractNum w:abstractNumId="67">
    <w:nsid w:val="754342"/>
    <w:multiLevelType w:val="hybridMultilevel"/>
    <w:lvl w:ilvl="0">
      <w:lvlJc w:val="left"/>
      <w:lvlText w:val="%1."/>
      <w:numFmt w:val="lowerRoman"/>
      <w:start w:val="3"/>
    </w:lvl>
  </w:abstractNum>
  <w:abstractNum w:abstractNumId="68">
    <w:nsid w:val="69E7F3E5"/>
    <w:multiLevelType w:val="hybridMultilevel"/>
    <w:lvl w:ilvl="0">
      <w:lvlJc w:val="left"/>
      <w:lvlText w:val="%1."/>
      <w:numFmt w:val="lowerRoman"/>
      <w:start w:val="4"/>
    </w:lvl>
  </w:abstractNum>
  <w:abstractNum w:abstractNumId="69">
    <w:nsid w:val="2A6DE806"/>
    <w:multiLevelType w:val="hybridMultilevel"/>
    <w:lvl w:ilvl="0">
      <w:lvlJc w:val="left"/>
      <w:lvlText w:val="*"/>
      <w:numFmt w:val="bullet"/>
      <w:start w:val="1"/>
    </w:lvl>
  </w:abstractNum>
  <w:abstractNum w:abstractNumId="70">
    <w:nsid w:val="1816F8C4"/>
    <w:multiLevelType w:val="hybridMultilevel"/>
    <w:lvl w:ilvl="0">
      <w:lvlJc w:val="left"/>
      <w:lvlText w:val="*"/>
      <w:numFmt w:val="bullet"/>
      <w:start w:val="1"/>
    </w:lvl>
  </w:abstractNum>
  <w:abstractNum w:abstractNumId="71">
    <w:nsid w:val="37DF2233"/>
    <w:multiLevelType w:val="hybridMultilevel"/>
    <w:lvl w:ilvl="0">
      <w:lvlJc w:val="left"/>
      <w:lvlText w:val="*"/>
      <w:numFmt w:val="bullet"/>
      <w:start w:val="1"/>
    </w:lvl>
  </w:abstractNum>
  <w:abstractNum w:abstractNumId="72">
    <w:nsid w:val="7AB49DAF"/>
    <w:multiLevelType w:val="hybridMultilevel"/>
    <w:lvl w:ilvl="0">
      <w:lvlJc w:val="left"/>
      <w:lvlText w:val="%1."/>
      <w:numFmt w:val="lowerLetter"/>
      <w:start w:val="1"/>
    </w:lvl>
  </w:abstractNum>
  <w:abstractNum w:abstractNumId="73">
    <w:nsid w:val="759F82CD"/>
    <w:multiLevelType w:val="hybridMultilevel"/>
    <w:lvl w:ilvl="0">
      <w:lvlJc w:val="left"/>
      <w:lvlText w:val="%1."/>
      <w:numFmt w:val="lowerLetter"/>
      <w:start w:val="2"/>
    </w:lvl>
  </w:abstractNum>
  <w:abstractNum w:abstractNumId="74">
    <w:nsid w:val="61E74EA3"/>
    <w:multiLevelType w:val="hybridMultilevel"/>
    <w:lvl w:ilvl="0">
      <w:lvlJc w:val="left"/>
      <w:lvlText w:val="%1."/>
      <w:numFmt w:val="lowerLetter"/>
      <w:start w:val="3"/>
    </w:lvl>
  </w:abstractNum>
  <w:abstractNum w:abstractNumId="75">
    <w:nsid w:val="597B4D84"/>
    <w:multiLevelType w:val="hybridMultilevel"/>
    <w:lvl w:ilvl="0">
      <w:lvlJc w:val="left"/>
      <w:lvlText w:val="%1."/>
      <w:numFmt w:val="lowerLetter"/>
      <w:start w:val="1"/>
    </w:lvl>
  </w:abstractNum>
  <w:abstractNum w:abstractNumId="76">
    <w:nsid w:val="F819E7F"/>
    <w:multiLevelType w:val="hybridMultilevel"/>
    <w:lvl w:ilvl="0">
      <w:lvlJc w:val="left"/>
      <w:lvlText w:val="%1."/>
      <w:numFmt w:val="lowerLetter"/>
      <w:start w:val="2"/>
    </w:lvl>
  </w:abstractNum>
  <w:abstractNum w:abstractNumId="77">
    <w:nsid w:val="57C7D42D"/>
    <w:multiLevelType w:val="hybridMultilevel"/>
    <w:lvl w:ilvl="0">
      <w:lvlJc w:val="left"/>
      <w:lvlText w:val="%1."/>
      <w:numFmt w:val="lowerLetter"/>
      <w:start w:val="1"/>
    </w:lvl>
  </w:abstractNum>
  <w:abstractNum w:abstractNumId="78">
    <w:nsid w:val="312167AD"/>
    <w:multiLevelType w:val="hybridMultilevel"/>
    <w:lvl w:ilvl="0">
      <w:lvlJc w:val="left"/>
      <w:lvlText w:val="%1."/>
      <w:numFmt w:val="lowerLetter"/>
      <w:start w:val="2"/>
    </w:lvl>
  </w:abstractNum>
  <w:abstractNum w:abstractNumId="79">
    <w:nsid w:val="631B64D4"/>
    <w:multiLevelType w:val="hybridMultilevel"/>
    <w:lvl w:ilvl="0">
      <w:lvlJc w:val="left"/>
      <w:lvlText w:val="%1."/>
      <w:numFmt w:val="lowerRoman"/>
      <w:start w:val="1"/>
    </w:lvl>
  </w:abstractNum>
  <w:abstractNum w:abstractNumId="80">
    <w:nsid w:val="78B5E776"/>
    <w:multiLevelType w:val="hybridMultilevel"/>
    <w:lvl w:ilvl="0">
      <w:lvlJc w:val="left"/>
      <w:lvlText w:val="%1."/>
      <w:numFmt w:val="lowerRoman"/>
      <w:start w:val="2"/>
    </w:lvl>
  </w:abstractNum>
  <w:abstractNum w:abstractNumId="81">
    <w:nsid w:val="75486E47"/>
    <w:multiLevelType w:val="hybridMultilevel"/>
    <w:lvl w:ilvl="0">
      <w:lvlJc w:val="left"/>
      <w:lvlText w:val="%1."/>
      <w:numFmt w:val="lowerRoman"/>
      <w:start w:val="3"/>
    </w:lvl>
  </w:abstractNum>
  <w:abstractNum w:abstractNumId="82">
    <w:nsid w:val="6E534CDE"/>
    <w:multiLevelType w:val="hybridMultilevel"/>
    <w:lvl w:ilvl="0">
      <w:lvlJc w:val="left"/>
      <w:lvlText w:val="%1."/>
      <w:numFmt w:val="lowerRoman"/>
      <w:start w:val="4"/>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1."/>
      <w:numFmt w:val="lowerRoman"/>
      <w:start w:val="4"/>
    </w:lvl>
  </w:abstractNum>
  <w:abstractNum w:abstractNumId="85">
    <w:nsid w:val="46263DEC"/>
    <w:multiLevelType w:val="hybridMultilevel"/>
    <w:lvl w:ilvl="0">
      <w:lvlJc w:val="left"/>
      <w:lvlText w:val="%1."/>
      <w:numFmt w:val="lowerLetter"/>
      <w:start w:val="1"/>
    </w:lvl>
  </w:abstractNum>
  <w:abstractNum w:abstractNumId="86">
    <w:nsid w:val="260D8C4A"/>
    <w:multiLevelType w:val="hybridMultilevel"/>
    <w:lvl w:ilvl="0">
      <w:lvlJc w:val="left"/>
      <w:lvlText w:val="%1."/>
      <w:numFmt w:val="lowerLetter"/>
      <w:start w:val="1"/>
    </w:lvl>
  </w:abstractNum>
  <w:abstractNum w:abstractNumId="87">
    <w:nsid w:val="73D4D3C4"/>
    <w:multiLevelType w:val="hybridMultilevel"/>
    <w:lvl w:ilvl="0">
      <w:lvlJc w:val="left"/>
      <w:lvlText w:val="%1."/>
      <w:numFmt w:val="lowerLetter"/>
      <w:start w:val="2"/>
    </w:lvl>
  </w:abstractNum>
  <w:abstractNum w:abstractNumId="88">
    <w:nsid w:val="746F2E30"/>
    <w:multiLevelType w:val="hybridMultilevel"/>
    <w:lvl w:ilvl="0">
      <w:lvlJc w:val="left"/>
      <w:lvlText w:val="%1."/>
      <w:numFmt w:val="lowerLetter"/>
      <w:start w:val="2"/>
    </w:lvl>
  </w:abstractNum>
  <w:abstractNum w:abstractNumId="89">
    <w:nsid w:val="6FDE8AF6"/>
    <w:multiLevelType w:val="hybridMultilevel"/>
    <w:lvl w:ilvl="0">
      <w:lvlJc w:val="left"/>
      <w:lvlText w:val="%1."/>
      <w:numFmt w:val="lowerLetter"/>
      <w:start w:val="2"/>
    </w:lvl>
  </w:abstractNum>
  <w:abstractNum w:abstractNumId="90">
    <w:nsid w:val="3FC32E20"/>
    <w:multiLevelType w:val="hybridMultilevel"/>
    <w:lvl w:ilvl="0">
      <w:lvlJc w:val="left"/>
      <w:lvlText w:val="%1."/>
      <w:numFmt w:val="lowerLetter"/>
      <w:start w:val="1"/>
    </w:lvl>
  </w:abstractNum>
  <w:abstractNum w:abstractNumId="91">
    <w:nsid w:val="49C0E823"/>
    <w:multiLevelType w:val="hybridMultilevel"/>
    <w:lvl w:ilvl="0">
      <w:lvlJc w:val="left"/>
      <w:lvlText w:val="%1."/>
      <w:numFmt w:val="lowerLetter"/>
      <w:start w:val="2"/>
    </w:lvl>
  </w:abstractNum>
  <w:abstractNum w:abstractNumId="92">
    <w:nsid w:val="14D53685"/>
    <w:multiLevelType w:val="hybridMultilevel"/>
    <w:lvl w:ilvl="0">
      <w:lvlJc w:val="left"/>
      <w:lvlText w:val="%1."/>
      <w:numFmt w:val="lowerLetter"/>
      <w:start w:val="3"/>
    </w:lvl>
  </w:abstractNum>
  <w:abstractNum w:abstractNumId="93">
    <w:nsid w:val="230F856C"/>
    <w:multiLevelType w:val="hybridMultilevel"/>
    <w:lvl w:ilvl="0">
      <w:lvlJc w:val="left"/>
      <w:lvlText w:val="*"/>
      <w:numFmt w:val="bullet"/>
      <w:start w:val="1"/>
    </w:lvl>
  </w:abstractNum>
  <w:abstractNum w:abstractNumId="94">
    <w:nsid w:val="6EAA85FB"/>
    <w:multiLevelType w:val="hybridMultilevel"/>
    <w:lvl w:ilvl="0">
      <w:lvlJc w:val="left"/>
      <w:lvlText w:val="●"/>
      <w:numFmt w:val="bullet"/>
      <w:start w:val="1"/>
    </w:lvl>
  </w:abstractNum>
  <w:abstractNum w:abstractNumId="95">
    <w:nsid w:val="3F06ECB2"/>
    <w:multiLevelType w:val="hybridMultilevel"/>
    <w:lvl w:ilvl="0">
      <w:lvlJc w:val="left"/>
      <w:lvlText w:val="1"/>
      <w:numFmt w:val="bullet"/>
      <w:start w:val="1"/>
    </w:lvl>
  </w:abstractNum>
  <w:abstractNum w:abstractNumId="96">
    <w:nsid w:val="3B594807"/>
    <w:multiLevelType w:val="hybridMultilevel"/>
    <w:lvl w:ilvl="0">
      <w:lvlJc w:val="left"/>
      <w:lvlText w:val="2"/>
      <w:numFmt w:val="bullet"/>
      <w:start w:val="1"/>
    </w:lvl>
  </w:abstractNum>
  <w:abstractNum w:abstractNumId="97">
    <w:nsid w:val="6CAA2304"/>
    <w:multiLevelType w:val="hybridMultilevel"/>
    <w:lvl w:ilvl="0">
      <w:lvlJc w:val="left"/>
      <w:lvlText w:val="1"/>
      <w:numFmt w:val="bullet"/>
      <w:start w:val="1"/>
    </w:lvl>
  </w:abstractNum>
  <w:abstractNum w:abstractNumId="98">
    <w:nsid w:val="3F7C2FF4"/>
    <w:multiLevelType w:val="hybridMultilevel"/>
    <w:lvl w:ilvl="0">
      <w:lvlJc w:val="left"/>
      <w:lvlText w:val="2"/>
      <w:numFmt w:val="bullet"/>
      <w:start w:val="1"/>
    </w:lvl>
  </w:abstractNum>
  <w:abstractNum w:abstractNumId="99">
    <w:nsid w:val="25413BEC"/>
    <w:multiLevelType w:val="hybridMultilevel"/>
    <w:lvl w:ilvl="0">
      <w:lvlJc w:val="left"/>
      <w:lvlText w:val="3"/>
      <w:numFmt w:val="bullet"/>
      <w:start w:val="1"/>
    </w:lvl>
  </w:abstractNum>
  <w:abstractNum w:abstractNumId="100">
    <w:nsid w:val="17180B0B"/>
    <w:multiLevelType w:val="hybridMultilevel"/>
    <w:lvl w:ilvl="0">
      <w:lvlJc w:val="left"/>
      <w:lvlText w:val="●"/>
      <w:numFmt w:val="bullet"/>
      <w:start w:val="1"/>
    </w:lvl>
  </w:abstractNum>
  <w:abstractNum w:abstractNumId="101">
    <w:nsid w:val="579328B9"/>
    <w:multiLevelType w:val="hybridMultilevel"/>
    <w:lvl w:ilvl="0">
      <w:lvlJc w:val="left"/>
      <w:lvlText w:val="●"/>
      <w:numFmt w:val="bullet"/>
      <w:start w:val="1"/>
    </w:lvl>
  </w:abstractNum>
  <w:abstractNum w:abstractNumId="102">
    <w:nsid w:val="5D205E20"/>
    <w:multiLevelType w:val="hybridMultilevel"/>
    <w:lvl w:ilvl="0">
      <w:lvlJc w:val="left"/>
      <w:lvlText w:val="●"/>
      <w:numFmt w:val="bullet"/>
      <w:start w:val="1"/>
    </w:lvl>
  </w:abstractNum>
  <w:abstractNum w:abstractNumId="103">
    <w:nsid w:val="11CCA8BA"/>
    <w:multiLevelType w:val="hybridMultilevel"/>
    <w:lvl w:ilvl="0">
      <w:lvlJc w:val="left"/>
      <w:lvlText w:val="●"/>
      <w:numFmt w:val="bullet"/>
      <w:start w:val="1"/>
    </w:lvl>
  </w:abstractNum>
  <w:abstractNum w:abstractNumId="104">
    <w:nsid w:val="4D32AB86"/>
    <w:multiLevelType w:val="hybridMultilevel"/>
    <w:lvl w:ilvl="0">
      <w:lvlJc w:val="left"/>
      <w:lvlText w:val="●"/>
      <w:numFmt w:val="bullet"/>
      <w:start w:val="1"/>
    </w:lvl>
  </w:abstractNum>
  <w:abstractNum w:abstractNumId="105">
    <w:nsid w:val="3F07ACC3"/>
    <w:multiLevelType w:val="hybridMultilevel"/>
    <w:lvl w:ilvl="0">
      <w:lvlJc w:val="left"/>
      <w:lvlText w:val="●"/>
      <w:numFmt w:val="bullet"/>
      <w:start w:val="1"/>
    </w:lvl>
  </w:abstractNum>
  <w:abstractNum w:abstractNumId="106">
    <w:nsid w:val="6B47F63E"/>
    <w:multiLevelType w:val="hybridMultilevel"/>
    <w:lvl w:ilvl="0">
      <w:lvlJc w:val="left"/>
      <w:lvlText w:val="●"/>
      <w:numFmt w:val="bullet"/>
      <w:start w:val="1"/>
    </w:lvl>
  </w:abstractNum>
  <w:abstractNum w:abstractNumId="107">
    <w:nsid w:val="5CB44A05"/>
    <w:multiLevelType w:val="hybridMultilevel"/>
    <w:lvl w:ilvl="0">
      <w:lvlJc w:val="left"/>
      <w:lvlText w:val="1"/>
      <w:numFmt w:val="bullet"/>
      <w:start w:val="1"/>
    </w:lvl>
  </w:abstractNum>
  <w:abstractNum w:abstractNumId="108">
    <w:nsid w:val="16CF80F1"/>
    <w:multiLevelType w:val="hybridMultilevel"/>
    <w:lvl w:ilvl="0">
      <w:lvlJc w:val="left"/>
      <w:lvlText w:val="2"/>
      <w:numFmt w:val="bullet"/>
      <w:start w:val="1"/>
    </w:lvl>
  </w:abstractNum>
  <w:abstractNum w:abstractNumId="109">
    <w:nsid w:val="1C695DEC"/>
    <w:multiLevelType w:val="hybridMultilevel"/>
    <w:lvl w:ilvl="0">
      <w:lvlJc w:val="left"/>
      <w:lvlText w:val="●"/>
      <w:numFmt w:val="bullet"/>
      <w:start w:val="1"/>
    </w:lvl>
  </w:abstractNum>
  <w:abstractNum w:abstractNumId="110">
    <w:nsid w:val="3FCFAED9"/>
    <w:multiLevelType w:val="hybridMultilevel"/>
    <w:lvl w:ilvl="0">
      <w:lvlJc w:val="left"/>
      <w:lvlText w:val="●"/>
      <w:numFmt w:val="bullet"/>
      <w:start w:val="1"/>
    </w:lvl>
  </w:abstractNum>
  <w:abstractNum w:abstractNumId="111">
    <w:nsid w:val="F856867"/>
    <w:multiLevelType w:val="hybridMultilevel"/>
    <w:lvl w:ilvl="0">
      <w:lvlJc w:val="left"/>
      <w:lvlText w:val="●"/>
      <w:numFmt w:val="bullet"/>
      <w:start w:val="1"/>
    </w:lvl>
  </w:abstractNum>
  <w:abstractNum w:abstractNumId="112">
    <w:nsid w:val="11B1CC33"/>
    <w:multiLevelType w:val="hybridMultilevel"/>
    <w:lvl w:ilvl="0">
      <w:lvlJc w:val="left"/>
      <w:lvlText w:val="●"/>
      <w:numFmt w:val="bullet"/>
      <w:start w:val="1"/>
    </w:lvl>
  </w:abstractNum>
  <w:abstractNum w:abstractNumId="113">
    <w:nsid w:val="2E22FBB7"/>
    <w:multiLevelType w:val="hybridMultilevel"/>
    <w:lvl w:ilvl="0">
      <w:lvlJc w:val="left"/>
      <w:lvlText w:val="1"/>
      <w:numFmt w:val="bullet"/>
      <w:start w:val="1"/>
    </w:lvl>
  </w:abstractNum>
  <w:abstractNum w:abstractNumId="114">
    <w:nsid w:val="29934699"/>
    <w:multiLevelType w:val="hybridMultilevel"/>
    <w:lvl w:ilvl="0">
      <w:lvlJc w:val="left"/>
      <w:lvlText w:val="2"/>
      <w:numFmt w:val="bullet"/>
      <w:start w:val="1"/>
    </w:lvl>
  </w:abstractNum>
  <w:abstractNum w:abstractNumId="115">
    <w:nsid w:val="77485850"/>
    <w:multiLevelType w:val="hybridMultilevel"/>
    <w:lvl w:ilvl="0">
      <w:lvlJc w:val="left"/>
      <w:lvlText w:val="●"/>
      <w:numFmt w:val="bullet"/>
      <w:start w:val="1"/>
    </w:lvl>
  </w:abstractNum>
  <w:abstractNum w:abstractNumId="116">
    <w:nsid w:val="744939A3"/>
    <w:multiLevelType w:val="hybridMultilevel"/>
    <w:lvl w:ilvl="0">
      <w:lvlJc w:val="left"/>
      <w:lvlText w:val="●"/>
      <w:numFmt w:val="bullet"/>
      <w:start w:val="1"/>
    </w:lvl>
  </w:abstractNum>
  <w:abstractNum w:abstractNumId="117">
    <w:nsid w:val="4FA0D2E3"/>
    <w:multiLevelType w:val="hybridMultilevel"/>
    <w:lvl w:ilvl="0">
      <w:lvlJc w:val="left"/>
      <w:lvlText w:val="●"/>
      <w:numFmt w:val="bullet"/>
      <w:start w:val="1"/>
    </w:lvl>
  </w:abstractNum>
  <w:abstractNum w:abstractNumId="118">
    <w:nsid w:val="6B1D2C14"/>
    <w:multiLevelType w:val="hybridMultilevel"/>
    <w:lvl w:ilvl="0">
      <w:lvlJc w:val="left"/>
      <w:lvlText w:val="%1."/>
      <w:numFmt w:val="decimal"/>
      <w:start w:val="6"/>
    </w:lvl>
  </w:abstractNum>
  <w:abstractNum w:abstractNumId="119">
    <w:nsid w:val="68B867D3"/>
    <w:multiLevelType w:val="hybridMultilevel"/>
    <w:lvl w:ilvl="0">
      <w:lvlJc w:val="left"/>
      <w:lvlText w:val="*"/>
      <w:numFmt w:val="bullet"/>
      <w:start w:val="1"/>
    </w:lvl>
  </w:abstractNum>
  <w:abstractNum w:abstractNumId="120">
    <w:nsid w:val="3F7F5DD9"/>
    <w:multiLevelType w:val="hybridMultilevel"/>
    <w:lvl w:ilvl="0">
      <w:lvlJc w:val="left"/>
      <w:lvlText w:val="●"/>
      <w:numFmt w:val="bullet"/>
      <w:start w:val="1"/>
    </w:lvl>
  </w:abstractNum>
  <w:abstractNum w:abstractNumId="121">
    <w:nsid w:val="2AE05A34"/>
    <w:multiLevelType w:val="hybridMultilevel"/>
    <w:lvl w:ilvl="0">
      <w:lvlJc w:val="left"/>
      <w:lvlText w:val="●"/>
      <w:numFmt w:val="bullet"/>
      <w:start w:val="1"/>
    </w:lvl>
  </w:abstractNum>
  <w:abstractNum w:abstractNumId="122">
    <w:nsid w:val="32794FF7"/>
    <w:multiLevelType w:val="hybridMultilevel"/>
    <w:lvl w:ilvl="0">
      <w:lvlJc w:val="left"/>
      <w:lvlText w:val="●"/>
      <w:numFmt w:val="bullet"/>
      <w:start w:val="1"/>
    </w:lvl>
  </w:abstractNum>
  <w:abstractNum w:abstractNumId="123">
    <w:nsid w:val="5454945E"/>
    <w:multiLevelType w:val="hybridMultilevel"/>
    <w:lvl w:ilvl="0">
      <w:lvlJc w:val="left"/>
      <w:lvlText w:val="%1."/>
      <w:numFmt w:val="upperLetter"/>
      <w:start w:val="1"/>
    </w:lvl>
  </w:abstractNum>
  <w:abstractNum w:abstractNumId="124">
    <w:nsid w:val="4DEFDFA0"/>
    <w:multiLevelType w:val="hybridMultilevel"/>
    <w:lvl w:ilvl="0">
      <w:lvlJc w:val="left"/>
      <w:lvlText w:val="%1."/>
      <w:numFmt w:val="upperLetter"/>
      <w:start w:val="1"/>
    </w:lvl>
  </w:abstractNum>
  <w:abstractNum w:abstractNumId="125">
    <w:nsid w:val="2123D5F2"/>
    <w:multiLevelType w:val="hybridMultilevel"/>
    <w:lvl w:ilvl="0">
      <w:lvlJc w:val="left"/>
      <w:lvlText w:val="%1."/>
      <w:numFmt w:val="upperLetter"/>
      <w:start w:val="1"/>
    </w:lvl>
  </w:abstractNum>
  <w:abstractNum w:abstractNumId="126">
    <w:nsid w:val="135B8110"/>
    <w:multiLevelType w:val="hybridMultilevel"/>
    <w:lvl w:ilvl="0">
      <w:lvlJc w:val="left"/>
      <w:lvlText w:val="%1."/>
      <w:numFmt w:val="upperLetter"/>
      <w:start w:val="2"/>
    </w:lvl>
  </w:abstractNum>
  <w:abstractNum w:abstractNumId="127">
    <w:nsid w:val="94927A8"/>
    <w:multiLevelType w:val="hybridMultilevel"/>
    <w:lvl w:ilvl="0">
      <w:lvlJc w:val="left"/>
      <w:lvlText w:val="%1."/>
      <w:numFmt w:val="upperLetter"/>
      <w:start w:val="2"/>
    </w:lvl>
  </w:abstractNum>
  <w:abstractNum w:abstractNumId="128">
    <w:nsid w:val="DCDF8F6"/>
    <w:multiLevelType w:val="hybridMultilevel"/>
    <w:lvl w:ilvl="0">
      <w:lvlJc w:val="left"/>
      <w:lvlText w:val="%1."/>
      <w:numFmt w:val="upperLetter"/>
      <w:start w:val="3"/>
    </w:lvl>
  </w:abstractNum>
  <w:abstractNum w:abstractNumId="129">
    <w:nsid w:val="52D7B105"/>
    <w:multiLevelType w:val="hybridMultilevel"/>
    <w:lvl w:ilvl="0">
      <w:lvlJc w:val="left"/>
      <w:lvlText w:val="%1."/>
      <w:numFmt w:val="upperLetter"/>
      <w:start w:val="4"/>
    </w:lvl>
  </w:abstractNum>
  <w:abstractNum w:abstractNumId="130">
    <w:nsid w:val="2E8A6394"/>
    <w:multiLevelType w:val="hybridMultilevel"/>
    <w:lvl w:ilvl="0">
      <w:lvlJc w:val="left"/>
      <w:lvlText w:val="%1."/>
      <w:numFmt w:val="decimal"/>
      <w:start w:val="8"/>
    </w:lvl>
  </w:abstractNum>
  <w:abstractNum w:abstractNumId="131">
    <w:nsid w:val="24E60401"/>
    <w:multiLevelType w:val="hybridMultilevel"/>
    <w:lvl w:ilvl="0">
      <w:lvlJc w:val="left"/>
      <w:lvlText w:val="1"/>
      <w:numFmt w:val="bullet"/>
      <w:start w:val="1"/>
    </w:lvl>
  </w:abstractNum>
  <w:abstractNum w:abstractNumId="132">
    <w:nsid w:val="2A6AD9BE"/>
    <w:multiLevelType w:val="hybridMultilevel"/>
    <w:lvl w:ilvl="0">
      <w:lvlJc w:val="left"/>
      <w:lvlText w:val="2"/>
      <w:numFmt w:val="bullet"/>
      <w:start w:val="1"/>
    </w:lvl>
  </w:abstractNum>
  <w:abstractNum w:abstractNumId="133">
    <w:nsid w:val="BAAC1B4"/>
    <w:multiLevelType w:val="hybridMultilevel"/>
    <w:lvl w:ilvl="0">
      <w:lvlJc w:val="left"/>
      <w:lvlText w:val="3"/>
      <w:numFmt w:val="bullet"/>
      <w:start w:val="1"/>
    </w:lvl>
  </w:abstractNum>
  <w:abstractNum w:abstractNumId="134">
    <w:nsid w:val="36B2ACBC"/>
    <w:multiLevelType w:val="hybridMultilevel"/>
    <w:lvl w:ilvl="0">
      <w:lvlJc w:val="left"/>
      <w:lvlText w:val="%1."/>
      <w:numFmt w:val="upperLetter"/>
      <w:start w:val="1"/>
    </w:lvl>
  </w:abstractNum>
  <w:abstractNum w:abstractNumId="135">
    <w:nsid w:val="779D8544"/>
    <w:multiLevelType w:val="hybridMultilevel"/>
    <w:lvl w:ilvl="0">
      <w:lvlJc w:val="left"/>
      <w:lvlText w:val="%1."/>
      <w:numFmt w:val="upperLetter"/>
      <w:start w:val="1"/>
    </w:lvl>
  </w:abstractNum>
  <w:abstractNum w:abstractNumId="136">
    <w:nsid w:val="4AB26E78"/>
    <w:multiLevelType w:val="hybridMultilevel"/>
    <w:lvl w:ilvl="0">
      <w:lvlJc w:val="left"/>
      <w:lvlText w:val="%1."/>
      <w:numFmt w:val="upperLetter"/>
      <w:start w:val="1"/>
    </w:lvl>
  </w:abstractNum>
  <w:abstractNum w:abstractNumId="137">
    <w:nsid w:val="21FAA2FA"/>
    <w:multiLevelType w:val="hybridMultilevel"/>
    <w:lvl w:ilvl="0">
      <w:lvlJc w:val="left"/>
      <w:lvlText w:val="●"/>
      <w:numFmt w:val="bullet"/>
      <w:start w:val="1"/>
    </w:lvl>
  </w:abstractNum>
  <w:abstractNum w:abstractNumId="138">
    <w:nsid w:val="5451CF49"/>
    <w:multiLevelType w:val="hybridMultilevel"/>
    <w:lvl w:ilvl="0">
      <w:lvlJc w:val="left"/>
      <w:lvlText w:val="●"/>
      <w:numFmt w:val="bullet"/>
      <w:start w:val="1"/>
    </w:lvl>
  </w:abstractNum>
  <w:abstractNum w:abstractNumId="139">
    <w:nsid w:val="6181EF69"/>
    <w:multiLevelType w:val="hybridMultilevel"/>
    <w:lvl w:ilvl="0">
      <w:lvlJc w:val="left"/>
      <w:lvlText w:val="%1."/>
      <w:numFmt w:val="upperLetter"/>
      <w:start w:val="3"/>
    </w:lvl>
  </w:abstractNum>
  <w:abstractNum w:abstractNumId="140">
    <w:nsid w:val="3E6400E6"/>
    <w:multiLevelType w:val="hybridMultilevel"/>
    <w:lvl w:ilvl="0">
      <w:lvlJc w:val="left"/>
      <w:lvlText w:val="●"/>
      <w:numFmt w:val="bullet"/>
      <w:start w:val="1"/>
    </w:lvl>
  </w:abstractNum>
  <w:abstractNum w:abstractNumId="141">
    <w:nsid w:val="14217E23"/>
    <w:multiLevelType w:val="hybridMultilevel"/>
    <w:lvl w:ilvl="0">
      <w:lvlJc w:val="left"/>
      <w:lvlText w:val="●"/>
      <w:numFmt w:val="bullet"/>
      <w:start w:val="1"/>
    </w:lvl>
  </w:abstractNum>
  <w:abstractNum w:abstractNumId="142">
    <w:nsid w:val="710757D0"/>
    <w:multiLevelType w:val="hybridMultilevel"/>
    <w:lvl w:ilvl="0">
      <w:lvlJc w:val="left"/>
      <w:lvlText w:val="%1."/>
      <w:numFmt w:val="upperLetter"/>
      <w:start w:val="3"/>
    </w:lvl>
  </w:abstractNum>
  <w:abstractNum w:abstractNumId="143">
    <w:nsid w:val="5015CD1A"/>
    <w:multiLevelType w:val="hybridMultilevel"/>
    <w:lvl w:ilvl="0">
      <w:lvlJc w:val="left"/>
      <w:lvlText w:val="●"/>
      <w:numFmt w:val="bullet"/>
      <w:start w:val="1"/>
    </w:lvl>
    <w:lvl w:ilvl="1">
      <w:lvlJc w:val="left"/>
      <w:lvlText w:val="◦"/>
      <w:numFmt w:val="bullet"/>
      <w:start w:val="1"/>
    </w:lvl>
  </w:abstractNum>
  <w:abstractNum w:abstractNumId="144">
    <w:nsid w:val="424479DA"/>
    <w:multiLevelType w:val="hybridMultilevel"/>
    <w:lvl w:ilvl="0">
      <w:lvlJc w:val="left"/>
      <w:lvlText w:val="●"/>
      <w:numFmt w:val="bullet"/>
      <w:start w:val="1"/>
    </w:lvl>
  </w:abstractNum>
  <w:abstractNum w:abstractNumId="145">
    <w:nsid w:val="1A9A9E69"/>
    <w:multiLevelType w:val="hybridMultilevel"/>
    <w:lvl w:ilvl="0">
      <w:lvlJc w:val="left"/>
      <w:lvlText w:val="%1."/>
      <w:numFmt w:val="upperLetter"/>
      <w:start w:val="4"/>
    </w:lvl>
  </w:abstractNum>
  <w:abstractNum w:abstractNumId="146">
    <w:nsid w:val="475E256A"/>
    <w:multiLevelType w:val="hybridMultilevel"/>
    <w:lvl w:ilvl="0">
      <w:lvlJc w:val="left"/>
      <w:lvlText w:val="●"/>
      <w:numFmt w:val="bullet"/>
      <w:start w:val="1"/>
    </w:lvl>
  </w:abstractNum>
  <w:abstractNum w:abstractNumId="147">
    <w:nsid w:val="368DB37E"/>
    <w:multiLevelType w:val="hybridMultilevel"/>
    <w:lvl w:ilvl="0">
      <w:lvlJc w:val="left"/>
      <w:lvlText w:val="1"/>
      <w:numFmt w:val="bullet"/>
      <w:start w:val="1"/>
    </w:lvl>
  </w:abstractNum>
  <w:abstractNum w:abstractNumId="148">
    <w:nsid w:val="6A3B714C"/>
    <w:multiLevelType w:val="hybridMultilevel"/>
    <w:lvl w:ilvl="0">
      <w:lvlJc w:val="left"/>
      <w:lvlText w:val="%1."/>
      <w:numFmt w:val="upperLetter"/>
      <w:start w:val="4"/>
    </w:lvl>
  </w:abstractNum>
  <w:abstractNum w:abstractNumId="149">
    <w:nsid w:val="327B517E"/>
    <w:multiLevelType w:val="hybridMultilevel"/>
    <w:lvl w:ilvl="0">
      <w:lvlJc w:val="left"/>
      <w:lvlText w:val="●"/>
      <w:numFmt w:val="bullet"/>
      <w:start w:val="1"/>
    </w:lvl>
  </w:abstractNum>
  <w:abstractNum w:abstractNumId="150">
    <w:nsid w:val="1F461B51"/>
    <w:multiLevelType w:val="hybridMultilevel"/>
    <w:lvl w:ilvl="0">
      <w:lvlJc w:val="left"/>
      <w:lvlText w:val="●"/>
      <w:numFmt w:val="bullet"/>
      <w:start w:val="1"/>
    </w:lvl>
  </w:abstractNum>
  <w:abstractNum w:abstractNumId="151">
    <w:nsid w:val="29BACF25"/>
    <w:multiLevelType w:val="hybridMultilevel"/>
    <w:lvl w:ilvl="0">
      <w:lvlJc w:val="left"/>
      <w:lvlText w:val="●"/>
      <w:numFmt w:val="bullet"/>
      <w:start w:val="1"/>
    </w:lvl>
    <w:lvl w:ilvl="1">
      <w:lvlJc w:val="left"/>
      <w:lvlText w:val="◦"/>
      <w:numFmt w:val="bullet"/>
      <w:start w:val="1"/>
    </w:lvl>
  </w:abstractNum>
  <w:abstractNum w:abstractNumId="152">
    <w:nsid w:val="5D5BABB3"/>
    <w:multiLevelType w:val="hybridMultilevel"/>
    <w:lvl w:ilvl="0">
      <w:lvlJc w:val="left"/>
      <w:lvlText w:val="%1."/>
      <w:numFmt w:val="upperLetter"/>
      <w:start w:val="5"/>
    </w:lvl>
  </w:abstractNum>
  <w:abstractNum w:abstractNumId="153">
    <w:nsid w:val="51BF6B48"/>
    <w:multiLevelType w:val="hybridMultilevel"/>
    <w:lvl w:ilvl="0">
      <w:lvlJc w:val="left"/>
      <w:lvlText w:val="%1."/>
      <w:numFmt w:val="upperLetter"/>
      <w:start w:val="5"/>
    </w:lvl>
  </w:abstractNum>
  <w:abstractNum w:abstractNumId="154">
    <w:nsid w:val="7E0F6384"/>
    <w:multiLevelType w:val="hybridMultilevel"/>
    <w:lvl w:ilvl="0">
      <w:lvlJc w:val="left"/>
      <w:lvlText w:val="-"/>
      <w:numFmt w:val="bullet"/>
      <w:start w:val="1"/>
    </w:lvl>
  </w:abstractNum>
  <w:abstractNum w:abstractNumId="155">
    <w:nsid w:val="2B4B8B53"/>
    <w:multiLevelType w:val="hybridMultilevel"/>
    <w:lvl w:ilvl="0">
      <w:lvlJc w:val="left"/>
      <w:lvlText w:val="1"/>
      <w:numFmt w:val="bullet"/>
      <w:start w:val="1"/>
    </w:lvl>
  </w:abstractNum>
  <w:abstractNum w:abstractNumId="156">
    <w:nsid w:val="72E3413A"/>
    <w:multiLevelType w:val="hybridMultilevel"/>
    <w:lvl w:ilvl="0">
      <w:lvlJc w:val="left"/>
      <w:lvlText w:val="%1."/>
      <w:numFmt w:val="decimal"/>
      <w:start w:val="10"/>
    </w:lvl>
  </w:abstractNum>
  <w:abstractNum w:abstractNumId="157">
    <w:nsid w:val="116AE494"/>
    <w:multiLevelType w:val="hybridMultilevel"/>
    <w:lvl w:ilvl="0">
      <w:lvlJc w:val="left"/>
      <w:lvlText w:val="●"/>
      <w:numFmt w:val="bullet"/>
      <w:start w:val="1"/>
    </w:lvl>
  </w:abstractNum>
  <w:abstractNum w:abstractNumId="158">
    <w:nsid w:val="3494B2FB"/>
    <w:multiLevelType w:val="hybridMultilevel"/>
    <w:lvl w:ilvl="0">
      <w:lvlJc w:val="left"/>
      <w:lvlText w:val="(%1)"/>
      <w:numFmt w:val="lowerRoman"/>
      <w:start w:val="6"/>
    </w:lvl>
  </w:abstractNum>
  <w:abstractNum w:abstractNumId="159">
    <w:nsid w:val="B13A31"/>
    <w:multiLevelType w:val="hybridMultilevel"/>
    <w:lvl w:ilvl="0">
      <w:lvlJc w:val="left"/>
      <w:lvlText w:val="●"/>
      <w:numFmt w:val="bullet"/>
      <w:start w:val="1"/>
    </w:lvl>
  </w:abstractNum>
  <w:abstractNum w:abstractNumId="160">
    <w:nsid w:val="64429599"/>
    <w:multiLevelType w:val="hybridMultilevel"/>
    <w:lvl w:ilvl="0">
      <w:lvlJc w:val="left"/>
      <w:lvlText w:val="●"/>
      <w:numFmt w:val="bullet"/>
      <w:start w:val="1"/>
    </w:lvl>
  </w:abstractNum>
  <w:abstractNum w:abstractNumId="161">
    <w:nsid w:val="631F1690"/>
    <w:multiLevelType w:val="hybridMultilevel"/>
    <w:lvl w:ilvl="0">
      <w:lvlJc w:val="left"/>
      <w:lvlText w:val="●"/>
      <w:numFmt w:val="bullet"/>
      <w:start w:val="1"/>
    </w:lvl>
  </w:abstractNum>
  <w:abstractNum w:abstractNumId="162">
    <w:nsid w:val="25973E32"/>
    <w:multiLevelType w:val="hybridMultilevel"/>
    <w:lvl w:ilvl="0">
      <w:lvlJc w:val="left"/>
      <w:lvlText w:val="●"/>
      <w:numFmt w:val="bullet"/>
      <w:start w:val="1"/>
    </w:lvl>
  </w:abstractNum>
  <w:abstractNum w:abstractNumId="163">
    <w:nsid w:val="EAD6F57"/>
    <w:multiLevelType w:val="hybridMultilevel"/>
    <w:lvl w:ilvl="0">
      <w:lvlJc w:val="left"/>
      <w:lvlText w:val="%1."/>
      <w:numFmt w:val="upperLetter"/>
      <w:start w:val="1"/>
    </w:lvl>
  </w:abstractNum>
  <w:abstractNum w:abstractNumId="164">
    <w:nsid w:val="6EC9D844"/>
    <w:multiLevelType w:val="hybridMultilevel"/>
    <w:lvl w:ilvl="0">
      <w:lvlJc w:val="left"/>
      <w:lvlText w:val="1"/>
      <w:numFmt w:val="bullet"/>
      <w:start w:val="1"/>
    </w:lvl>
  </w:abstractNum>
  <w:abstractNum w:abstractNumId="165">
    <w:nsid w:val="5C49EAEE"/>
    <w:multiLevelType w:val="hybridMultilevel"/>
    <w:lvl w:ilvl="0">
      <w:lvlJc w:val="left"/>
      <w:lvlText w:val="%1."/>
      <w:numFmt w:val="upperLetter"/>
      <w:start w:val="2"/>
    </w:lvl>
  </w:abstractNum>
  <w:abstractNum w:abstractNumId="166">
    <w:nsid w:val="64AF49B"/>
    <w:multiLevelType w:val="hybridMultilevel"/>
    <w:lvl w:ilvl="0">
      <w:lvlJc w:val="left"/>
      <w:lvlText w:val="%1."/>
      <w:numFmt w:val="upperLetter"/>
      <w:start w:val="3"/>
    </w:lvl>
  </w:abstractNum>
  <w:abstractNum w:abstractNumId="167">
    <w:nsid w:val="397C46BC"/>
    <w:multiLevelType w:val="hybridMultilevel"/>
    <w:lvl w:ilvl="0">
      <w:lvlJc w:val="left"/>
      <w:lvlText w:val="%1."/>
      <w:numFmt w:val="upperLetter"/>
      <w:start w:val="4"/>
    </w:lvl>
  </w:abstractNum>
  <w:abstractNum w:abstractNumId="168">
    <w:nsid w:val="7E448DE9"/>
    <w:multiLevelType w:val="hybridMultilevel"/>
    <w:lvl w:ilvl="0">
      <w:lvlJc w:val="left"/>
      <w:lvlText w:val="1"/>
      <w:numFmt w:val="bullet"/>
      <w:start w:val="1"/>
    </w:lvl>
  </w:abstractNum>
  <w:abstractNum w:abstractNumId="169">
    <w:nsid w:val="5A9CC3E5"/>
    <w:multiLevelType w:val="hybridMultilevel"/>
    <w:lvl w:ilvl="0">
      <w:lvlJc w:val="left"/>
      <w:lvlText w:val="1"/>
      <w:numFmt w:val="bullet"/>
      <w:start w:val="1"/>
    </w:lvl>
  </w:abstractNum>
  <w:abstractNum w:abstractNumId="170">
    <w:nsid w:val="1AFE3625"/>
    <w:multiLevelType w:val="hybridMultilevel"/>
    <w:lvl w:ilvl="0">
      <w:lvlJc w:val="left"/>
      <w:lvlText w:val="%1."/>
      <w:numFmt w:val="upperLetter"/>
      <w:start w:val="1"/>
    </w:lvl>
  </w:abstractNum>
  <w:abstractNum w:abstractNumId="171">
    <w:nsid w:val="3CA88ECF"/>
    <w:multiLevelType w:val="hybridMultilevel"/>
    <w:lvl w:ilvl="0">
      <w:lvlJc w:val="left"/>
      <w:lvlText w:val="●"/>
      <w:numFmt w:val="bullet"/>
      <w:start w:val="1"/>
    </w:lvl>
  </w:abstractNum>
  <w:abstractNum w:abstractNumId="172">
    <w:nsid w:val="6EBE4208"/>
    <w:multiLevelType w:val="hybridMultilevel"/>
    <w:lvl w:ilvl="0">
      <w:lvlJc w:val="left"/>
      <w:lvlText w:val="●"/>
      <w:numFmt w:val="bullet"/>
      <w:start w:val="1"/>
    </w:lvl>
  </w:abstractNum>
  <w:abstractNum w:abstractNumId="173">
    <w:nsid w:val="C058DF5"/>
    <w:multiLevelType w:val="hybridMultilevel"/>
    <w:lvl w:ilvl="0">
      <w:lvlJc w:val="left"/>
      <w:lvlText w:val="●"/>
      <w:numFmt w:val="bullet"/>
      <w:start w:val="1"/>
    </w:lvl>
  </w:abstractNum>
  <w:abstractNum w:abstractNumId="174">
    <w:nsid w:val="CBE5BE9"/>
    <w:multiLevelType w:val="hybridMultilevel"/>
    <w:lvl w:ilvl="0">
      <w:lvlJc w:val="left"/>
      <w:lvlText w:val="●"/>
      <w:numFmt w:val="bullet"/>
      <w:start w:val="1"/>
    </w:lvl>
  </w:abstractNum>
  <w:abstractNum w:abstractNumId="175">
    <w:nsid w:val="3102BBE2"/>
    <w:multiLevelType w:val="hybridMultilevel"/>
    <w:lvl w:ilvl="0">
      <w:lvlJc w:val="left"/>
      <w:lvlText w:val="%1."/>
      <w:numFmt w:val="upperLetter"/>
      <w:start w:val="1"/>
    </w:lvl>
  </w:abstractNum>
  <w:abstractNum w:abstractNumId="176">
    <w:nsid w:val="26A02C5E"/>
    <w:multiLevelType w:val="hybridMultilevel"/>
    <w:lvl w:ilvl="0">
      <w:lvlJc w:val="left"/>
      <w:lvlText w:val="●"/>
      <w:numFmt w:val="bullet"/>
      <w:start w:val="1"/>
    </w:lvl>
    <w:lvl w:ilvl="1">
      <w:lvlJc w:val="left"/>
      <w:lvlText w:val="◦"/>
      <w:numFmt w:val="bullet"/>
      <w:start w:val="1"/>
    </w:lvl>
  </w:abstractNum>
  <w:abstractNum w:abstractNumId="177">
    <w:nsid w:val="541C8153"/>
    <w:multiLevelType w:val="hybridMultilevel"/>
    <w:lvl w:ilvl="0">
      <w:lvlJc w:val="left"/>
      <w:lvlText w:val="●"/>
      <w:numFmt w:val="bullet"/>
      <w:start w:val="1"/>
    </w:lvl>
  </w:abstractNum>
  <w:abstractNum w:abstractNumId="178">
    <w:nsid w:val="67906F60"/>
    <w:multiLevelType w:val="hybridMultilevel"/>
    <w:lvl w:ilvl="0">
      <w:lvlJc w:val="left"/>
      <w:lvlText w:val="%1."/>
      <w:numFmt w:val="upperLetter"/>
      <w:start w:val="1"/>
    </w:lvl>
  </w:abstractNum>
  <w:abstractNum w:abstractNumId="179">
    <w:nsid w:val="10DB9DAA"/>
    <w:multiLevelType w:val="hybridMultilevel"/>
    <w:lvl w:ilvl="0">
      <w:lvlJc w:val="left"/>
      <w:lvlText w:val="%1."/>
      <w:numFmt w:val="upperLetter"/>
      <w:start w:val="1"/>
    </w:lvl>
  </w:abstractNum>
  <w:abstractNum w:abstractNumId="180">
    <w:nsid w:val="697D2D2"/>
    <w:multiLevelType w:val="hybridMultilevel"/>
    <w:lvl w:ilvl="0">
      <w:lvlJc w:val="left"/>
      <w:lvlText w:val="%1."/>
      <w:numFmt w:val="upperLetter"/>
      <w:start w:val="2"/>
    </w:lvl>
  </w:abstractNum>
  <w:abstractNum w:abstractNumId="181">
    <w:nsid w:val="6D68AB2"/>
    <w:multiLevelType w:val="hybridMultilevel"/>
    <w:lvl w:ilvl="0">
      <w:lvlJc w:val="left"/>
      <w:lvlText w:val="%1."/>
      <w:numFmt w:val="upperLetter"/>
      <w:start w:val="2"/>
    </w:lvl>
  </w:abstractNum>
  <w:abstractNum w:abstractNumId="182">
    <w:nsid w:val="3A966CD0"/>
    <w:multiLevelType w:val="hybridMultilevel"/>
    <w:lvl w:ilvl="0">
      <w:lvlJc w:val="left"/>
      <w:lvlText w:val="%1."/>
      <w:numFmt w:val="upperLetter"/>
      <w:start w:val="2"/>
    </w:lvl>
  </w:abstractNum>
  <w:abstractNum w:abstractNumId="183">
    <w:nsid w:val="63F37E85"/>
    <w:multiLevelType w:val="hybridMultilevel"/>
    <w:lvl w:ilvl="0">
      <w:lvlJc w:val="left"/>
      <w:lvlText w:val="%1."/>
      <w:numFmt w:val="upperLetter"/>
      <w:start w:val="3"/>
    </w:lvl>
  </w:abstractNum>
  <w:abstractNum w:abstractNumId="184">
    <w:nsid w:val="5895F5FA"/>
    <w:multiLevelType w:val="hybridMultilevel"/>
    <w:lvl w:ilvl="0">
      <w:lvlJc w:val="left"/>
      <w:lvlText w:val="%1."/>
      <w:numFmt w:val="upperLetter"/>
      <w:start w:val="5"/>
    </w:lvl>
  </w:abstractNum>
  <w:abstractNum w:abstractNumId="185">
    <w:nsid w:val="38A5D054"/>
    <w:multiLevelType w:val="hybridMultilevel"/>
    <w:lvl w:ilvl="0">
      <w:lvlJc w:val="left"/>
      <w:lvlText w:val="%1."/>
      <w:numFmt w:val="upperLetter"/>
      <w:start w:val="1"/>
    </w:lvl>
  </w:abstractNum>
  <w:abstractNum w:abstractNumId="186">
    <w:nsid w:val="F3F09D8"/>
    <w:multiLevelType w:val="hybridMultilevel"/>
    <w:lvl w:ilvl="0">
      <w:lvlJc w:val="left"/>
      <w:lvlText w:val="●"/>
      <w:numFmt w:val="bullet"/>
      <w:start w:val="1"/>
    </w:lvl>
  </w:abstractNum>
  <w:abstractNum w:abstractNumId="187">
    <w:nsid w:val="4B793735"/>
    <w:multiLevelType w:val="hybridMultilevel"/>
    <w:lvl w:ilvl="0">
      <w:lvlJc w:val="left"/>
      <w:lvlText w:val="●"/>
      <w:numFmt w:val="bullet"/>
      <w:start w:val="1"/>
    </w:lvl>
  </w:abstractNum>
  <w:abstractNum w:abstractNumId="188">
    <w:nsid w:val="4A10B4E8"/>
    <w:multiLevelType w:val="hybridMultilevel"/>
    <w:lvl w:ilvl="0">
      <w:lvlJc w:val="left"/>
      <w:lvlText w:val="1"/>
      <w:numFmt w:val="bullet"/>
      <w:start w:val="1"/>
    </w:lvl>
  </w:abstractNum>
  <w:abstractNum w:abstractNumId="189">
    <w:nsid w:val="43D3BCD4"/>
    <w:multiLevelType w:val="hybridMultilevel"/>
    <w:lvl w:ilvl="0">
      <w:lvlJc w:val="left"/>
      <w:lvlText w:val="%1."/>
      <w:numFmt w:val="upperLetter"/>
      <w:start w:val="3"/>
    </w:lvl>
  </w:abstractNum>
  <w:abstractNum w:abstractNumId="190">
    <w:nsid w:val="4C2A7166"/>
    <w:multiLevelType w:val="hybridMultilevel"/>
    <w:lvl w:ilvl="0">
      <w:lvlJc w:val="left"/>
      <w:lvlText w:val="*"/>
      <w:numFmt w:val="bullet"/>
      <w:start w:val="1"/>
    </w:lvl>
  </w:abstractNum>
  <w:abstractNum w:abstractNumId="191">
    <w:nsid w:val="2E534A82"/>
    <w:multiLevelType w:val="hybridMultilevel"/>
    <w:lvl w:ilvl="0">
      <w:lvlJc w:val="left"/>
      <w:lvlText w:val="%1."/>
      <w:numFmt w:val="lowerRoman"/>
      <w:start w:val="1"/>
    </w:lvl>
  </w:abstractNum>
  <w:abstractNum w:abstractNumId="192">
    <w:nsid w:val="26F2D364"/>
    <w:multiLevelType w:val="hybridMultilevel"/>
    <w:lvl w:ilvl="0">
      <w:lvlJc w:val="left"/>
      <w:lvlText w:val="%1."/>
      <w:numFmt w:val="lowerRoman"/>
      <w:start w:val="2"/>
    </w:lvl>
  </w:abstractNum>
  <w:abstractNum w:abstractNumId="193">
    <w:nsid w:val="71C1AF98"/>
    <w:multiLevelType w:val="hybridMultilevel"/>
    <w:lvl w:ilvl="0">
      <w:lvlJc w:val="left"/>
      <w:lvlText w:val="%1."/>
      <w:numFmt w:val="upperLetter"/>
      <w:start w:val="1"/>
    </w:lvl>
  </w:abstractNum>
  <w:abstractNum w:abstractNumId="194">
    <w:nsid w:val="3D00B9D9"/>
    <w:multiLevelType w:val="hybridMultilevel"/>
    <w:lvl w:ilvl="0">
      <w:lvlJc w:val="left"/>
      <w:lvlText w:val="%1)"/>
      <w:numFmt w:val="lowerRoman"/>
      <w:start w:val="1"/>
    </w:lvl>
  </w:abstractNum>
  <w:abstractNum w:abstractNumId="195">
    <w:nsid w:val="15BCABA8"/>
    <w:multiLevelType w:val="hybridMultilevel"/>
    <w:lvl w:ilvl="0">
      <w:lvlJc w:val="left"/>
      <w:lvlText w:val="%1."/>
      <w:numFmt w:val="upperLetter"/>
      <w:start w:val="2"/>
    </w:lvl>
  </w:abstractNum>
  <w:abstractNum w:abstractNumId="196">
    <w:nsid w:val="4E0B9A87"/>
    <w:multiLevelType w:val="hybridMultilevel"/>
    <w:lvl w:ilvl="0">
      <w:lvlJc w:val="left"/>
      <w:lvlText w:val="%1."/>
      <w:numFmt w:val="upperLetter"/>
      <w:start w:val="2"/>
    </w:lvl>
  </w:abstractNum>
  <w:abstractNum w:abstractNumId="197">
    <w:nsid w:val="434BAE75"/>
    <w:multiLevelType w:val="hybridMultilevel"/>
    <w:lvl w:ilvl="0">
      <w:lvlJc w:val="left"/>
      <w:lvlText w:val="%1."/>
      <w:numFmt w:val="upperLetter"/>
      <w:start w:val="2"/>
    </w:lvl>
  </w:abstractNum>
  <w:abstractNum w:abstractNumId="198">
    <w:nsid w:val="4F38F265"/>
    <w:multiLevelType w:val="hybridMultilevel"/>
    <w:lvl w:ilvl="0">
      <w:lvlJc w:val="left"/>
      <w:lvlText w:val="%1."/>
      <w:numFmt w:val="upperLetter"/>
      <w:start w:val="3"/>
    </w:lvl>
  </w:abstractNum>
  <w:abstractNum w:abstractNumId="199">
    <w:nsid w:val="4C502870"/>
    <w:multiLevelType w:val="hybridMultilevel"/>
    <w:lvl w:ilvl="0">
      <w:lvlJc w:val="left"/>
      <w:lvlText w:val="%1."/>
      <w:numFmt w:val="upperLetter"/>
      <w:start w:val="4"/>
    </w:lvl>
  </w:abstractNum>
  <w:abstractNum w:abstractNumId="200">
    <w:nsid w:val="1DE8725A"/>
    <w:multiLevelType w:val="hybridMultilevel"/>
    <w:lvl w:ilvl="0">
      <w:lvlJc w:val="left"/>
      <w:lvlText w:val="●"/>
      <w:numFmt w:val="bullet"/>
      <w:start w:val="1"/>
    </w:lvl>
  </w:abstractNum>
  <w:abstractNum w:abstractNumId="201">
    <w:nsid w:val="6A37288A"/>
    <w:multiLevelType w:val="hybridMultilevel"/>
    <w:lvl w:ilvl="0">
      <w:lvlJc w:val="left"/>
      <w:lvlText w:val="●"/>
      <w:numFmt w:val="bullet"/>
      <w:start w:val="1"/>
    </w:lvl>
  </w:abstractNum>
  <w:abstractNum w:abstractNumId="202">
    <w:nsid w:val="8F8B73F"/>
    <w:multiLevelType w:val="hybridMultilevel"/>
    <w:lvl w:ilvl="0">
      <w:lvlJc w:val="left"/>
      <w:lvlText w:val="●"/>
      <w:numFmt w:val="bullet"/>
      <w:start w:val="1"/>
    </w:lvl>
  </w:abstractNum>
  <w:abstractNum w:abstractNumId="203">
    <w:nsid w:val="CA6B462"/>
    <w:multiLevelType w:val="hybridMultilevel"/>
    <w:lvl w:ilvl="0">
      <w:lvlJc w:val="left"/>
      <w:lvlText w:val="●"/>
      <w:numFmt w:val="bullet"/>
      <w:start w:val="1"/>
    </w:lvl>
  </w:abstractNum>
  <w:abstractNum w:abstractNumId="204">
    <w:nsid w:val="763CB680"/>
    <w:multiLevelType w:val="hybridMultilevel"/>
    <w:lvl w:ilvl="0">
      <w:lvlJc w:val="left"/>
      <w:lvlText w:val="●"/>
      <w:numFmt w:val="bullet"/>
      <w:start w:val="1"/>
    </w:lvl>
    <w:lvl w:ilvl="1">
      <w:lvlJc w:val="left"/>
      <w:lvlText w:val="(%2)"/>
      <w:numFmt w:val="lowerLetter"/>
      <w:start w:val="1"/>
    </w:lvl>
  </w:abstractNum>
  <w:abstractNum w:abstractNumId="205">
    <w:nsid w:val="15B71329"/>
    <w:multiLevelType w:val="hybridMultilevel"/>
    <w:lvl w:ilvl="0">
      <w:lvlJc w:val="left"/>
      <w:lvlText w:val="●"/>
      <w:numFmt w:val="bullet"/>
      <w:start w:val="1"/>
    </w:lvl>
  </w:abstractNum>
  <w:abstractNum w:abstractNumId="206">
    <w:nsid w:val="3DA97044"/>
    <w:multiLevelType w:val="hybridMultilevel"/>
    <w:lvl w:ilvl="0">
      <w:lvlJc w:val="left"/>
      <w:lvlText w:val="●"/>
      <w:numFmt w:val="bullet"/>
      <w:start w:val="1"/>
    </w:lvl>
  </w:abstractNum>
  <w:abstractNum w:abstractNumId="207">
    <w:nsid w:val="1CDCE2DE"/>
    <w:multiLevelType w:val="hybridMultilevel"/>
    <w:lvl w:ilvl="0">
      <w:lvlJc w:val="left"/>
      <w:lvlText w:val="●"/>
      <w:numFmt w:val="bullet"/>
      <w:start w:val="1"/>
    </w:lvl>
  </w:abstractNum>
  <w:abstractNum w:abstractNumId="208">
    <w:nsid w:val="69D3947C"/>
    <w:multiLevelType w:val="hybridMultilevel"/>
    <w:lvl w:ilvl="0">
      <w:lvlJc w:val="left"/>
      <w:lvlText w:val="●"/>
      <w:numFmt w:val="bullet"/>
      <w:start w:val="1"/>
    </w:lvl>
  </w:abstractNum>
  <w:abstractNum w:abstractNumId="209">
    <w:nsid w:val="2539DFA5"/>
    <w:multiLevelType w:val="hybridMultilevel"/>
    <w:lvl w:ilvl="0">
      <w:lvlJc w:val="left"/>
      <w:lvlText w:val="%1."/>
      <w:numFmt w:val="decimal"/>
      <w:start w:val="22"/>
    </w:lvl>
    <w:lvl w:ilvl="1">
      <w:lvlJc w:val="left"/>
      <w:lvlText w:val="●"/>
      <w:numFmt w:val="bullet"/>
      <w:start w:val="1"/>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jpe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jpe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jpeg"/><Relationship Id="rId16" Type="http://schemas.openxmlformats.org/officeDocument/2006/relationships/hyperlink" Target="http://www.sec.gov/Archives/edgar/data/1812477/000121390024020602/ea0200005ex97-1_bitfarms.htm" TargetMode="External"/><Relationship Id="rId17" Type="http://schemas.openxmlformats.org/officeDocument/2006/relationships/hyperlink" Target="http://www.sec.gov/Archives/edgar/data/1812477/000121390024020602/ea0200005ex99-1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2024-12-10T05:14:38Z</dcterms:created>
  <dcterms:modified xsi:type="dcterms:W3CDTF">2024-12-10T05:14:38Z</dcterms:modified>
</cp:coreProperties>
</file>