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6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21, 2024, the Registrant filed with the Canadian Securities Regulatory Authorities on the System for Electronic Data Analysis and Retrieval + (SEDAR +) a material change report, a copy of which is attached hereto as Exhibit 99.1, and a press release, a copy of which is attached hereto as Exhibit 99.2, which are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80" w:type="dxa"/>
            <w:vAlign w:val="bottom"/>
          </w:tcPr>
          <w:p>
            <w:pPr>
              <w:spacing w:after="0"/>
              <w:rPr>
                <w:sz w:val="20"/>
                <w:szCs w:val="20"/>
                <w:color w:val="auto"/>
              </w:rPr>
            </w:pPr>
          </w:p>
        </w:tc>
      </w:tr>
      <w:tr>
        <w:trPr>
          <w:trHeight w:val="47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80" w:type="dxa"/>
            <w:vAlign w:val="bottom"/>
            <w:tcBorders>
              <w:top w:val="single" w:sz="8" w:color="auto"/>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Change Report dated August 21, 2024</w:t>
            </w:r>
          </w:p>
        </w:tc>
        <w:tc>
          <w:tcPr>
            <w:tcW w:w="6680" w:type="dxa"/>
            <w:vAlign w:val="bottom"/>
            <w:tcBorders>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August 21,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22, 2024</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340" w:type="dxa"/>
            <w:vAlign w:val="bottom"/>
          </w:tcPr>
          <w:p>
            <w:pPr>
              <w:ind w:left="9420"/>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r>
      <w:tr>
        <w:trPr>
          <w:trHeight w:val="410"/>
        </w:trPr>
        <w:tc>
          <w:tcPr>
            <w:tcW w:w="900" w:type="dxa"/>
            <w:vAlign w:val="bottom"/>
          </w:tcPr>
          <w:p>
            <w:pPr>
              <w:spacing w:after="0"/>
              <w:rPr>
                <w:sz w:val="24"/>
                <w:szCs w:val="24"/>
                <w:color w:val="auto"/>
              </w:rPr>
            </w:pPr>
          </w:p>
        </w:tc>
        <w:tc>
          <w:tcPr>
            <w:tcW w:w="1034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Form 51-102F3</w:t>
            </w:r>
          </w:p>
        </w:tc>
      </w:tr>
      <w:tr>
        <w:trPr>
          <w:trHeight w:val="238"/>
        </w:trPr>
        <w:tc>
          <w:tcPr>
            <w:tcW w:w="900" w:type="dxa"/>
            <w:vAlign w:val="bottom"/>
          </w:tcPr>
          <w:p>
            <w:pPr>
              <w:spacing w:after="0"/>
              <w:rPr>
                <w:sz w:val="20"/>
                <w:szCs w:val="20"/>
                <w:color w:val="auto"/>
              </w:rPr>
            </w:pPr>
          </w:p>
        </w:tc>
        <w:tc>
          <w:tcPr>
            <w:tcW w:w="1034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Material Change Report</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Name and Address of Company</w:t>
            </w:r>
          </w:p>
        </w:tc>
      </w:tr>
      <w:tr>
        <w:trPr>
          <w:trHeight w:val="414"/>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110 Yonge Street, Suite 1601</w:t>
            </w:r>
          </w:p>
        </w:tc>
      </w:tr>
      <w:tr>
        <w:trPr>
          <w:trHeight w:val="234"/>
        </w:trPr>
        <w:tc>
          <w:tcPr>
            <w:tcW w:w="90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Toronto, Ontario M5C 1T4</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Date of Material Change</w:t>
            </w:r>
          </w:p>
        </w:tc>
      </w:tr>
      <w:tr>
        <w:trPr>
          <w:trHeight w:val="432"/>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News Release</w:t>
            </w:r>
          </w:p>
        </w:tc>
      </w:tr>
      <w:tr>
        <w:trPr>
          <w:trHeight w:val="414"/>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 news release was issued by the Company on August 21, 2024 and disseminated through a newswire company in Canada and filed</w:t>
            </w:r>
          </w:p>
        </w:tc>
      </w:tr>
      <w:tr>
        <w:trPr>
          <w:trHeight w:val="234"/>
        </w:trPr>
        <w:tc>
          <w:tcPr>
            <w:tcW w:w="90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under the Company’s profile on SEDAR+.</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Summary of Material Change</w:t>
            </w:r>
          </w:p>
        </w:tc>
      </w:tr>
      <w:tr>
        <w:trPr>
          <w:trHeight w:val="410"/>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On August 21, 2024, the Company entered into an agreement and plan of 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with Backbone Mining</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Solutions LLC, a Delaware limited liability company and wholly owned, indirect subsidiary of the Company (“</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HPC &amp; AI</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Megacorp, Inc., a Delaware corporation and a wholly-owned, direct subsidiary of BMS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Stronghold Digital Mining,</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 (NASDAQ: SDIG) (“</w:t>
            </w:r>
            <w:r>
              <w:rPr>
                <w:rFonts w:ascii="Times New Roman" w:cs="Times New Roman" w:eastAsia="Times New Roman" w:hAnsi="Times New Roman"/>
                <w:sz w:val="18"/>
                <w:szCs w:val="18"/>
                <w:b w:val="1"/>
                <w:bCs w:val="1"/>
                <w:color w:val="auto"/>
              </w:rPr>
              <w:t>Stronghold</w:t>
            </w:r>
            <w:r>
              <w:rPr>
                <w:rFonts w:ascii="Times New Roman" w:cs="Times New Roman" w:eastAsia="Times New Roman" w:hAnsi="Times New Roman"/>
                <w:sz w:val="18"/>
                <w:szCs w:val="18"/>
                <w:color w:val="auto"/>
              </w:rPr>
              <w:t>”) to acquire 100% of the Class A common stock of Stronghold (“</w:t>
            </w:r>
            <w:r>
              <w:rPr>
                <w:rFonts w:ascii="Times New Roman" w:cs="Times New Roman" w:eastAsia="Times New Roman" w:hAnsi="Times New Roman"/>
                <w:sz w:val="18"/>
                <w:szCs w:val="18"/>
                <w:b w:val="1"/>
                <w:bCs w:val="1"/>
                <w:color w:val="auto"/>
              </w:rPr>
              <w:t>Stronghold Class A Common</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in consideration for the issuance of common shares in the capital of the Company (“</w:t>
            </w:r>
            <w:r>
              <w:rPr>
                <w:rFonts w:ascii="Times New Roman" w:cs="Times New Roman" w:eastAsia="Times New Roman" w:hAnsi="Times New Roman"/>
                <w:sz w:val="18"/>
                <w:szCs w:val="18"/>
                <w:b w:val="1"/>
                <w:bCs w:val="1"/>
                <w:color w:val="auto"/>
              </w:rPr>
              <w:t>Bitfarms Common Shares</w:t>
            </w:r>
            <w:r>
              <w:rPr>
                <w:rFonts w:ascii="Times New Roman" w:cs="Times New Roman" w:eastAsia="Times New Roman" w:hAnsi="Times New Roman"/>
                <w:sz w:val="18"/>
                <w:szCs w:val="18"/>
                <w:color w:val="auto"/>
              </w:rPr>
              <w:t>”) in a</w:t>
            </w:r>
          </w:p>
        </w:tc>
      </w:tr>
      <w:tr>
        <w:trPr>
          <w:trHeight w:val="220"/>
        </w:trPr>
        <w:tc>
          <w:tcPr>
            <w:tcW w:w="900" w:type="dxa"/>
            <w:vAlign w:val="bottom"/>
          </w:tcPr>
          <w:p>
            <w:pPr>
              <w:spacing w:after="0"/>
              <w:rPr>
                <w:sz w:val="19"/>
                <w:szCs w:val="19"/>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 valued at approximately US$125 million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plus the assumption of debt valued at approximately US$50</w:t>
            </w:r>
          </w:p>
        </w:tc>
      </w:tr>
      <w:tr>
        <w:trPr>
          <w:trHeight w:val="234"/>
        </w:trPr>
        <w:tc>
          <w:tcPr>
            <w:tcW w:w="90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million.</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Full Description of Material Change</w:t>
            </w:r>
          </w:p>
        </w:tc>
      </w:tr>
      <w:tr>
        <w:trPr>
          <w:trHeight w:val="432"/>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Overview</w:t>
            </w:r>
          </w:p>
        </w:tc>
      </w:tr>
      <w:tr>
        <w:trPr>
          <w:trHeight w:val="410"/>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On August 21, 2024, the Company entered into the Merger Agreement with Stronghold, BMS and Merger Sub to acquire 100% of the</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Stronghold Class A Common Stock, as a result of which stockholders of Stronghold will be entitled to receive 2.520 (the “</w:t>
            </w:r>
            <w:r>
              <w:rPr>
                <w:rFonts w:ascii="Times New Roman" w:cs="Times New Roman" w:eastAsia="Times New Roman" w:hAnsi="Times New Roman"/>
                <w:sz w:val="18"/>
                <w:szCs w:val="18"/>
                <w:b w:val="1"/>
                <w:bCs w:val="1"/>
                <w:color w:val="auto"/>
              </w:rPr>
              <w:t>Exchange</w:t>
            </w:r>
          </w:p>
        </w:tc>
      </w:tr>
      <w:tr>
        <w:trPr>
          <w:trHeight w:val="220"/>
        </w:trPr>
        <w:tc>
          <w:tcPr>
            <w:tcW w:w="900" w:type="dxa"/>
            <w:vAlign w:val="bottom"/>
          </w:tcPr>
          <w:p>
            <w:pPr>
              <w:spacing w:after="0"/>
              <w:rPr>
                <w:sz w:val="19"/>
                <w:szCs w:val="19"/>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Ratio</w:t>
            </w:r>
            <w:r>
              <w:rPr>
                <w:rFonts w:ascii="Times New Roman" w:cs="Times New Roman" w:eastAsia="Times New Roman" w:hAnsi="Times New Roman"/>
                <w:sz w:val="18"/>
                <w:szCs w:val="18"/>
                <w:color w:val="auto"/>
              </w:rPr>
              <w:t>”) Bitfarms Common Shares for each share of Stronghold Class A Common Stock. The Acquisition will result in the issuance of</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58,298,400 Bitfarms Common Shares (based on the number of Stronghold Class A Common Stock and securities which are convertible</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into Stronghold Class A Common Stock currently outstanding) (or approximately 12.9% of the currently issued and outstanding Bitfarms</w:t>
            </w:r>
          </w:p>
        </w:tc>
      </w:tr>
      <w:tr>
        <w:trPr>
          <w:trHeight w:val="234"/>
        </w:trPr>
        <w:tc>
          <w:tcPr>
            <w:tcW w:w="90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Common Shares).</w:t>
            </w:r>
          </w:p>
        </w:tc>
      </w:tr>
      <w:tr>
        <w:trPr>
          <w:trHeight w:val="682"/>
        </w:trPr>
        <w:tc>
          <w:tcPr>
            <w:tcW w:w="90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both"/>
        <w:ind w:left="180"/>
        <w:spacing w:after="0" w:line="257" w:lineRule="auto"/>
        <w:rPr>
          <w:sz w:val="20"/>
          <w:szCs w:val="20"/>
          <w:color w:val="auto"/>
        </w:rPr>
      </w:pPr>
      <w:r>
        <w:rPr>
          <w:rFonts w:ascii="Times New Roman" w:cs="Times New Roman" w:eastAsia="Times New Roman" w:hAnsi="Times New Roman"/>
          <w:sz w:val="18"/>
          <w:szCs w:val="18"/>
          <w:color w:val="auto"/>
        </w:rPr>
        <w:t>On August 20, 2024, the special committee (the “</w:t>
      </w:r>
      <w:r>
        <w:rPr>
          <w:rFonts w:ascii="Times New Roman" w:cs="Times New Roman" w:eastAsia="Times New Roman" w:hAnsi="Times New Roman"/>
          <w:sz w:val="18"/>
          <w:szCs w:val="18"/>
          <w:b w:val="1"/>
          <w:bCs w:val="1"/>
          <w:color w:val="auto"/>
        </w:rPr>
        <w:t>Special Committee</w:t>
      </w:r>
      <w:r>
        <w:rPr>
          <w:rFonts w:ascii="Times New Roman" w:cs="Times New Roman" w:eastAsia="Times New Roman" w:hAnsi="Times New Roman"/>
          <w:sz w:val="18"/>
          <w:szCs w:val="18"/>
          <w:color w:val="auto"/>
        </w:rPr>
        <w:t>”) of the board of directors of Bitfarms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comprised solely of independent directors of the Company, after receiving outside legal and financial advice and an opinion from Houlihan Lokey Capital, Inc., to the effect that, as of August 20, 2024, subject to the assumptions, limitations and qualifications contained therein, the Exchange Ratio provided for in the Acquisition pursuant to the Merger Agreement is fair to the Company from a financial point of view, unanimously recommended to the Board the approval of the Acquisition and the Merger Agreement. The Board, after careful consideration of the Special Committee’s recommendation, unanimously approved the Acquisition and the Merger Agreement.</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Merger Consideration and Treatment of Equity Awards</w:t>
      </w:r>
    </w:p>
    <w:p>
      <w:pPr>
        <w:spacing w:after="0" w:line="227"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among other things and subject to the terms and conditions of the Merger Agreement, (i) Merger Sub will be merged with and into Stronghold in accordance with the provisions of the General Corporation Law of the State of Delaware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Stronghold surviving and continuing as the surviving corporation in the Merger and (ii) at the effective time of the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after giving effect to the Conversion and Exchanges (each as defined below), (1) each share of Stronghold Class A Common Stock, par value $0.0001 per share, issued and outstanding immediately prior to the Effective Time (other than Stronghold Class A Common Stock held by Stronghold as treasury shares or by the Company, Merger Sub or any wholly owned subsidiary thereof) will be converted into 2.520 Bitfarms Common Shares, (2) each issued and outstanding share of Class V common stock, par value $0.0001 per share, of Stronghold (“</w:t>
      </w:r>
      <w:r>
        <w:rPr>
          <w:rFonts w:ascii="Times New Roman" w:cs="Times New Roman" w:eastAsia="Times New Roman" w:hAnsi="Times New Roman"/>
          <w:sz w:val="18"/>
          <w:szCs w:val="18"/>
          <w:b w:val="1"/>
          <w:bCs w:val="1"/>
          <w:color w:val="auto"/>
        </w:rPr>
        <w:t>Stronghold Class V Common Stock</w:t>
      </w:r>
      <w:r>
        <w:rPr>
          <w:rFonts w:ascii="Times New Roman" w:cs="Times New Roman" w:eastAsia="Times New Roman" w:hAnsi="Times New Roman"/>
          <w:sz w:val="18"/>
          <w:szCs w:val="18"/>
          <w:color w:val="auto"/>
        </w:rPr>
        <w:t>” and, together with the Stronghold Class A Common Stock, the “</w:t>
      </w:r>
      <w:r>
        <w:rPr>
          <w:rFonts w:ascii="Times New Roman" w:cs="Times New Roman" w:eastAsia="Times New Roman" w:hAnsi="Times New Roman"/>
          <w:sz w:val="18"/>
          <w:szCs w:val="18"/>
          <w:b w:val="1"/>
          <w:bCs w:val="1"/>
          <w:color w:val="auto"/>
        </w:rPr>
        <w:t>Stronghold Common Stock</w:t>
      </w:r>
      <w:r>
        <w:rPr>
          <w:rFonts w:ascii="Times New Roman" w:cs="Times New Roman" w:eastAsia="Times New Roman" w:hAnsi="Times New Roman"/>
          <w:sz w:val="18"/>
          <w:szCs w:val="18"/>
          <w:color w:val="auto"/>
        </w:rPr>
        <w:t>”) shall be automatically cancelled and shall cease to exist and no payment shall be made with respect thereto, and (3) each issued and outstanding Class A common unit (each, a “</w:t>
      </w:r>
      <w:r>
        <w:rPr>
          <w:rFonts w:ascii="Times New Roman" w:cs="Times New Roman" w:eastAsia="Times New Roman" w:hAnsi="Times New Roman"/>
          <w:sz w:val="18"/>
          <w:szCs w:val="18"/>
          <w:b w:val="1"/>
          <w:bCs w:val="1"/>
          <w:color w:val="auto"/>
        </w:rPr>
        <w:t>Stronghold Holdco Unit</w:t>
      </w:r>
      <w:r>
        <w:rPr>
          <w:rFonts w:ascii="Times New Roman" w:cs="Times New Roman" w:eastAsia="Times New Roman" w:hAnsi="Times New Roman"/>
          <w:sz w:val="18"/>
          <w:szCs w:val="18"/>
          <w:color w:val="auto"/>
        </w:rPr>
        <w:t>”) of Stronghold Digital Mining Holdings LLC (“</w:t>
      </w:r>
      <w:r>
        <w:rPr>
          <w:rFonts w:ascii="Times New Roman" w:cs="Times New Roman" w:eastAsia="Times New Roman" w:hAnsi="Times New Roman"/>
          <w:sz w:val="18"/>
          <w:szCs w:val="18"/>
          <w:b w:val="1"/>
          <w:bCs w:val="1"/>
          <w:color w:val="auto"/>
        </w:rPr>
        <w:t>Stronghold Holdco</w:t>
      </w:r>
      <w:r>
        <w:rPr>
          <w:rFonts w:ascii="Times New Roman" w:cs="Times New Roman" w:eastAsia="Times New Roman" w:hAnsi="Times New Roman"/>
          <w:sz w:val="18"/>
          <w:szCs w:val="18"/>
          <w:color w:val="auto"/>
        </w:rPr>
        <w:t>”) shall be unaffected by the Merger and shall remain outstanding, and no payment shall be made with respect thereto.</w:t>
      </w:r>
    </w:p>
    <w:p>
      <w:pPr>
        <w:spacing w:after="0" w:line="190"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Any holder of Stronghold Class A Common Stock who would otherwise be entitled to receive a fraction of a Bitfarms Common Share pursuant to the Merger (after taking into account all Stronghold Class A Common Stock held immediately prior to the Effective Time by such holder) shall receive, in lieu thereof, an amount of cash, without interest, equal to such fraction of a Bitfarms Common Share multiplied by the closing price per Bitfarms Common Share on the business day immediately prior to the Effective Time.</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 w:name="page6"/>
    <w:bookmarkEnd w:id="5"/>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Immediately prior to and conditioned upon the Effective Time, (i) pursuant to the terms of a Conversion Agreement, dated August 21, 2024, entered into by the Company, Stronghold and the holders of the issued and outstanding shares of Stronghold’s Series C Convertible Preferred Stock, par value $0.0001 per share (the “</w:t>
      </w:r>
      <w:r>
        <w:rPr>
          <w:rFonts w:ascii="Times New Roman" w:cs="Times New Roman" w:eastAsia="Times New Roman" w:hAnsi="Times New Roman"/>
          <w:sz w:val="18"/>
          <w:szCs w:val="18"/>
          <w:b w:val="1"/>
          <w:bCs w:val="1"/>
          <w:color w:val="auto"/>
        </w:rPr>
        <w:t>Stronghold Series C Preferred Stock</w:t>
      </w:r>
      <w:r>
        <w:rPr>
          <w:rFonts w:ascii="Times New Roman" w:cs="Times New Roman" w:eastAsia="Times New Roman" w:hAnsi="Times New Roman"/>
          <w:sz w:val="18"/>
          <w:szCs w:val="18"/>
          <w:color w:val="auto"/>
        </w:rPr>
        <w:t>”), concurrently with the execution and delivery of the Merger Agreement (the “</w:t>
      </w:r>
      <w:r>
        <w:rPr>
          <w:rFonts w:ascii="Times New Roman" w:cs="Times New Roman" w:eastAsia="Times New Roman" w:hAnsi="Times New Roman"/>
          <w:sz w:val="18"/>
          <w:szCs w:val="18"/>
          <w:b w:val="1"/>
          <w:bCs w:val="1"/>
          <w:color w:val="auto"/>
        </w:rPr>
        <w:t>Conversion Agreement</w:t>
      </w:r>
      <w:r>
        <w:rPr>
          <w:rFonts w:ascii="Times New Roman" w:cs="Times New Roman" w:eastAsia="Times New Roman" w:hAnsi="Times New Roman"/>
          <w:sz w:val="18"/>
          <w:szCs w:val="18"/>
          <w:color w:val="auto"/>
        </w:rPr>
        <w:t>”), each share of Stronghold Series C Preferred Stock issued and outstanding as of such time shall be converted into 250 shares of Stronghold Class A Common Stock in accordance with the Certificate of Designations of the Stronghold Series C Preferred Stock, filed with the Secretary of State of the State of Delaware, effective February 20, 2023, and thereafter all shares of Stronghold Series C Preferred Stock shall no longer be outstanding and shall cease to exist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and (2) pursuant to Section 3.6(q) of the Fifth Amended and Restated Limited Liability Company Agreement of Stronghold Holdco, Stronghold shall require each member of Stronghold Holdco (other than Stronghold and its wholly owned subsidiaries) to effect an exchange of all of outstanding Stronghold Holdco Units held by such member, together with the surrender for cancellation of a corresponding number of shares of Stronghold Class V Common Stock, for a corresponding number of shares of Stronghold Class A Common Stock (the “</w:t>
      </w:r>
      <w:r>
        <w:rPr>
          <w:rFonts w:ascii="Times New Roman" w:cs="Times New Roman" w:eastAsia="Times New Roman" w:hAnsi="Times New Roman"/>
          <w:sz w:val="18"/>
          <w:szCs w:val="18"/>
          <w:b w:val="1"/>
          <w:bCs w:val="1"/>
          <w:color w:val="auto"/>
        </w:rPr>
        <w:t>Exchanges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Except as set forth below, the Merger Agreement provides that, at the Effective Time, each outstanding vested or unvested restricted stock unit of Stronghold (each, a “</w:t>
      </w:r>
      <w:r>
        <w:rPr>
          <w:rFonts w:ascii="Times New Roman" w:cs="Times New Roman" w:eastAsia="Times New Roman" w:hAnsi="Times New Roman"/>
          <w:sz w:val="18"/>
          <w:szCs w:val="18"/>
          <w:b w:val="1"/>
          <w:bCs w:val="1"/>
          <w:color w:val="auto"/>
        </w:rPr>
        <w:t>Stronghold RSU</w:t>
      </w:r>
      <w:r>
        <w:rPr>
          <w:rFonts w:ascii="Times New Roman" w:cs="Times New Roman" w:eastAsia="Times New Roman" w:hAnsi="Times New Roman"/>
          <w:sz w:val="18"/>
          <w:szCs w:val="18"/>
          <w:color w:val="auto"/>
        </w:rPr>
        <w:t>”) that is outstanding immediately prior to the Effective Time will immediately vest in full, and each Stronghold RSU shall be treated as a share of Stronghold Class A Common Stock for all purposes of the Merger Agreement, including the right to receive Bitfarms Common Shares. Additionally, at the Effective Time, to the extent that Stronghold granted any Stronghold RSUs during the Interim Period (as defined in the Merger Agreement), the Company shall assume such Stronghold RSUs, whereby each such Stronghold RSU that is granted during the Interim Period and outstanding immediately prior to the Effective Time shall be converted into a number of the Company’s restricted share units granted under the Company’s equity plan subject to the same terms and conditions applicable to such Stronghold RSU immediately prior to the Effective Time.</w:t>
      </w:r>
    </w:p>
    <w:p>
      <w:pPr>
        <w:spacing w:after="0" w:line="192"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Further, the Merger Agreement provides that, at the Effective Time, (1) each outstanding vested or unvested option to purchase shares of Stronghold Class A Common Stock (each, a “</w:t>
      </w:r>
      <w:r>
        <w:rPr>
          <w:rFonts w:ascii="Times New Roman" w:cs="Times New Roman" w:eastAsia="Times New Roman" w:hAnsi="Times New Roman"/>
          <w:sz w:val="18"/>
          <w:szCs w:val="18"/>
          <w:b w:val="1"/>
          <w:bCs w:val="1"/>
          <w:color w:val="auto"/>
        </w:rPr>
        <w:t>Stronghold Option</w:t>
      </w:r>
      <w:r>
        <w:rPr>
          <w:rFonts w:ascii="Times New Roman" w:cs="Times New Roman" w:eastAsia="Times New Roman" w:hAnsi="Times New Roman"/>
          <w:sz w:val="18"/>
          <w:szCs w:val="18"/>
          <w:color w:val="auto"/>
        </w:rPr>
        <w:t>”), other than any Stronghold Option that is held by a former employee or former non-employee director of, or former other service provider to, Stronghold or its subsidiaries (each, a “</w:t>
      </w:r>
      <w:r>
        <w:rPr>
          <w:rFonts w:ascii="Times New Roman" w:cs="Times New Roman" w:eastAsia="Times New Roman" w:hAnsi="Times New Roman"/>
          <w:sz w:val="18"/>
          <w:szCs w:val="18"/>
          <w:b w:val="1"/>
          <w:bCs w:val="1"/>
          <w:color w:val="auto"/>
        </w:rPr>
        <w:t>Former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shall be automatically assumed by the Company and converted into an option to acquire Bitfarms Common Shares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Option</w:t>
      </w:r>
      <w:r>
        <w:rPr>
          <w:rFonts w:ascii="Times New Roman" w:cs="Times New Roman" w:eastAsia="Times New Roman" w:hAnsi="Times New Roman"/>
          <w:sz w:val="18"/>
          <w:szCs w:val="18"/>
          <w:color w:val="auto"/>
        </w:rPr>
        <w:t>”) on substantially the same terms and conditions as were applicable to such Stronghold Option as of immediately prior to the Effective Time, except that (a) the number of shares of Bitfarms Common Shares issuable pursuant to each Bitfarms Option will be equal to the number of shares of Stronghold Class A Common Stock issuable pursuant to the Stronghold Option multiplied by the Exchange Ratio, and (b) the exercise price of each Bitfarms Common Share issuable upon the exercise of the Bitfarms Option will be equal to the exercise price per share of Stronghold Class A Common Stock under such Stronghold Option divided by the Exchange Ratio, and (2) each Former Employee Option shall be automatically cancelled and converted into the right to receive a number of Bitfarms Common Shares equal to the product of (x) the number of shares of Stronghold Class A Common Stock subject to such Former Employee Option as of immediately prior to the Effective Time and (y) (i) the excess, if any, of the Merger Consideration Value (as defined below) over the exercise price per share of Stronghold Class A Common Stock applicable to such Former Employee Option, divided by (ii) the product obtained by multiplying the Exchange Ratio by the volume-weighted average price of Bitfarms Common Shares reported by The Nasdaq Stock Market LLC for the five consecutive trading day period ending on the trading day immediately prior to the Effective Time (the “</w:t>
      </w:r>
      <w:r>
        <w:rPr>
          <w:rFonts w:ascii="Times New Roman" w:cs="Times New Roman" w:eastAsia="Times New Roman" w:hAnsi="Times New Roman"/>
          <w:sz w:val="18"/>
          <w:szCs w:val="18"/>
          <w:b w:val="1"/>
          <w:bCs w:val="1"/>
          <w:color w:val="auto"/>
        </w:rPr>
        <w:t>Merger Consideration Value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 w:name="page7"/>
    <w:bookmarkEnd w:id="6"/>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The Merger Agreement further provides that, at the Effective Time, in accordance with the terms of each outstanding and unexercised warrant to purchase Stronghold Class A Common Stock (each, a “</w:t>
      </w:r>
      <w:r>
        <w:rPr>
          <w:rFonts w:ascii="Times New Roman" w:cs="Times New Roman" w:eastAsia="Times New Roman" w:hAnsi="Times New Roman"/>
          <w:sz w:val="18"/>
          <w:szCs w:val="18"/>
          <w:b w:val="1"/>
          <w:bCs w:val="1"/>
          <w:color w:val="auto"/>
        </w:rPr>
        <w:t>Stronghold Warrant</w:t>
      </w:r>
      <w:r>
        <w:rPr>
          <w:rFonts w:ascii="Times New Roman" w:cs="Times New Roman" w:eastAsia="Times New Roman" w:hAnsi="Times New Roman"/>
          <w:sz w:val="18"/>
          <w:szCs w:val="18"/>
          <w:color w:val="auto"/>
        </w:rPr>
        <w:t>”), unless otherwise mutually agreed by the holder of any Stronghold Warrant and the Company, each Stronghold Warrant shall cease to represent a right to acquire Stronghold Class A Common Stock and shall be replaced with a warrant to acquire Bitfarms Common Shares (each, a “</w:t>
      </w:r>
      <w:r>
        <w:rPr>
          <w:rFonts w:ascii="Times New Roman" w:cs="Times New Roman" w:eastAsia="Times New Roman" w:hAnsi="Times New Roman"/>
          <w:sz w:val="18"/>
          <w:szCs w:val="18"/>
          <w:b w:val="1"/>
          <w:bCs w:val="1"/>
          <w:color w:val="auto"/>
        </w:rPr>
        <w:t>Bitfarms Warrant</w:t>
      </w:r>
      <w:r>
        <w:rPr>
          <w:rFonts w:ascii="Times New Roman" w:cs="Times New Roman" w:eastAsia="Times New Roman" w:hAnsi="Times New Roman"/>
          <w:sz w:val="18"/>
          <w:szCs w:val="18"/>
          <w:color w:val="auto"/>
        </w:rPr>
        <w:t>”), with (1) the number of such Bitfarms Common Shares equal to the product obtained by multiplying the number of shares of Stronghold Class A Common Stock subject to such Stronghold Warrant immediately prior to the Effective Time by the Exchange Ratio, and (2) an exercise price for each such Bitfarms Common Share equal to the quotient obtained by dividing the exercise price per share of Stronghold Class A Common Stock under such Stronghold Warrant by the Exchange Ratio.</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Treatment of Stronghold Indebtedness</w:t>
      </w:r>
    </w:p>
    <w:p>
      <w:pPr>
        <w:spacing w:after="0" w:line="227"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to the extent requested by the Company, Stronghold will, at the Company’s expense, use reasonable best efforts to promptly obtain any consents or amendments necessary to permit the consummation of the Merger under Stronghold’s credit agreement (the “</w:t>
      </w:r>
      <w:r>
        <w:rPr>
          <w:rFonts w:ascii="Times New Roman" w:cs="Times New Roman" w:eastAsia="Times New Roman" w:hAnsi="Times New Roman"/>
          <w:sz w:val="18"/>
          <w:szCs w:val="18"/>
          <w:b w:val="1"/>
          <w:bCs w:val="1"/>
          <w:color w:val="auto"/>
        </w:rPr>
        <w:t>COC Amendment</w:t>
      </w:r>
      <w:r>
        <w:rPr>
          <w:rFonts w:ascii="Times New Roman" w:cs="Times New Roman" w:eastAsia="Times New Roman" w:hAnsi="Times New Roman"/>
          <w:sz w:val="18"/>
          <w:szCs w:val="18"/>
          <w:color w:val="auto"/>
        </w:rPr>
        <w:t>”), provided that the obtaining of the COC Amendment is not a condition to closing of the Merger. If the COC Amendment is not obtained five business days prior to closing of the Merger, the Company will satisfy all outstanding obligations under such credit agreement and certain other debt instruments of Stronghold prior to or substantially concurrently with the consummation of the Merger.</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Closing Conditions; Representations and Warranties</w:t>
      </w:r>
    </w:p>
    <w:p>
      <w:pPr>
        <w:spacing w:after="0" w:line="227"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 xml:space="preserve">The completion of the Merger is subject to satisfaction or waiver of certain customary mutual closing conditions, including (1) the receipt of the required approvals from the holders of Stronghold Class A Common Stock, (2) the absence of any governmental order or law that makes consummation of the Merger illegal or otherwise prohibited, (3) receipt of certain approvals and consents from specified governmental entities, including, if applicable, the expiration or termination of the applicable waiting period under the Hart-Scott-Rodino Antitrust Improvements Act of 1976, (4) the effectiveness of the registration statement on Form F-4 to be filed by Bitfarms pursuant to which the Bitfarms Common Shares to be issued in connection with the Merger are registered with the U.S. Securities and Exchange Commission, and (5) the authorization for listing of the Bitfarms Common Shares to be issued in connection with the Merger on the Toronto Stock Exchange and Nasdaq, subject to customary conditions and official notice of issuance. The obligation of each party to consummate the Merger is also conditioned upon, among other things, (1) the other party’s representations and warranties being true and correct (subject to certain materiality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exceptions), (2) the other party having performed in all material respects its obligations required to be performed by it under the Merger Agreement at or prior to the Effective Time, (3) the absence of a material adverse effect on the other party and (4) with respect to Bitfarms’ obligation to consummate the Merger, certain conditions regarding Stronghold’s Bitcoin mining facilities and their ability to import power from the grid.</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 w:name="page8"/>
    <w:bookmarkEnd w:id="7"/>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Bitfarms and Stronghold relating to their respective businesses, financial statements and public filings, in each case generally subject to customary materiality qualifiers. Additionally, the Merger Agreement provides for customary pre-closing covenants for each party including, subject to certain exceptions, covenants to conduct their respective businesses in the ordinary course consistent with past practice and to refrain from taking certain actions without the other party’s consent. Bitfarms and Stronghold also agreed to use their respective reasonable best efforts to cause the Merger to be consummated, subject to certain limitations set forth in the Merger Agreement. Bitfarms and Stronghold have agreed to file the registration statement on Form F-4 and the proxy statement for a special meeting of holders of Stronghold Common Stock to approve the Merger Agreement (the “</w:t>
      </w:r>
      <w:r>
        <w:rPr>
          <w:rFonts w:ascii="Times New Roman" w:cs="Times New Roman" w:eastAsia="Times New Roman" w:hAnsi="Times New Roman"/>
          <w:sz w:val="18"/>
          <w:szCs w:val="18"/>
          <w:b w:val="1"/>
          <w:bCs w:val="1"/>
          <w:color w:val="auto"/>
        </w:rPr>
        <w:t>Stronghold Special Meeting</w:t>
      </w:r>
      <w:r>
        <w:rPr>
          <w:rFonts w:ascii="Times New Roman" w:cs="Times New Roman" w:eastAsia="Times New Roman" w:hAnsi="Times New Roman"/>
          <w:sz w:val="18"/>
          <w:szCs w:val="18"/>
          <w:color w:val="auto"/>
        </w:rPr>
        <w:t>”) promptly after the signing date of the Merger Agreement.</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No Solicitation</w:t>
      </w:r>
    </w:p>
    <w:p>
      <w:pPr>
        <w:spacing w:after="0" w:line="227"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during the period from the date of the Merger Agreement until the Effective Time, Stronghold will be subject to certain restrictions on its ability to solicit alternative competing proposals from third parties, to provide non-public information to third parties, and to engage in discussions with third parties regarding alternative competing proposals, subject to customary exceptions. Stronghold is required to call the Stronghold Special Meeting and, subject to certain exceptions, to recommend that the holders of Stronghold Common Stock approve the Merger Agreement.</w:t>
      </w: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ind w:left="180"/>
        <w:spacing w:after="0"/>
        <w:rPr>
          <w:sz w:val="20"/>
          <w:szCs w:val="20"/>
          <w:color w:val="auto"/>
        </w:rPr>
      </w:pPr>
      <w:r>
        <w:rPr>
          <w:rFonts w:ascii="Times New Roman" w:cs="Times New Roman" w:eastAsia="Times New Roman" w:hAnsi="Times New Roman"/>
          <w:sz w:val="18"/>
          <w:szCs w:val="18"/>
          <w:i w:val="1"/>
          <w:iCs w:val="1"/>
          <w:color w:val="auto"/>
        </w:rPr>
        <w:t>Termination and Fees</w:t>
      </w:r>
    </w:p>
    <w:p>
      <w:pPr>
        <w:spacing w:after="0" w:line="227"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The Merger Agreement contains termination rights for each of the Company and Stronghold, including, but not limited to, termination by mutual written consent of the Company and Stronghold, and by either the Company or Stronghold if (1) there is a final and nonappealable order, decree, ruling or injunction permanently restraining, enjoining or otherwise prohibiting the consummation of the Merger, or adoption of a law permanently making consummation of the Merger illegal or otherwise permanently prohibited, (2) the Merger has not been consummated on or before 5:00 p.m. New York, New York time, on May 21, 2025, which may be automatically extended to August 21, 2025 in certain circumstances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provided that such right will not be available to any party whose failure to fulfill any material covenant or agreement under the Merger Agreement has been the primary cause of or resulted in the failure of the Merger to occur on or before such date, (3) the other party has breached any of its representations or warranties, or failed to perform any of its covenants or agreements, under the Merger Agreement such that any of the applicable closing conditions for the benefit of the non-breaching party would not be satisfied and the breach or failure to perform is not cured within the requisite period (if applicable), and (4) the holders of Stronghold Common Stock do not approve the Merger at the Stronghold Special Meeting, or at any adjournment or postponement thereof (“</w:t>
      </w:r>
      <w:r>
        <w:rPr>
          <w:rFonts w:ascii="Times New Roman" w:cs="Times New Roman" w:eastAsia="Times New Roman" w:hAnsi="Times New Roman"/>
          <w:sz w:val="18"/>
          <w:szCs w:val="18"/>
          <w:b w:val="1"/>
          <w:bCs w:val="1"/>
          <w:color w:val="auto"/>
        </w:rPr>
        <w:t>Failure to Obtain Stockholder Approval</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Additionally, the Merger Agreement permits Stronghold, subject to compliance with certain requirements and payment of a termination fee (described below), to terminate the Merger Agreement to enter into a definitive agreement for a superior alternative competing proposal that would result in a transaction more favourable to Stronghold’s stockholders than the Acquisition. The Merger Agreement also permits the Company to terminate the Merger Agreement before the Stronghold Special Meeting if Stronghold’s board of directors (or any committee thereof) (i) withdraws, qualifies or modifies, or publicly proposes to withdraw, qualify or modify, in a manner adverse to the Company, or fails to affirm without qualification, its recommendation of the Acquisition to the holders of Stronghold Common Stock, or (ii) approves, endorses or recommends, or publicly proposes or announces any intention to approve, endorse or recommend, an alternative competing transaction to the Acquisition.</w:t>
      </w:r>
    </w:p>
    <w:p>
      <w:pPr>
        <w:spacing w:after="0" w:line="192"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Stronghold or the Company, as applicable, will be required to pay the other party a termination fee in specified circumstances, including, (1) (i) the termination by Stronghold in order to enter into a definitive agreement for a superior alternative competing proposal, (ii) the termination by the Company in the event of a change of recommendation by Stronghold’s board of directors, or (iii) if the Company or Stronghold terminate the Merger Agreement in the event of a Failure to Obtain Stockholder Approval and, on or before the date of any such termination, a competing alternative proposal has been publicly announced or publicly disclosed and not been withdrawn prior to the Stronghold Special Meeting, and Stronghold enters into a definitive agreement with respect to, or consummates, a competing alternative transaction within twelve months after termination of the Merger Agreement (each, a “</w:t>
      </w:r>
      <w:r>
        <w:rPr>
          <w:rFonts w:ascii="Times New Roman" w:cs="Times New Roman" w:eastAsia="Times New Roman" w:hAnsi="Times New Roman"/>
          <w:sz w:val="18"/>
          <w:szCs w:val="18"/>
          <w:b w:val="1"/>
          <w:bCs w:val="1"/>
          <w:color w:val="auto"/>
        </w:rPr>
        <w:t>Stronghold Termination Fee Event</w:t>
      </w:r>
      <w:r>
        <w:rPr>
          <w:rFonts w:ascii="Times New Roman" w:cs="Times New Roman" w:eastAsia="Times New Roman" w:hAnsi="Times New Roman"/>
          <w:sz w:val="18"/>
          <w:szCs w:val="18"/>
          <w:color w:val="auto"/>
        </w:rPr>
        <w:t>”), and (2) the termination by Stronghold upon the Company’s failure to close the Merger in accordance with the terms of the Merger Agreement following notice by Stronghold that all closing conditions are satisfied or waived (a “</w:t>
      </w:r>
      <w:r>
        <w:rPr>
          <w:rFonts w:ascii="Times New Roman" w:cs="Times New Roman" w:eastAsia="Times New Roman" w:hAnsi="Times New Roman"/>
          <w:sz w:val="18"/>
          <w:szCs w:val="18"/>
          <w:b w:val="1"/>
          <w:bCs w:val="1"/>
          <w:color w:val="auto"/>
        </w:rPr>
        <w:t>Bitfarms Termination Fee Event</w:t>
      </w:r>
      <w:r>
        <w:rPr>
          <w:rFonts w:ascii="Times New Roman" w:cs="Times New Roman" w:eastAsia="Times New Roman" w:hAnsi="Times New Roman"/>
          <w:sz w:val="18"/>
          <w:szCs w:val="18"/>
          <w:color w:val="auto"/>
        </w:rPr>
        <w:t>”). The Merger Agreement provides that (1) if a Stronghold Termination Fee Event occurs, a termination fee of US$5.0 million (payable in cash and/or Bitcoin, as elected by Stronghold) will be payable by Stronghold to the Company; and (2) if a Bitfarms Termination Fee Event occurs, a termination fee of US$12.5 million (payable in cash and/or Bitcoin, as elected by the Company) will be payable by the Company to Stronghold. In no event will the Company or Stronghold be entitled to receive more than one termination fee.</w:t>
      </w: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9" w:name="page10"/>
    <w:bookmarkEnd w:id="9"/>
    <w:p>
      <w:pPr>
        <w:ind w:left="180"/>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227"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the Company entered into a Voting Agreement (the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with each of Q Power LLC, a Delaware limited liability company (“</w:t>
      </w:r>
      <w:r>
        <w:rPr>
          <w:rFonts w:ascii="Times New Roman" w:cs="Times New Roman" w:eastAsia="Times New Roman" w:hAnsi="Times New Roman"/>
          <w:sz w:val="18"/>
          <w:szCs w:val="18"/>
          <w:b w:val="1"/>
          <w:bCs w:val="1"/>
          <w:color w:val="auto"/>
        </w:rPr>
        <w:t>Q Power</w:t>
      </w:r>
      <w:r>
        <w:rPr>
          <w:rFonts w:ascii="Times New Roman" w:cs="Times New Roman" w:eastAsia="Times New Roman" w:hAnsi="Times New Roman"/>
          <w:sz w:val="18"/>
          <w:szCs w:val="18"/>
          <w:color w:val="auto"/>
        </w:rPr>
        <w:t>”), and Gregory A. Beard (together with Q Power, the “</w:t>
      </w:r>
      <w:r>
        <w:rPr>
          <w:rFonts w:ascii="Times New Roman" w:cs="Times New Roman" w:eastAsia="Times New Roman" w:hAnsi="Times New Roman"/>
          <w:sz w:val="18"/>
          <w:szCs w:val="18"/>
          <w:b w:val="1"/>
          <w:bCs w:val="1"/>
          <w:color w:val="auto"/>
        </w:rPr>
        <w:t>Voting Agreement Holders</w:t>
      </w:r>
      <w:r>
        <w:rPr>
          <w:rFonts w:ascii="Times New Roman" w:cs="Times New Roman" w:eastAsia="Times New Roman" w:hAnsi="Times New Roman"/>
          <w:sz w:val="18"/>
          <w:szCs w:val="18"/>
          <w:color w:val="auto"/>
        </w:rPr>
        <w:t>”), pursuant to which and on the terms and subject to the conditions thereof, among other things, the Voting Agreement Holders have agreed to vote their shares of Stronghold Common Stock in favor of the matters to be submitted to holders of Stronghold Common Stock at the Stronghold Special Meeting, subject to the terms and conditions set forth in the Voting Agreement.</w:t>
      </w:r>
    </w:p>
    <w:p>
      <w:pPr>
        <w:spacing w:after="0" w:line="187" w:lineRule="exact"/>
        <w:rPr>
          <w:sz w:val="20"/>
          <w:szCs w:val="20"/>
          <w:color w:val="auto"/>
        </w:rPr>
      </w:pPr>
    </w:p>
    <w:p>
      <w:pPr>
        <w:jc w:val="both"/>
        <w:ind w:left="180" w:right="20"/>
        <w:spacing w:after="0" w:line="266" w:lineRule="auto"/>
        <w:rPr>
          <w:sz w:val="20"/>
          <w:szCs w:val="20"/>
          <w:color w:val="auto"/>
        </w:rPr>
      </w:pPr>
      <w:r>
        <w:rPr>
          <w:rFonts w:ascii="Times New Roman" w:cs="Times New Roman" w:eastAsia="Times New Roman" w:hAnsi="Times New Roman"/>
          <w:sz w:val="18"/>
          <w:szCs w:val="18"/>
          <w:color w:val="auto"/>
        </w:rPr>
        <w:t>The Voting Agreement will terminate upon the earliest to occur of (i) the Effective Time of the Acquisition, (ii) the date and time the Merger Agreement is validly terminated pursuant to its terms or modified or amended in a manner that adversely affects the Voting Agreement Holders in any material respect, and (iii) the termination of the Voting Agreement by mutual consent of the parties thereto.</w:t>
      </w:r>
    </w:p>
    <w:p>
      <w:pPr>
        <w:spacing w:after="0" w:line="176"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As of the date of execution of the Merger Agreement, the shares of Stronghold Common Stock owned by the Voting Agreement Holders represent approximately 16.4% of the outstanding shares of Stronghold Common Stock on a partially diluted basis.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 Waiver and Termination Agreement</w:t>
      </w:r>
    </w:p>
    <w:p>
      <w:pPr>
        <w:spacing w:after="0" w:line="227"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the Company, Stronghold, and each of Q Power and William Spence (together with Q Power, the “</w:t>
      </w:r>
      <w:r>
        <w:rPr>
          <w:rFonts w:ascii="Times New Roman" w:cs="Times New Roman" w:eastAsia="Times New Roman" w:hAnsi="Times New Roman"/>
          <w:sz w:val="18"/>
          <w:szCs w:val="18"/>
          <w:b w:val="1"/>
          <w:bCs w:val="1"/>
          <w:color w:val="auto"/>
        </w:rPr>
        <w:t>TRA Holders</w:t>
      </w:r>
      <w:r>
        <w:rPr>
          <w:rFonts w:ascii="Times New Roman" w:cs="Times New Roman" w:eastAsia="Times New Roman" w:hAnsi="Times New Roman"/>
          <w:sz w:val="18"/>
          <w:szCs w:val="18"/>
          <w:color w:val="auto"/>
        </w:rPr>
        <w:t>”), entered into a TRA Waiver and Termination Agreement (the “</w:t>
      </w:r>
      <w:r>
        <w:rPr>
          <w:rFonts w:ascii="Times New Roman" w:cs="Times New Roman" w:eastAsia="Times New Roman" w:hAnsi="Times New Roman"/>
          <w:sz w:val="18"/>
          <w:szCs w:val="18"/>
          <w:b w:val="1"/>
          <w:bCs w:val="1"/>
          <w:color w:val="auto"/>
        </w:rPr>
        <w:t>TRA Waiver</w:t>
      </w:r>
      <w:r>
        <w:rPr>
          <w:rFonts w:ascii="Times New Roman" w:cs="Times New Roman" w:eastAsia="Times New Roman" w:hAnsi="Times New Roman"/>
          <w:sz w:val="18"/>
          <w:szCs w:val="18"/>
          <w:color w:val="auto"/>
        </w:rPr>
        <w:t>”), pursuant to which the parties agreed, among other things, subject to and effective upon the consummation of the transactions contemplated by the Merger Agreement, to (i) terminate the Tax Receivable Agreement, dated April 1, 2021, as amended November 9, 2022, by and among Stronghold and the TRA Holders (the “</w:t>
      </w:r>
      <w:r>
        <w:rPr>
          <w:rFonts w:ascii="Times New Roman" w:cs="Times New Roman" w:eastAsia="Times New Roman" w:hAnsi="Times New Roman"/>
          <w:sz w:val="18"/>
          <w:szCs w:val="18"/>
          <w:b w:val="1"/>
          <w:bCs w:val="1"/>
          <w:color w:val="auto"/>
        </w:rPr>
        <w:t>Tax Receivable Agreement</w:t>
      </w:r>
      <w:r>
        <w:rPr>
          <w:rFonts w:ascii="Times New Roman" w:cs="Times New Roman" w:eastAsia="Times New Roman" w:hAnsi="Times New Roman"/>
          <w:sz w:val="18"/>
          <w:szCs w:val="18"/>
          <w:color w:val="auto"/>
        </w:rPr>
        <w:t>”) and (ii) waive the Early Termination Payment (as defined in the Tax Receivable Agreement) pursuant to the Tax Receivable Agreement, which would have otherwise become payable to the TRA Holders in connection with the consummation of the Acquisition, and any other amounts to which the TRA Holders would have otherwise been entitled under the Tax Receivable Agreement.</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6"/>
        </w:trPr>
        <w:tc>
          <w:tcPr>
            <w:tcW w:w="90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Other Terms</w:t>
            </w:r>
          </w:p>
        </w:tc>
      </w:tr>
      <w:tr>
        <w:trPr>
          <w:trHeight w:val="414"/>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Subject to the satisfaction of all conditions to closing set out in the Merger Agreement, it is anticipated that the Acquisition will be</w:t>
            </w:r>
          </w:p>
        </w:tc>
      </w:tr>
      <w:tr>
        <w:trPr>
          <w:trHeight w:val="234"/>
        </w:trPr>
        <w:tc>
          <w:tcPr>
            <w:tcW w:w="90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completed in the first calendar quarter of 2025.</w:t>
            </w:r>
          </w:p>
        </w:tc>
      </w:tr>
      <w:tr>
        <w:trPr>
          <w:trHeight w:val="414"/>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The foregoing description in this Material Change Report of the Merger Agreement, Voting Agreement, Conversion Agreement and TRA</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Waiver, and the transactions contemplated thereby, is only a summary and does not purport to be complete and is qualified in its entirety</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by reference to the full text of each such document. Copies of the Merger Agreement, Voting Agreement, and TRA Waiver shall be filed</w:t>
            </w:r>
          </w:p>
        </w:tc>
      </w:tr>
      <w:tr>
        <w:trPr>
          <w:trHeight w:val="234"/>
        </w:trPr>
        <w:tc>
          <w:tcPr>
            <w:tcW w:w="90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on SEDAR+ at www.sedarplus.ca and/or on the U.S. Securities and Exchange Commission’s EDGAR website at www.sec.gov/EDGAR.</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Reliance on subsection 7.1(2) of National Instrument 51-102</w:t>
            </w:r>
          </w:p>
        </w:tc>
      </w:tr>
      <w:tr>
        <w:trPr>
          <w:trHeight w:val="432"/>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Subsection 7.1(2) of National Instrument 51-102 has not been relied upon.</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Omitted Information</w:t>
            </w:r>
          </w:p>
        </w:tc>
      </w:tr>
      <w:tr>
        <w:trPr>
          <w:trHeight w:val="432"/>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information has been omitted on the basis that it is confidential information.</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Executive Officer</w:t>
            </w:r>
          </w:p>
        </w:tc>
      </w:tr>
      <w:tr>
        <w:trPr>
          <w:trHeight w:val="414"/>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Ben Gagnon</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900" w:type="dxa"/>
            <w:vAlign w:val="bottom"/>
          </w:tcPr>
          <w:p>
            <w:pPr>
              <w:spacing w:after="0"/>
              <w:rPr>
                <w:sz w:val="18"/>
                <w:szCs w:val="18"/>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Bitfarms Ltd.</w:t>
            </w:r>
          </w:p>
        </w:tc>
      </w:tr>
      <w:tr>
        <w:trPr>
          <w:trHeight w:val="234"/>
        </w:trPr>
        <w:tc>
          <w:tcPr>
            <w:tcW w:w="90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 (647) 259-1790</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Date of Report</w:t>
            </w:r>
          </w:p>
        </w:tc>
      </w:tr>
      <w:tr>
        <w:trPr>
          <w:trHeight w:val="432"/>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August 21, 2024</w:t>
            </w:r>
          </w:p>
        </w:tc>
      </w:tr>
      <w:tr>
        <w:trPr>
          <w:trHeight w:val="655"/>
        </w:trPr>
        <w:tc>
          <w:tcPr>
            <w:tcW w:w="90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ind w:left="468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90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w:t>
      </w:r>
      <w:r>
        <w:rPr>
          <w:rFonts w:ascii="Times New Roman" w:cs="Times New Roman" w:eastAsia="Times New Roman" w:hAnsi="Times New Roman"/>
          <w:sz w:val="18"/>
          <w:szCs w:val="18"/>
          <w:b w:val="1"/>
          <w:bCs w:val="1"/>
          <w:i w:val="1"/>
          <w:iCs w:val="1"/>
          <w:color w:val="auto"/>
        </w:rPr>
        <w:t>forward-looking information</w:t>
      </w:r>
      <w:r>
        <w:rPr>
          <w:rFonts w:ascii="Times New Roman" w:cs="Times New Roman" w:eastAsia="Times New Roman" w:hAnsi="Times New Roman"/>
          <w:sz w:val="18"/>
          <w:szCs w:val="18"/>
          <w:i w:val="1"/>
          <w:iCs w:val="1"/>
          <w:color w:val="auto"/>
        </w:rPr>
        <w:t>”) that are based on expectations, estimates and projections as at the date of this Material Change Report and are covered by safe harbors under Canadian and United States securities laws. The statements and information in this release regarding, the completion of the Acquisition or on the terms described herein, the number of Bitfarms Common Shares to be issued pursuant to the Acquisition, the proposed timing and various steps contemplated in respect of the Acquisition, the holding of the special meeting of Stronghold’s stockholders, and the anticipated completion date of the Acquisition,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possibility that the Acquisition will not be completed on the terms and conditions, or on the timing, currently contemplated, and that it may not be completed at all, due to a failure to obtain or satisfy, in a timely manner or otherwise, required stockholder, court and regulatory approvals and other conditions of closing necessary to complete the Acquisition or for other reasons; the possibility of adverse reactions or changes in business relationships resulting from the announcement or completion of the Acquisition; risks relating to Company’s ability to retain and attract key personnel during and following the interim period; the possibility of litigation relating to the Acquisition; the digital currency market; the ability to successfully mine digital currency; revenue may not increase as currently anticipated,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Bitfarms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i w:val="1"/>
          <w:iCs w:val="1"/>
          <w:color w:val="auto"/>
          <w:highlight w:val="white"/>
        </w:rPr>
        <w:t>www.sedarplus.ca</w:t>
      </w:r>
      <w:r>
        <w:rPr>
          <w:rFonts w:ascii="Times New Roman" w:cs="Times New Roman" w:eastAsia="Times New Roman" w:hAnsi="Times New Roman"/>
          <w:sz w:val="18"/>
          <w:szCs w:val="18"/>
          <w:i w:val="1"/>
          <w:iCs w:val="1"/>
          <w:color w:val="auto"/>
        </w:rPr>
        <w:t xml:space="preserve"> (which are also available on the website of the U.S. Securities and Exchange Commission at </w:t>
      </w:r>
      <w:r>
        <w:rPr>
          <w:rFonts w:ascii="Times New Roman" w:cs="Times New Roman" w:eastAsia="Times New Roman" w:hAnsi="Times New Roman"/>
          <w:sz w:val="18"/>
          <w:szCs w:val="18"/>
          <w:i w:val="1"/>
          <w:iCs w:val="1"/>
          <w:color w:val="auto"/>
          <w:highlight w:val="white"/>
        </w:rPr>
        <w:t>www.sec.gov</w:t>
      </w:r>
      <w:r>
        <w:rPr>
          <w:rFonts w:ascii="Times New Roman" w:cs="Times New Roman" w:eastAsia="Times New Roman" w:hAnsi="Times New Roman"/>
          <w:sz w:val="18"/>
          <w:szCs w:val="18"/>
          <w:i w:val="1"/>
          <w:iCs w:val="1"/>
          <w:color w:val="auto"/>
        </w:rPr>
        <w:t>), including the MD&amp;A for the year-ended December 31, 2023, filed on March 7, 2024</w:t>
      </w:r>
      <w:r>
        <w:rPr>
          <w:rFonts w:ascii="Times New Roman" w:cs="Times New Roman" w:eastAsia="Times New Roman" w:hAnsi="Times New Roman"/>
          <w:sz w:val="18"/>
          <w:szCs w:val="18"/>
          <w:i w:val="1"/>
          <w:iCs w:val="1"/>
          <w:color w:val="auto"/>
          <w:highlight w:val="white"/>
        </w:rPr>
        <w:t xml:space="preserve"> and the MD&amp;A for the three and six month periods ended June 30, 2024 filed on August 8, 2024. </w:t>
      </w:r>
      <w:r>
        <w:rPr>
          <w:rFonts w:ascii="Times New Roman" w:cs="Times New Roman" w:eastAsia="Times New Roman" w:hAnsi="Times New Roman"/>
          <w:sz w:val="18"/>
          <w:szCs w:val="18"/>
          <w:i w:val="1"/>
          <w:iCs w:val="1"/>
          <w:color w:val="auto"/>
        </w:rPr>
        <w:t>Although the Company has attempted to identify important factors that could cause actual results to differ</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181610</wp:posOffset>
            </wp:positionV>
            <wp:extent cx="2031365" cy="53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to Acquire Stronghold Digital Mining</w:t>
      </w:r>
    </w:p>
    <w:p>
      <w:pPr>
        <w:spacing w:after="0" w:line="229" w:lineRule="exact"/>
        <w:rPr>
          <w:sz w:val="20"/>
          <w:szCs w:val="20"/>
          <w:color w:val="auto"/>
        </w:rPr>
      </w:pPr>
    </w:p>
    <w:p>
      <w:pPr>
        <w:ind w:left="2080" w:hanging="97"/>
        <w:spacing w:after="0"/>
        <w:tabs>
          <w:tab w:leader="none" w:pos="208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and Rebalances Bitfarms Energy Portfolio to Approximately 50% in the U.S. by YE 2025,</w:t>
      </w:r>
    </w:p>
    <w:p>
      <w:pPr>
        <w:spacing w:after="0" w:line="27" w:lineRule="exact"/>
        <w:rPr>
          <w:rFonts w:ascii="Times New Roman" w:cs="Times New Roman" w:eastAsia="Times New Roman" w:hAnsi="Times New Roman"/>
          <w:sz w:val="18"/>
          <w:szCs w:val="18"/>
          <w:color w:val="auto"/>
        </w:rPr>
      </w:pPr>
    </w:p>
    <w:p>
      <w:pPr>
        <w:ind w:left="4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Strategic Plan -</w:t>
      </w:r>
    </w:p>
    <w:p>
      <w:pPr>
        <w:spacing w:after="0" w:line="9" w:lineRule="exact"/>
        <w:rPr>
          <w:rFonts w:ascii="Times New Roman" w:cs="Times New Roman" w:eastAsia="Times New Roman" w:hAnsi="Times New Roman"/>
          <w:sz w:val="18"/>
          <w:szCs w:val="18"/>
          <w:color w:val="auto"/>
        </w:rPr>
      </w:pPr>
    </w:p>
    <w:p>
      <w:pPr>
        <w:ind w:left="3620" w:hanging="110"/>
        <w:spacing w:after="0"/>
        <w:tabs>
          <w:tab w:leader="none" w:pos="3620" w:val="left"/>
        </w:tabs>
        <w:numPr>
          <w:ilvl w:val="4"/>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Clear Path to 950 MW Active Power Capacity -</w:t>
      </w:r>
    </w:p>
    <w:p>
      <w:pPr>
        <w:spacing w:after="0" w:line="9" w:lineRule="exact"/>
        <w:rPr>
          <w:rFonts w:ascii="Times New Roman" w:cs="Times New Roman" w:eastAsia="Times New Roman" w:hAnsi="Times New Roman"/>
          <w:sz w:val="18"/>
          <w:szCs w:val="18"/>
          <w:color w:val="auto"/>
        </w:rPr>
      </w:pPr>
    </w:p>
    <w:p>
      <w:pPr>
        <w:ind w:left="1660" w:hanging="111"/>
        <w:spacing w:after="0"/>
        <w:tabs>
          <w:tab w:leader="none" w:pos="1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4.0 EH/s to Bitfarms’ Hashrate with Expansion Capacity of Potentially Over 10 EH/s with Fleet Refresh -</w:t>
      </w:r>
    </w:p>
    <w:p>
      <w:pPr>
        <w:spacing w:after="0" w:line="9" w:lineRule="exact"/>
        <w:rPr>
          <w:rFonts w:ascii="Times New Roman" w:cs="Times New Roman" w:eastAsia="Times New Roman" w:hAnsi="Times New Roman"/>
          <w:sz w:val="18"/>
          <w:szCs w:val="18"/>
          <w:color w:val="auto"/>
        </w:rPr>
      </w:pPr>
    </w:p>
    <w:p>
      <w:pPr>
        <w:ind w:left="2040" w:hanging="108"/>
        <w:spacing w:after="0"/>
        <w:tabs>
          <w:tab w:leader="none" w:pos="20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Vertically Integrates into Power Generation with 165 MW of Nameplate Generated Power Capacity -</w:t>
      </w:r>
    </w:p>
    <w:p>
      <w:pPr>
        <w:spacing w:after="0" w:line="9" w:lineRule="exact"/>
        <w:rPr>
          <w:rFonts w:ascii="Times New Roman" w:cs="Times New Roman" w:eastAsia="Times New Roman" w:hAnsi="Times New Roman"/>
          <w:sz w:val="18"/>
          <w:szCs w:val="18"/>
          <w:color w:val="auto"/>
        </w:rPr>
      </w:pPr>
    </w:p>
    <w:p>
      <w:pPr>
        <w:ind w:left="2320" w:hanging="101"/>
        <w:spacing w:after="0"/>
        <w:tabs>
          <w:tab w:leader="none" w:pos="2320" w:val="left"/>
        </w:tabs>
        <w:numPr>
          <w:ilvl w:val="3"/>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142 MW of PJM Import Capacity with Long Term Expansion Potential up to 790 MW-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at 8:30 AM ET to Discuss Transaction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Bitfarms’ prospectus supplement dated March 8, 2024, to its short form base shelf prospectus dated November 10, 2023.</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TORONTO, Ontario and BROSSARD, Québec, and NEW YORK, New York </w:t>
      </w:r>
      <w:r>
        <w:rPr>
          <w:rFonts w:ascii="Times New Roman" w:cs="Times New Roman" w:eastAsia="Times New Roman" w:hAnsi="Times New Roman"/>
          <w:sz w:val="17"/>
          <w:szCs w:val="17"/>
          <w:color w:val="auto"/>
        </w:rPr>
        <w:t>-- August 21, 2024 -- Bitfarms Ltd. (Nasdaq/TSX: BITF) (“Bitfarms”),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global vertically integrated Bitcoin data center company, and Stronghold Digital Mining, Inc. (Nasdaq: SDIG) (“Stronghold”) have entered into a definitive merger agreement (the “Merger Agreement”) under which Bitfarms will acquire Stronghold in a stock-for-stock merger transaction (the “Transaction”). The Transaction is valued at approximately US$125 million equity value plus the assumption of debt valued at approximately US$50 million.</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Stronghold is a vertically integrated crypto asset mining company focused on mining Bitcoin and environmental remediation and reclamation services. As of June 30, 2024, Stronghold has a hashrate of 4.0 EH/s and 165 MW of current nameplate generated power capacity, with the potential to bring its hashrate to approximately 10 EH/s in 2025 with fleet upgrades. In addition, Stronghold has 142 MW of current Pennsylvania-New Jersey-Maryland Interconnection (PJM) import capacity and provides a path to import as much as 790 MW of incremental potential power beyond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Stronghold owns over 750 acres of land with options on over 1,100 additional acres along with two merchant power plants: the Scrubgrass and Panther Creek Facilities in Pennsylvania. These two power plants are recognized by Pennsylvania as a Tier 2 Alternative Energy Source (the same category as large-scale hydro) for their proven and significant environmental benefits. Stronghold’s footprint also has access to the strategically valuable PJM grid, the largest wholesale electricity market in the U.S., and, subject to regulatory approvals, the ability to import 142 MW of power from this source. This strategic location within the PJM region creates significant opportunity for the combined company to both generate and utilize competitively priced and flexible grid power that can be used for Bitcoin mining, energy trading and HPC/AI. Together, in coordination with the Pennsylvania Department of Environmental Protection, these facilities remove hundreds of thousands of tons of mining waste and convert it into power through a highly specialized process.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could add up to 307 MW of power capacity and is expected to put Bitfarms on track to increase its energy portfolio to over 950 MW by year-end 2025. There are multiple studies underway to potentially increase the total import capacity with an additional 648 MW beyond 2025 as well as numerous opportunities to leverage Bitfarms’ proven expertise to successfully enhance energy efficiency and hashrate and merge HPC/AI with Bitcoin mining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Ben Gagnon, Chief Executive Officer of Bitfarms, said, “After three years of ongoing discussions, I am proud to announce this transformative acquisition, which is a decisive step in securing a strong future for Bitfarms. With this transaction, we expect to expand and rebalance our energy portfolio to 950 MW with nearly 50% in the U.S. by the end of 2025 and have visibility on multi-year expansion capacity up to 1.6 GW with approximately 66% in the U.S., up from approximately 6% today. By vertically integrating with power generation, expanding our energy trading capabilities and securing two high potential sites for HPC/AI with significant multi-year expansion potential, we are executing our strategy to diversify beyond Bitcoin mining to create greater long-term shareholder value.”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“Having mined over 25,000 Bitcoin with renewable energy to date, Bitfarms is also extending its environmental leadership with the acquisition of these reclamation facilities. Stronghold has reclaimed thousands of acres of toxic waste, reducing the environmental footprint of historical mining activities and eliminating acid mine drainage that has been contaminating U.S. waterways since the 1800’s. Additionally, Stronghold’s Carbon Capture Projects have the potential to capture over 60,000 tons of carbon dioxide annually, providing Bitfarms additional revenue and making it one of the largest potential carbon capture projects globally,” said Arnold Lee, Director of Sustainability at Bitfarms.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Gregory Beard, Chief Executive Officer, President and Chairman of Stronghold, said, “We have been in conversation with Bitfarms for a long time. Having received and reviewed numerous bids in our Strategic Alternatives Review process, we believe that we found the ideal partner. Bitfarms has the vision and financial fortitude to unlock the value of Stronghold’s assets, and, given the accretion and future growth of the combined business, we are pleased that our shareholders will have the opportunity to participate in the significant upside potential. We look forward to leveraging Bitfarms’ operational expertise and proprietary data analytics system to further optimize our sites and return once-blighted land to local communities. I am confident that this combination is a unique opportunity to maximize value for the shareholders of both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has been unanimously approved by the Boards of Directors of both companies and is expected to close in the first quarter of 2025, subject to the receipt of Stronghold shareholder approval, applicable regulatory approvals, certain third-party consents and other customary closing conditions. Upon closing, Mr. Beard will contribute to the combined company in an advisory capacity.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Stronghold shareholders will receive 2.52 shares of Bitfarms for each share of Stronghold they own, representing consideration per share of U.S. $6.02 and a 71% premium to the Stronghold 90-day volume-weighted average price on Nasdaq as of August 16, 2024. At close, Stronghold shareholders are expected to own just under 10% of the combined company, based on the current issued and outstanding shares of each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delivers compelling transaction economics while achieving an estimated $10 million in annual run-rate cost synergies.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Investor 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and Stronghold will conduct a conference call with investors to discuss the Transaction today, August 21, 2024, at 8:30am ET. An accompanying presentation will be accessible before the call on the Investor website and can be accessed here.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may join by calling: 888-506-0062 (domestic), or 973-528-0011 (international), and should do so 10 minutes prior to the start time. Participants will be greeted by an operator and asked for the access code, which is 570343. If you do not have the code, then you may reference the Bitfarms and Stronghold acquisition conference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through a live webcast found here.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webcast replay will be available and can be accessed in the Events section of our Investor website. An audio replay will be available through September 4, 2024, and can be accessed at 877-481-4010 (domestic), or 919-882-2331 (international), using access code 51102.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Moelis &amp; Company LLC is serving as a financial advisor to the Special Committee of the Board of Directors of Bitfarms, and Skadden, Arp, Slate, Meagher &amp; Flom LLP, McMillan LLP, Peterson McVicar LLP, Fasken Martineau DuMoulin LLP and Firm 21m PLLC are serving as legal counsel. Houlihan Lokey Capital, Inc. delivered an opinion to the Special Committee of the Board of Directors of Bitfarms to the effect that, as of August 20, 2024, subject to the assumptions, limitations and qualifications contained therein, the exchange ratio provided for in the acquisition pursuant to the Merger Agreement is fair to Bitfarms from a financial point of view. Cohen &amp; Company Capital Markets, a division of J.V.B. Financial Group, LLC provided a fairness opinion and is serving as exclusive financial advisor to Stronghold and Vinson &amp; Elkins LLP is serving as lead legal counsel along with Blake, Cassels &amp; Graydon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Bitfarms’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About Stronghold Digital Mining,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Stronghold is a vertically integrated Bitcoin mining company with an emphasis on environmentally beneficial operations. Stronghold houses its miners at its wholly owned and operated Scrubgrass Plant and Panther Creek Plant, both of which are low-cost, environmentally beneficial coal refuse power generation facilities in Pennsylvania.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 = High-performance computing</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or GWh = Gigawatts or gigawatt hour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receipt of the approval of the shareholders of Stronghold for the Transaction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each of Bitfarms, Stronghold and the combined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parties for a number of reasons including, without limitation, as a result of a failure to satisfy the conditions to closing of the Transaction; the inability of Bitfarms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each of Bitfarms’, Stronghold’s or the combined company’s ability to utilize an at-the-market offering program (each, an “ATM Program”) and the prices at which securities may be sold in each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any of Bitfarms, Stronghold or the combined company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Stronghold’s filings on www.sec.gov, including the Annual Report on Form 10-K for the fiscal year ended 2023, filed on March 8, 2024, the Quarterly Report on Form 10-Q for the fiscal quarter ended March 31, 2024, filed on May 8, 2024, the Quarterly Report on Form 10-Q for the fiscal quarter ended June 30, 2024, filed on August 14, 2024, and subsequent reports on Forms 10-Q and 8-K. Although each of Bitfarms and Stronghold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Accordingly, readers should not place undue reliance on any forward-looking information. Neither Bitfarms nor Stronghold undertakes any obligation to revise or update any forward-looking information other than as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Stronghold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Glover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SDIG@gateway-grp.com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1-949-574-3860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contact@strongholddigitalmining.com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jpe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2024-08-22T05:39:28Z</dcterms:created>
  <dcterms:modified xsi:type="dcterms:W3CDTF">2024-08-22T05:39:28Z</dcterms:modified>
</cp:coreProperties>
</file>