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For the month of April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BITFARMS LTD.</w:t>
      </w:r>
    </w:p>
    <w:p>
      <w:pPr>
        <w:spacing w:after="0" w:line="45"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18 King Street East, Suite 902, Toronto, Ontario, Canada M5C 1C4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320"/>
        <w:spacing w:after="0" w:line="207" w:lineRule="exact"/>
        <w:tabs>
          <w:tab w:leader="none" w:pos="58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327025</wp:posOffset>
            </wp:positionV>
            <wp:extent cx="713232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490220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08"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00" w:lineRule="exact"/>
        <w:rPr>
          <w:sz w:val="20"/>
          <w:szCs w:val="20"/>
          <w:color w:val="auto"/>
        </w:rPr>
      </w:pPr>
    </w:p>
    <w:p>
      <w:pPr>
        <w:spacing w:after="0" w:line="24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April 1, 2022, the Registrant filed with the Canadian Securities Regulatory Authorities on the System for Electronic Data Analysis and Retrieval (SEDAR) a material change report that includes a copy of a press release, a copy of which is attached hereto as Exhibit 99.1, and which is incorporated by reference to the Company’s Registration Statement on Form F-10 (File No. 333-258788).</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3180" w:type="dxa"/>
            <w:vAlign w:val="bottom"/>
          </w:tcPr>
          <w:p>
            <w:pPr>
              <w:spacing w:after="0"/>
              <w:rPr>
                <w:sz w:val="20"/>
                <w:szCs w:val="20"/>
                <w:color w:val="auto"/>
              </w:rPr>
            </w:pPr>
          </w:p>
        </w:tc>
        <w:tc>
          <w:tcPr>
            <w:tcW w:w="6700" w:type="dxa"/>
            <w:vAlign w:val="bottom"/>
          </w:tcPr>
          <w:p>
            <w:pPr>
              <w:spacing w:after="0"/>
              <w:rPr>
                <w:sz w:val="20"/>
                <w:szCs w:val="20"/>
                <w:color w:val="auto"/>
              </w:rPr>
            </w:pPr>
          </w:p>
        </w:tc>
      </w:tr>
      <w:tr>
        <w:trPr>
          <w:trHeight w:val="43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Exhibit No.</w:t>
            </w: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16"/>
        </w:trPr>
        <w:tc>
          <w:tcPr>
            <w:tcW w:w="13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6700" w:type="dxa"/>
            <w:vAlign w:val="bottom"/>
          </w:tcPr>
          <w:p>
            <w:pPr>
              <w:spacing w:after="0"/>
              <w:rPr>
                <w:sz w:val="18"/>
                <w:szCs w:val="18"/>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988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Material Change Report dated April 1, 2022</w:t>
              </w:r>
            </w:hyperlink>
          </w:p>
        </w:tc>
      </w:tr>
      <w:tr>
        <w:trPr>
          <w:trHeight w:val="763"/>
        </w:trPr>
        <w:tc>
          <w:tcPr>
            <w:tcW w:w="1360" w:type="dxa"/>
            <w:vAlign w:val="bottom"/>
            <w:tcBorders>
              <w:top w:val="single" w:sz="8" w:color="CCEEFF"/>
              <w:bottom w:val="single" w:sz="8" w:color="auto"/>
            </w:tcBorders>
          </w:tcPr>
          <w:p>
            <w:pPr>
              <w:spacing w:after="0"/>
              <w:rPr>
                <w:sz w:val="24"/>
                <w:szCs w:val="24"/>
                <w:color w:val="auto"/>
              </w:rPr>
            </w:pPr>
          </w:p>
        </w:tc>
        <w:tc>
          <w:tcPr>
            <w:tcW w:w="3180" w:type="dxa"/>
            <w:vAlign w:val="bottom"/>
            <w:tcBorders>
              <w:top w:val="single" w:sz="8" w:color="0000EE"/>
              <w:bottom w:val="single" w:sz="8" w:color="auto"/>
            </w:tcBorders>
          </w:tcPr>
          <w:p>
            <w:pPr>
              <w:spacing w:after="0"/>
              <w:rPr>
                <w:sz w:val="24"/>
                <w:szCs w:val="24"/>
                <w:color w:val="auto"/>
              </w:rPr>
            </w:pPr>
          </w:p>
        </w:tc>
        <w:tc>
          <w:tcPr>
            <w:tcW w:w="67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ind w:right="-659"/>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L. Geoffrey Morphy</w:t>
      </w:r>
    </w:p>
    <w:p>
      <w:pPr>
        <w:spacing w:after="0" w:line="23" w:lineRule="exact"/>
        <w:rPr>
          <w:sz w:val="20"/>
          <w:szCs w:val="20"/>
          <w:color w:val="auto"/>
        </w:rPr>
      </w:pPr>
    </w:p>
    <w:p>
      <w:pPr>
        <w:ind w:left="6080"/>
        <w:spacing w:after="0"/>
        <w:tabs>
          <w:tab w:leader="none" w:pos="666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320" w:top="796" w:right="9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 REPORT</w:t>
      </w:r>
    </w:p>
    <w:p>
      <w:pPr>
        <w:spacing w:after="0" w:line="20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King Street East, Suite 902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1C4</w:t>
      </w:r>
    </w:p>
    <w:p>
      <w:pPr>
        <w:sectPr>
          <w:pgSz w:w="11900" w:h="16838" w:orient="portrait"/>
          <w:cols w:equalWidth="0" w:num="1">
            <w:col w:w="11240"/>
          </w:cols>
          <w:pgMar w:left="320" w:top="108" w:right="339" w:bottom="1440" w:gutter="0" w:footer="0" w:header="0"/>
        </w:sect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Date of Material Change</w:t>
      </w:r>
    </w:p>
    <w:p>
      <w:pPr>
        <w:spacing w:after="0" w:line="211" w:lineRule="exact"/>
        <w:rPr>
          <w:sz w:val="20"/>
          <w:szCs w:val="20"/>
          <w:color w:val="auto"/>
        </w:rPr>
      </w:pPr>
    </w:p>
    <w:p>
      <w:pPr>
        <w:sectPr>
          <w:pgSz w:w="11900" w:h="16838" w:orient="portrait"/>
          <w:cols w:equalWidth="0" w:num="2">
            <w:col w:w="580" w:space="720"/>
            <w:col w:w="9940"/>
          </w:cols>
          <w:pgMar w:left="320" w:top="108"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 2022.</w:t>
      </w:r>
    </w:p>
    <w:p>
      <w:pPr>
        <w:sectPr>
          <w:pgSz w:w="11900" w:h="16838" w:orient="portrait"/>
          <w:cols w:equalWidth="0" w:num="1">
            <w:col w:w="11240"/>
          </w:cols>
          <w:pgMar w:left="320" w:top="108" w:right="3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News Release</w:t>
      </w:r>
    </w:p>
    <w:p>
      <w:pPr>
        <w:spacing w:after="0" w:line="200" w:lineRule="exact"/>
        <w:rPr>
          <w:sz w:val="20"/>
          <w:szCs w:val="20"/>
          <w:color w:val="auto"/>
        </w:rPr>
      </w:pPr>
    </w:p>
    <w:p>
      <w:pPr>
        <w:sectPr>
          <w:pgSz w:w="11900" w:h="16838" w:orient="portrait"/>
          <w:cols w:equalWidth="0" w:num="2">
            <w:col w:w="580" w:space="720"/>
            <w:col w:w="9940"/>
          </w:cols>
          <w:pgMar w:left="320" w:top="108"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attached as Schedule “A” was released on April 1, 2022 by a newswire company in Canada.</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ectPr>
          <w:pgSz w:w="11900" w:h="16838" w:orient="portrait"/>
          <w:cols w:equalWidth="0" w:num="1">
            <w:col w:w="11240"/>
          </w:cols>
          <w:pgMar w:left="320" w:top="108" w:right="3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Reliance of subsection 7.1(2) of National Instrument 51-102</w:t>
      </w:r>
    </w:p>
    <w:p>
      <w:pPr>
        <w:spacing w:after="0" w:line="200" w:lineRule="exact"/>
        <w:rPr>
          <w:sz w:val="20"/>
          <w:szCs w:val="20"/>
          <w:color w:val="auto"/>
        </w:rPr>
      </w:pPr>
    </w:p>
    <w:p>
      <w:pPr>
        <w:sectPr>
          <w:pgSz w:w="11900" w:h="16838" w:orient="portrait"/>
          <w:cols w:equalWidth="0" w:num="2">
            <w:col w:w="580" w:space="720"/>
            <w:col w:w="9940"/>
          </w:cols>
          <w:pgMar w:left="320" w:top="108"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240"/>
          </w:cols>
          <w:pgMar w:left="320" w:top="108" w:right="33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Omitted Information</w:t>
      </w:r>
    </w:p>
    <w:p>
      <w:pPr>
        <w:spacing w:after="0" w:line="211" w:lineRule="exact"/>
        <w:rPr>
          <w:sz w:val="20"/>
          <w:szCs w:val="20"/>
          <w:color w:val="auto"/>
        </w:rPr>
      </w:pPr>
    </w:p>
    <w:p>
      <w:pPr>
        <w:sectPr>
          <w:pgSz w:w="11900" w:h="16838" w:orient="portrait"/>
          <w:cols w:equalWidth="0" w:num="2">
            <w:col w:w="580" w:space="720"/>
            <w:col w:w="9940"/>
          </w:cols>
          <w:pgMar w:left="320" w:top="108"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240"/>
          </w:cols>
          <w:pgMar w:left="320" w:top="108" w:right="33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Officer</w:t>
      </w:r>
    </w:p>
    <w:p>
      <w:pPr>
        <w:spacing w:after="0" w:line="211" w:lineRule="exact"/>
        <w:rPr>
          <w:sz w:val="20"/>
          <w:szCs w:val="20"/>
          <w:color w:val="auto"/>
        </w:rPr>
      </w:pPr>
    </w:p>
    <w:p>
      <w:pPr>
        <w:sectPr>
          <w:pgSz w:w="11900" w:h="16838" w:orient="portrait"/>
          <w:cols w:equalWidth="0" w:num="2">
            <w:col w:w="580" w:space="720"/>
            <w:col w:w="9940"/>
          </w:cols>
          <w:pgMar w:left="320" w:top="108"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Nicolas Bonta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Chairman &amp;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nbonta@bitfarms.com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Date of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154305</wp:posOffset>
            </wp:positionV>
            <wp:extent cx="2031365" cy="531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Provides March 2022 Production and Mining Operations Update</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Increases Hashrate 400 Petahash to 2.7 EH/s -</w:t>
      </w:r>
    </w:p>
    <w:p>
      <w:pPr>
        <w:spacing w:after="0" w:line="225" w:lineRule="exact"/>
        <w:rPr>
          <w:sz w:val="20"/>
          <w:szCs w:val="20"/>
          <w:color w:val="auto"/>
        </w:rPr>
      </w:pPr>
    </w:p>
    <w:p>
      <w:pPr>
        <w:jc w:val="center"/>
        <w:ind w:left="4800" w:right="2780" w:hanging="2019"/>
        <w:spacing w:after="0" w:line="313" w:lineRule="auto"/>
        <w:tabs>
          <w:tab w:leader="none" w:pos="288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Secures Additional US$40 Million Draw from BTC-backed Credit Facility &amp; Grants Stock Options -</w:t>
      </w:r>
    </w:p>
    <w:p>
      <w:pPr>
        <w:spacing w:after="0" w:line="13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545454"/>
        </w:rPr>
        <w:t>This news release constitutes a “designated news release” for the purposes of the Company’s prospectus supplement dated August 16, 2021 to its short form base shelf prospectus dated August 12, 2021.</w:t>
      </w:r>
    </w:p>
    <w:p>
      <w:pPr>
        <w:spacing w:after="0" w:line="3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(April 1, 2022) </w:t>
      </w:r>
      <w:r>
        <w:rPr>
          <w:rFonts w:ascii="Times New Roman" w:cs="Times New Roman" w:eastAsia="Times New Roman" w:hAnsi="Times New Roman"/>
          <w:sz w:val="18"/>
          <w:szCs w:val="18"/>
          <w:color w:val="auto"/>
        </w:rPr>
        <w:t>- Bitfarms Ltd. (</w:t>
      </w:r>
      <w:r>
        <w:rPr>
          <w:rFonts w:ascii="Times New Roman" w:cs="Times New Roman" w:eastAsia="Times New Roman" w:hAnsi="Times New Roman"/>
          <w:sz w:val="18"/>
          <w:szCs w:val="18"/>
          <w:u w:val="single" w:color="auto"/>
          <w:color w:val="auto"/>
        </w:rPr>
        <w:t>NASDAQ: BITF// TSXV: BITF</w:t>
      </w:r>
      <w:r>
        <w:rPr>
          <w:rFonts w:ascii="Times New Roman" w:cs="Times New Roman" w:eastAsia="Times New Roman" w:hAnsi="Times New Roman"/>
          <w:sz w:val="18"/>
          <w:szCs w:val="18"/>
          <w:color w:val="auto"/>
        </w:rPr>
        <w:t>), a global Bitcoin self-mining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a Bitcoin (BTC) production and mining operations update for March 2022.</w:t>
      </w:r>
    </w:p>
    <w:p>
      <w:pPr>
        <w:spacing w:after="0" w:line="159" w:lineRule="exact"/>
        <w:rPr>
          <w:sz w:val="20"/>
          <w:szCs w:val="20"/>
          <w:color w:val="auto"/>
        </w:rPr>
      </w:pPr>
    </w:p>
    <w:p>
      <w:pPr>
        <w:jc w:val="both"/>
        <w:ind w:hanging="8"/>
        <w:spacing w:after="0" w:line="261" w:lineRule="auto"/>
        <w:rPr>
          <w:sz w:val="20"/>
          <w:szCs w:val="20"/>
          <w:color w:val="auto"/>
        </w:rPr>
      </w:pPr>
      <w:r>
        <w:rPr>
          <w:rFonts w:ascii="Times New Roman" w:cs="Times New Roman" w:eastAsia="Times New Roman" w:hAnsi="Times New Roman"/>
          <w:sz w:val="18"/>
          <w:szCs w:val="18"/>
          <w:color w:val="auto"/>
        </w:rPr>
        <w:t>“Adding 400 petahash per second to our hashrate in March, we are rapidly approaching our goal of 3 exahash per second (EH/s), which we expect to reach within the next week,” said Emiliano Grodzki, CEO of Bitfarms. “Driving the increase in our hashrate was the addition of one of our new Sherbrooke locations, phase one of The Bunker, which was brought online in March. Another new Sherbrooke location, Leger, is on the verge of starting production that will immediately boost our hashrate over our 3 EH/s goal.”</w:t>
      </w:r>
    </w:p>
    <w:p>
      <w:pPr>
        <w:spacing w:after="0" w:line="166" w:lineRule="exact"/>
        <w:rPr>
          <w:sz w:val="20"/>
          <w:szCs w:val="20"/>
          <w:color w:val="auto"/>
        </w:rPr>
      </w:pPr>
    </w:p>
    <w:p>
      <w:pPr>
        <w:jc w:val="both"/>
        <w:ind w:hanging="8"/>
        <w:spacing w:after="0" w:line="282" w:lineRule="auto"/>
        <w:rPr>
          <w:sz w:val="20"/>
          <w:szCs w:val="20"/>
          <w:color w:val="auto"/>
        </w:rPr>
      </w:pPr>
      <w:r>
        <w:rPr>
          <w:rFonts w:ascii="Times New Roman" w:cs="Times New Roman" w:eastAsia="Times New Roman" w:hAnsi="Times New Roman"/>
          <w:sz w:val="18"/>
          <w:szCs w:val="18"/>
          <w:color w:val="auto"/>
        </w:rPr>
        <w:t>“Daily BTC production has increased as a result and as of today averages 12.5 (BTC) per day,” added Grodzki. “This is up 18% from our February average and equates to about US$575,000 in daily revenue at the current BTC price of US$46,000.”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Mining Production</w:t>
      </w:r>
    </w:p>
    <w:p>
      <w:pPr>
        <w:spacing w:after="0" w:line="229" w:lineRule="exact"/>
        <w:rPr>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 EH/s online, up from 2.3 EH/s as of February 28, 2022.</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363 new BTC mined during March 2022, up 64% from March 2021.</w:t>
      </w:r>
    </w:p>
    <w:p>
      <w:pPr>
        <w:spacing w:after="0" w:line="22" w:lineRule="exact"/>
        <w:rPr>
          <w:rFonts w:ascii="Times New Roman" w:cs="Times New Roman" w:eastAsia="Times New Roman" w:hAnsi="Times New Roman"/>
          <w:sz w:val="18"/>
          <w:szCs w:val="18"/>
          <w:color w:val="auto"/>
        </w:rPr>
      </w:pPr>
    </w:p>
    <w:p>
      <w:pPr>
        <w:ind w:left="1300" w:hanging="644"/>
        <w:spacing w:after="0" w:line="258"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11.7 BTC mined daily on average in March, equivalent to about US$538,000 per day and approximately US$16.7 million for the month based on a BTC price of US$46,000 on March 31, 2022.</w:t>
      </w: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360 BTC from mining deposited into custody in March.</w:t>
      </w:r>
    </w:p>
    <w:p>
      <w:pPr>
        <w:spacing w:after="0" w:line="58"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5,243 BTC in custody at March 31, 2022, representing a total value of approximately US$244 million based on a BTC price of US$46,000.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Mining Operations</w:t>
      </w:r>
    </w:p>
    <w:p>
      <w:pPr>
        <w:spacing w:after="0" w:line="243"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Nearly 11,000 new Bitcoin miners capable of over 1 EH/s have been received or are in transit.</w:t>
      </w:r>
    </w:p>
    <w:p>
      <w:pPr>
        <w:spacing w:after="0" w:line="27" w:lineRule="exact"/>
        <w:rPr>
          <w:rFonts w:ascii="Times New Roman" w:cs="Times New Roman" w:eastAsia="Times New Roman" w:hAnsi="Times New Roman"/>
          <w:sz w:val="18"/>
          <w:szCs w:val="18"/>
          <w:color w:val="auto"/>
        </w:rPr>
      </w:pPr>
    </w:p>
    <w:p>
      <w:pPr>
        <w:ind w:left="1300" w:hanging="644"/>
        <w:spacing w:after="0" w:line="258"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Commenced production at The Bunker in the City of Sherbrooke, Québec, adding capacity of 12 MW with the installation of over 3,000 new miners, adding over 300 PH/s to Bitfarms’ online hashrate.</w:t>
      </w:r>
    </w:p>
    <w:p>
      <w:pPr>
        <w:ind w:left="1300" w:hanging="644"/>
        <w:spacing w:after="0" w:line="250"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an additional location, known as Garlock, in the City of Sherbrooke, to develop an 18 MW facility intended to replace the existing de la Pointe facility scheduled to be retired in February 2023.</w:t>
      </w:r>
    </w:p>
    <w:p>
      <w:pPr>
        <w:ind w:left="1300" w:hanging="644"/>
        <w:spacing w:after="0" w:line="250"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Neared completion of the first 16 MW of capacity at the Leger site in Sherbrooke, which is scheduled to be online within a week. When operational, Leger will immediately utilize over 4,000 new miners and add more than 400 PH/s to Bitfarms’ online hashrate.</w:t>
      </w: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Installed 1,400 used Bitcoin miners at the Company’s Paraguay farm, bringing hashrate at this farm to 105 PH/s as of today.</w:t>
      </w:r>
    </w:p>
    <w:p>
      <w:pPr>
        <w:spacing w:after="0" w:line="203" w:lineRule="exact"/>
        <w:rPr>
          <w:sz w:val="20"/>
          <w:szCs w:val="20"/>
          <w:color w:val="auto"/>
        </w:rPr>
      </w:pPr>
    </w:p>
    <w:tbl>
      <w:tblPr>
        <w:tblLayout w:type="fixed"/>
        <w:tblInd w:w="226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520" w:type="dxa"/>
            <w:vAlign w:val="bottom"/>
            <w:gridSpan w:val="2"/>
          </w:tcPr>
          <w:p>
            <w:pPr>
              <w:jc w:val="right"/>
              <w:ind w:right="1710"/>
              <w:spacing w:after="0"/>
              <w:rPr>
                <w:sz w:val="20"/>
                <w:szCs w:val="20"/>
                <w:color w:val="auto"/>
              </w:rPr>
            </w:pPr>
            <w:r>
              <w:rPr>
                <w:rFonts w:ascii="Times New Roman" w:cs="Times New Roman" w:eastAsia="Times New Roman" w:hAnsi="Times New Roman"/>
                <w:sz w:val="18"/>
                <w:szCs w:val="18"/>
                <w:b w:val="1"/>
                <w:bCs w:val="1"/>
                <w:color w:val="auto"/>
              </w:rPr>
              <w:t>Bitfarms’ BTC 2022 Monthly Production</w:t>
            </w:r>
          </w:p>
        </w:tc>
      </w:tr>
      <w:tr>
        <w:trPr>
          <w:trHeight w:val="392"/>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Month</w:t>
            </w:r>
          </w:p>
        </w:tc>
        <w:tc>
          <w:tcPr>
            <w:tcW w:w="70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BTC</w:t>
            </w:r>
          </w:p>
        </w:tc>
      </w:tr>
      <w:tr>
        <w:trPr>
          <w:trHeight w:val="218"/>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w:t>
            </w:r>
          </w:p>
        </w:tc>
        <w:tc>
          <w:tcPr>
            <w:tcW w:w="5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16"/>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w:t>
            </w:r>
          </w:p>
        </w:tc>
        <w:tc>
          <w:tcPr>
            <w:tcW w:w="5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3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w:t>
            </w:r>
          </w:p>
        </w:tc>
        <w:tc>
          <w:tcPr>
            <w:tcW w:w="5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363</w:t>
            </w: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$100 Million BTC-Backed Credit Facility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31, 2022, the Company made an additional draw of US$40 million from its US$100 million credit facility with Galaxy Digital LLC, originally announced on December 31, 2021 (the “</w:t>
      </w:r>
      <w:r>
        <w:rPr>
          <w:rFonts w:ascii="Times New Roman" w:cs="Times New Roman" w:eastAsia="Times New Roman" w:hAnsi="Times New Roman"/>
          <w:sz w:val="18"/>
          <w:szCs w:val="18"/>
          <w:b w:val="1"/>
          <w:bCs w:val="1"/>
          <w:color w:val="auto"/>
        </w:rPr>
        <w:t>March Draw</w:t>
      </w:r>
      <w:r>
        <w:rPr>
          <w:rFonts w:ascii="Times New Roman" w:cs="Times New Roman" w:eastAsia="Times New Roman" w:hAnsi="Times New Roman"/>
          <w:sz w:val="18"/>
          <w:szCs w:val="18"/>
          <w:color w:val="auto"/>
        </w:rPr>
        <w:t>”). This is a revolving, multi-draw credit facility that automatically renews annually. Bitfarms made an initial US$60 million draw on December 30, 2021, with a six-month term at an interest rate of 10.75% per annum, and the March Draw is provided on the same terms.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additional US$40 million has been drawn as part of our diversified financing strategy and is one source of non-dilutive capital to fund our 2022 growth plan,” said Jeff Lucas, CFO of Bitfarms.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Grant of Options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31, 2022, options to purchase an aggregate of 120,000 common shares were granted to an officer pursuant to the Company’s Long Term Incentive Plan. The Options</w:t>
      </w:r>
    </w:p>
    <w:p>
      <w:pPr>
        <w:spacing w:after="0" w:line="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are exercisable into common shares of the Company at a price of CAD$4.71 per share for a period of five years from the date of grant and are subject to vesting conditions.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29" w:lineRule="exact"/>
        <w:rPr>
          <w:sz w:val="20"/>
          <w:szCs w:val="20"/>
          <w:color w:val="auto"/>
        </w:rPr>
      </w:pPr>
    </w:p>
    <w:p>
      <w:pPr>
        <w:jc w:val="both"/>
        <w:ind w:hanging="8"/>
        <w:spacing w:after="0" w:line="282" w:lineRule="auto"/>
        <w:rPr>
          <w:sz w:val="20"/>
          <w:szCs w:val="20"/>
          <w:color w:val="auto"/>
        </w:rPr>
      </w:pPr>
      <w:r>
        <w:rPr>
          <w:rFonts w:ascii="Times New Roman" w:cs="Times New Roman" w:eastAsia="Times New Roman" w:hAnsi="Times New Roman"/>
          <w:sz w:val="18"/>
          <w:szCs w:val="18"/>
          <w:color w:val="auto"/>
        </w:rPr>
        <w:t>Founded in 2017, Bitfarms is a global Bitcoin self-mining company, running vertically integrated mining operations with onsite technical repair, proprietary data analytics and Company-owned electrical engineering and installation services to deliver high operational performance and uptime.</w:t>
      </w:r>
    </w:p>
    <w:p>
      <w:pPr>
        <w:spacing w:after="0" w:line="162" w:lineRule="exact"/>
        <w:rPr>
          <w:sz w:val="20"/>
          <w:szCs w:val="20"/>
          <w:color w:val="auto"/>
        </w:rPr>
      </w:pPr>
    </w:p>
    <w:p>
      <w:pPr>
        <w:jc w:val="both"/>
        <w:ind w:hanging="10"/>
        <w:spacing w:after="0" w:line="261" w:lineRule="auto"/>
        <w:rPr>
          <w:sz w:val="20"/>
          <w:szCs w:val="20"/>
          <w:color w:val="auto"/>
        </w:rPr>
      </w:pPr>
      <w:r>
        <w:rPr>
          <w:rFonts w:ascii="Times New Roman" w:cs="Times New Roman" w:eastAsia="Times New Roman" w:hAnsi="Times New Roman"/>
          <w:sz w:val="18"/>
          <w:szCs w:val="18"/>
          <w:color w:val="auto"/>
        </w:rPr>
        <w:t>Having demonstrated rapid growth and stellar operations, Bitfarms became the first Bitcoin mining company to complete its long form prospectus with the Ontario Securities Commission and started trading on the TSX-V in July 2019. On February 24, 2021, Bitfarms was honoured to be announced as a Rising Star by the TSX-V. On June 21, 2021, Bitfarms started trading on the Nasdaq Stock Market. On February 24, 2022, the Company was further honoured by the TSX-V as Venture 50 Winner, placing first in the Technology sector.</w:t>
      </w:r>
    </w:p>
    <w:p>
      <w:pPr>
        <w:spacing w:after="0" w:line="180" w:lineRule="exact"/>
        <w:rPr>
          <w:sz w:val="20"/>
          <w:szCs w:val="20"/>
          <w:color w:val="auto"/>
        </w:rPr>
      </w:pPr>
    </w:p>
    <w:p>
      <w:pPr>
        <w:jc w:val="both"/>
        <w:ind w:hanging="10"/>
        <w:spacing w:after="0" w:line="266" w:lineRule="auto"/>
        <w:rPr>
          <w:sz w:val="20"/>
          <w:szCs w:val="20"/>
          <w:color w:val="auto"/>
        </w:rPr>
      </w:pPr>
      <w:r>
        <w:rPr>
          <w:rFonts w:ascii="Times New Roman" w:cs="Times New Roman" w:eastAsia="Times New Roman" w:hAnsi="Times New Roman"/>
          <w:sz w:val="18"/>
          <w:szCs w:val="18"/>
          <w:color w:val="auto"/>
        </w:rPr>
        <w:t>Operationally, Bitfarms has a diversified production platform with six industrial scale facilities located in Québec, one in Washington state, and one in Paraguay. Each facility is over 99% powered with environmentally friendly hydro power and secured with long- term power contracts. Bitfarms is currently the only publicly traded pure-play mining company audited by a Big Four accounting firm.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Website: www.bitfarms.com</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 https://twitter.com/Bitfarms_io https://www.instagram.com/bitfarms/ https://www.linkedin.com/company/bitfarms/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w:t>
      </w:r>
    </w:p>
    <w:p>
      <w:pPr>
        <w:spacing w:after="0" w:line="227" w:lineRule="exact"/>
        <w:rPr>
          <w:sz w:val="20"/>
          <w:szCs w:val="20"/>
          <w:color w:val="auto"/>
        </w:rPr>
      </w:pPr>
    </w:p>
    <w:p>
      <w:pPr>
        <w:jc w:val="both"/>
        <w:ind w:hanging="8"/>
        <w:spacing w:after="0" w:line="261" w:lineRule="auto"/>
        <w:rPr>
          <w:sz w:val="20"/>
          <w:szCs w:val="20"/>
          <w:color w:val="auto"/>
        </w:rPr>
      </w:pPr>
      <w:r>
        <w:rPr>
          <w:rFonts w:ascii="Times New Roman" w:cs="Times New Roman" w:eastAsia="Times New Roman" w:hAnsi="Times New Roman"/>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TSX Venture Exchange nor its Regulation Services Provider (as that term is defined in the policies of the TSX Venture Exchange), Nasdaq, or any other securities exchange or regulatory authority accepts responsibility for the adequacy or accuracy of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41" w:lineRule="exact"/>
        <w:rPr>
          <w:sz w:val="20"/>
          <w:szCs w:val="20"/>
          <w:color w:val="auto"/>
        </w:rPr>
      </w:pPr>
    </w:p>
    <w:p>
      <w:pPr>
        <w:jc w:val="both"/>
        <w:ind w:hanging="8"/>
        <w:spacing w:after="0" w:line="254" w:lineRule="auto"/>
        <w:rPr>
          <w:sz w:val="20"/>
          <w:szCs w:val="20"/>
          <w:color w:val="auto"/>
        </w:rPr>
      </w:pPr>
      <w:r>
        <w:rPr>
          <w:rFonts w:ascii="Times New Roman" w:cs="Times New Roman" w:eastAsia="Times New Roman" w:hAnsi="Times New Roman"/>
          <w:sz w:val="18"/>
          <w:szCs w:val="18"/>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information in this release regarding expectations in respect to the benefits of acquiring and holding Bitcoin, its future rate of Bitcoin production, its future accumulation of Bitcoin, its expansion plans, and about other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188" w:lineRule="exact"/>
        <w:rPr>
          <w:sz w:val="20"/>
          <w:szCs w:val="20"/>
          <w:color w:val="auto"/>
        </w:rPr>
      </w:pPr>
    </w:p>
    <w:p>
      <w:pPr>
        <w:jc w:val="both"/>
        <w:ind w:hanging="8"/>
        <w:spacing w:after="0" w:line="258" w:lineRule="auto"/>
        <w:rPr>
          <w:sz w:val="20"/>
          <w:szCs w:val="20"/>
          <w:color w:val="auto"/>
        </w:rPr>
      </w:pPr>
      <w:r>
        <w:rPr>
          <w:rFonts w:ascii="Times New Roman" w:cs="Times New Roman" w:eastAsia="Times New Roman" w:hAnsi="Times New Roman"/>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8" w:name="page9"/>
    <w:bookmarkEnd w:id="8"/>
    <w:p>
      <w:pPr>
        <w:jc w:val="both"/>
        <w:ind w:hanging="8"/>
        <w:spacing w:after="0" w:line="251" w:lineRule="auto"/>
        <w:rPr>
          <w:sz w:val="20"/>
          <w:szCs w:val="20"/>
          <w:color w:val="auto"/>
        </w:rPr>
      </w:pPr>
      <w:r>
        <w:rPr>
          <w:rFonts w:ascii="Times New Roman" w:cs="Times New Roman" w:eastAsia="Times New Roman" w:hAnsi="Times New Roman"/>
          <w:sz w:val="18"/>
          <w:szCs w:val="18"/>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global economic climate; dilution; the Company’s limited operating history; future capital needs and uncertainty of additional financing, including the Company’s ability to utilize the Company’s at-the-market offering (the “ATM Program”) and the prices at which the Company may sell Common Shares in the ATM Program, as well as capital market conditions in general; risks relating to the strategy of maintaining and increasing Bitcoin holdings and the impact of depreciating Bitcoin prices on working capital; the competitive nature of the industry; currency exchange risks; the need for the Company to manage its planned growth and expansion; the effects of product development and need for continued technology change; the ability to maintain reliable and economical sources of power to run its cryptocurrency mining assets; the impact of energy curtailment or regulatory changes in the energy regimes in the jurisdictions in which the Company operates;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share dilution resulting from the ATM Program and from other equity issuances; and volatile securities markets impacting security pricing unrelated to operating performance. In addition, particular factors that could impact future results of the business of Bitfarms include, but are not limited to: the construction and operation of facilities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annual information form for the year-ended December 31, 2021, filed on March 28, 2022.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LHA 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Barnard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+1 415-433-3777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Investors@bitfarms.com</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Media: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YAP Global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 Grodsky, Account Executive mia@yapglobal.com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Québec Media: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Ryan Affaires publiques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Valérie Pomerleau, Public Affairs and Communications valerie@ryanap.com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0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2022-04-01T15:10:50Z</dcterms:created>
  <dcterms:modified xsi:type="dcterms:W3CDTF">2022-04-01T15:10:50Z</dcterms:modified>
</cp:coreProperties>
</file>