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180981-f10_bitfarmsltd.htm"/>
      <w:bookmarkStart w:id="1" w:name="ksea180981f10_bitfarmsltd"/>
      <w:bookmarkEnd w:id="0"/>
      <w:bookmarkEnd w:id="1"/>
      <w:r>
        <w:rPr>
          <w:rFonts w:ascii="Times New Roman;Times;Serif" w:hAnsi="Times New Roman;Times;Serif"/>
          <w:b/>
          <w:i w:val="false"/>
          <w:caps w:val="false"/>
          <w:smallCaps w:val="false"/>
          <w:sz w:val="20"/>
        </w:rPr>
        <w:t>As filed with the Securities and Exchange Commission on June 28,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250" w:type="dxa"/>
        <w:jc w:val="left"/>
        <w:tblInd w:w="0" w:type="dxa"/>
        <w:tblLayout w:type="fixed"/>
        <w:tblCellMar>
          <w:top w:w="0" w:type="dxa"/>
          <w:left w:w="0" w:type="dxa"/>
          <w:bottom w:w="28" w:type="dxa"/>
          <w:right w:w="0" w:type="dxa"/>
        </w:tblCellMar>
      </w:tblPr>
      <w:tblGrid>
        <w:gridCol w:w="2750"/>
        <w:gridCol w:w="60"/>
        <w:gridCol w:w="2375"/>
        <w:gridCol w:w="60"/>
        <w:gridCol w:w="3005"/>
      </w:tblGrid>
      <w:tr>
        <w:trPr/>
        <w:tc>
          <w:tcPr>
            <w:tcW w:w="2750" w:type="dxa"/>
            <w:tcBorders>
              <w:bottom w:val="single" w:sz="12" w:space="0" w:color="000000"/>
            </w:tcBorders>
            <w:vAlign w:val="center"/>
          </w:tcPr>
          <w:p>
            <w:pPr>
              <w:pStyle w:val="TableContents"/>
              <w:bidi w:val="0"/>
              <w:spacing w:before="0" w:after="283"/>
              <w:jc w:val="center"/>
              <w:rPr>
                <w:b/>
                <w:sz w:val="20"/>
              </w:rPr>
            </w:pPr>
            <w:r>
              <w:rPr>
                <w:b/>
                <w:sz w:val="20"/>
              </w:rPr>
              <w:t>Canada</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center"/>
              <w:rPr>
                <w:b/>
                <w:sz w:val="20"/>
              </w:rPr>
            </w:pPr>
            <w:r>
              <w:rPr>
                <w:b/>
                <w:sz w:val="20"/>
              </w:rPr>
              <w:t>7379</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b/>
                <w:sz w:val="20"/>
              </w:rPr>
            </w:pPr>
            <w:r>
              <w:rPr>
                <w:b/>
                <w:sz w:val="20"/>
              </w:rPr>
              <w:t>Not Applicable</w:t>
            </w:r>
          </w:p>
        </w:tc>
      </w:tr>
      <w:tr>
        <w:trPr/>
        <w:tc>
          <w:tcPr>
            <w:tcW w:w="2750" w:type="dxa"/>
            <w:tcBorders/>
            <w:tcMar>
              <w:bottom w:w="0" w:type="dxa"/>
            </w:tcMar>
            <w:vAlign w:val="center"/>
          </w:tcPr>
          <w:p>
            <w:pPr>
              <w:pStyle w:val="TableContents"/>
              <w:bidi w:val="0"/>
              <w:spacing w:before="0" w:after="283"/>
              <w:jc w:val="center"/>
              <w:rPr>
                <w:sz w:val="20"/>
              </w:rPr>
            </w:pPr>
            <w:r>
              <w:rPr>
                <w:sz w:val="20"/>
              </w:rPr>
              <w:t xml:space="preserve">(Province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sz w:val="20"/>
              </w:rPr>
            </w:pPr>
            <w:r>
              <w:rPr>
                <w:sz w:val="20"/>
              </w:rPr>
              <w:t xml:space="preserve">(Primary Standard Industrial </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sz w:val="20"/>
              </w:rPr>
            </w:pPr>
            <w:r>
              <w:rPr>
                <w:sz w:val="20"/>
              </w:rPr>
              <w:t>(I.R.S. Employer</w:t>
              <w:br/>
              <w:t>Identification Number, if applicable)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King Street East, Suite 902, Toronto, Ontario, M5C 1C4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(647) 259-1790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 18</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221-0102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jc w:val="center"/>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555"/>
        <w:gridCol w:w="2030"/>
      </w:tblGrid>
      <w:tr>
        <w:trPr/>
        <w:tc>
          <w:tcPr>
            <w:tcW w:w="2555" w:type="dxa"/>
            <w:tcBorders/>
            <w:vAlign w:val="center"/>
          </w:tcPr>
          <w:p>
            <w:pPr>
              <w:pStyle w:val="TableContents"/>
              <w:bidi w:val="0"/>
              <w:spacing w:before="0" w:after="283"/>
              <w:jc w:val="center"/>
              <w:rPr>
                <w:b/>
                <w:sz w:val="20"/>
              </w:rPr>
            </w:pPr>
            <w:r>
              <w:rPr>
                <w:b/>
                <w:sz w:val="20"/>
              </w:rPr>
              <w:t>Mark D. Wood</w:t>
            </w:r>
          </w:p>
        </w:tc>
        <w:tc>
          <w:tcPr>
            <w:tcW w:w="2030" w:type="dxa"/>
            <w:tcBorders/>
            <w:vAlign w:val="center"/>
          </w:tcPr>
          <w:p>
            <w:pPr>
              <w:pStyle w:val="TableContents"/>
              <w:bidi w:val="0"/>
              <w:spacing w:before="0" w:after="283"/>
              <w:jc w:val="center"/>
              <w:rPr>
                <w:b/>
                <w:sz w:val="20"/>
              </w:rPr>
            </w:pPr>
            <w:r>
              <w:rPr>
                <w:b/>
                <w:sz w:val="20"/>
              </w:rPr>
              <w:t>Dennis Peterson</w:t>
            </w:r>
          </w:p>
        </w:tc>
      </w:tr>
      <w:tr>
        <w:trPr/>
        <w:tc>
          <w:tcPr>
            <w:tcW w:w="2555" w:type="dxa"/>
            <w:tcBorders/>
            <w:vAlign w:val="center"/>
          </w:tcPr>
          <w:p>
            <w:pPr>
              <w:pStyle w:val="TableContents"/>
              <w:bidi w:val="0"/>
              <w:spacing w:before="0" w:after="283"/>
              <w:jc w:val="center"/>
              <w:rPr>
                <w:b/>
                <w:sz w:val="20"/>
              </w:rPr>
            </w:pPr>
            <w:r>
              <w:rPr>
                <w:b/>
                <w:sz w:val="20"/>
              </w:rPr>
              <w:t>Alyse A. Sagalchik</w:t>
            </w:r>
          </w:p>
        </w:tc>
        <w:tc>
          <w:tcPr>
            <w:tcW w:w="2030" w:type="dxa"/>
            <w:tcBorders/>
            <w:vAlign w:val="center"/>
          </w:tcPr>
          <w:p>
            <w:pPr>
              <w:pStyle w:val="TableContents"/>
              <w:bidi w:val="0"/>
              <w:spacing w:before="0" w:after="283"/>
              <w:jc w:val="center"/>
              <w:rPr>
                <w:sz w:val="20"/>
              </w:rPr>
            </w:pPr>
            <w:r>
              <w:rPr>
                <w:sz w:val="20"/>
              </w:rPr>
              <w:t>Peterson McVicar LLP</w:t>
            </w:r>
          </w:p>
        </w:tc>
      </w:tr>
      <w:tr>
        <w:trPr/>
        <w:tc>
          <w:tcPr>
            <w:tcW w:w="2555" w:type="dxa"/>
            <w:tcBorders/>
            <w:vAlign w:val="center"/>
          </w:tcPr>
          <w:p>
            <w:pPr>
              <w:pStyle w:val="TableContents"/>
              <w:bidi w:val="0"/>
              <w:spacing w:before="0" w:after="283"/>
              <w:jc w:val="center"/>
              <w:rPr>
                <w:sz w:val="20"/>
              </w:rPr>
            </w:pPr>
            <w:r>
              <w:rPr>
                <w:sz w:val="20"/>
              </w:rPr>
              <w:t>Katten Muchin Rosenman LLP</w:t>
            </w:r>
          </w:p>
        </w:tc>
        <w:tc>
          <w:tcPr>
            <w:tcW w:w="2030" w:type="dxa"/>
            <w:tcBorders/>
            <w:vAlign w:val="center"/>
          </w:tcPr>
          <w:p>
            <w:pPr>
              <w:pStyle w:val="TableContents"/>
              <w:bidi w:val="0"/>
              <w:spacing w:before="0" w:after="283"/>
              <w:jc w:val="center"/>
              <w:rPr>
                <w:sz w:val="20"/>
              </w:rPr>
            </w:pPr>
            <w:r>
              <w:rPr>
                <w:sz w:val="20"/>
              </w:rPr>
              <w:t>18 King St. E., Suite 902</w:t>
            </w:r>
          </w:p>
        </w:tc>
      </w:tr>
      <w:tr>
        <w:trPr/>
        <w:tc>
          <w:tcPr>
            <w:tcW w:w="2555" w:type="dxa"/>
            <w:tcBorders/>
            <w:vAlign w:val="center"/>
          </w:tcPr>
          <w:p>
            <w:pPr>
              <w:pStyle w:val="TableContents"/>
              <w:bidi w:val="0"/>
              <w:spacing w:before="0" w:after="283"/>
              <w:jc w:val="center"/>
              <w:rPr>
                <w:sz w:val="20"/>
              </w:rPr>
            </w:pPr>
            <w:r>
              <w:rPr>
                <w:sz w:val="20"/>
              </w:rPr>
              <w:t>525 W. Monroe Street</w:t>
            </w:r>
          </w:p>
        </w:tc>
        <w:tc>
          <w:tcPr>
            <w:tcW w:w="2030" w:type="dxa"/>
            <w:tcBorders/>
            <w:vAlign w:val="center"/>
          </w:tcPr>
          <w:p>
            <w:pPr>
              <w:pStyle w:val="TableContents"/>
              <w:bidi w:val="0"/>
              <w:spacing w:before="0" w:after="283"/>
              <w:jc w:val="center"/>
              <w:rPr>
                <w:sz w:val="20"/>
              </w:rPr>
            </w:pPr>
            <w:r>
              <w:rPr>
                <w:sz w:val="20"/>
              </w:rPr>
              <w:t>Toronto, ON M5C 1C4</w:t>
            </w:r>
          </w:p>
        </w:tc>
      </w:tr>
      <w:tr>
        <w:trPr/>
        <w:tc>
          <w:tcPr>
            <w:tcW w:w="2555" w:type="dxa"/>
            <w:tcBorders/>
            <w:vAlign w:val="center"/>
          </w:tcPr>
          <w:p>
            <w:pPr>
              <w:pStyle w:val="TableContents"/>
              <w:bidi w:val="0"/>
              <w:spacing w:before="0" w:after="283"/>
              <w:jc w:val="center"/>
              <w:rPr>
                <w:sz w:val="20"/>
              </w:rPr>
            </w:pPr>
            <w:r>
              <w:rPr>
                <w:sz w:val="20"/>
              </w:rPr>
              <w:t>Chicago, IL 60661</w:t>
            </w:r>
          </w:p>
        </w:tc>
        <w:tc>
          <w:tcPr>
            <w:tcW w:w="2030" w:type="dxa"/>
            <w:tcBorders/>
            <w:vAlign w:val="center"/>
          </w:tcPr>
          <w:p>
            <w:pPr>
              <w:pStyle w:val="TableContents"/>
              <w:bidi w:val="0"/>
              <w:spacing w:before="0" w:after="283"/>
              <w:jc w:val="center"/>
              <w:rPr>
                <w:sz w:val="20"/>
              </w:rPr>
            </w:pPr>
            <w:r>
              <w:rPr>
                <w:sz w:val="20"/>
              </w:rPr>
              <w:t>(647) 259-1790</w:t>
            </w:r>
          </w:p>
        </w:tc>
      </w:tr>
      <w:tr>
        <w:trPr/>
        <w:tc>
          <w:tcPr>
            <w:tcW w:w="2555" w:type="dxa"/>
            <w:tcBorders/>
            <w:vAlign w:val="center"/>
          </w:tcPr>
          <w:p>
            <w:pPr>
              <w:pStyle w:val="TableContents"/>
              <w:bidi w:val="0"/>
              <w:spacing w:before="0" w:after="283"/>
              <w:jc w:val="center"/>
              <w:rPr>
                <w:sz w:val="20"/>
              </w:rPr>
            </w:pPr>
            <w:r>
              <w:rPr>
                <w:sz w:val="20"/>
              </w:rPr>
              <w:t>(312) 902-5200</w:t>
            </w:r>
          </w:p>
        </w:tc>
        <w:tc>
          <w:tcPr>
            <w:tcW w:w="20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of the securities to the public: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this Registration Statement becomes effective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Province of Ontario, Canada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jurisdiction regulating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this filing shall become effective (check appropriate box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230"/>
        <w:gridCol w:w="9760"/>
      </w:tblGrid>
      <w:tr>
        <w:trPr/>
        <w:tc>
          <w:tcPr>
            <w:tcW w:w="215" w:type="dxa"/>
            <w:tcBorders/>
            <w:vAlign w:val="center"/>
          </w:tcPr>
          <w:p>
            <w:pPr>
              <w:pStyle w:val="TableContents"/>
              <w:bidi w:val="0"/>
              <w:spacing w:before="0" w:after="283"/>
              <w:jc w:val="left"/>
              <w:rPr>
                <w:sz w:val="20"/>
              </w:rPr>
            </w:pPr>
            <w:r>
              <w:rPr>
                <w:sz w:val="20"/>
              </w:rPr>
              <w:t>A.</w:t>
            </w:r>
          </w:p>
        </w:tc>
        <w:tc>
          <w:tcPr>
            <w:tcW w:w="230" w:type="dxa"/>
            <w:tcBorders/>
            <w:vAlign w:val="center"/>
          </w:tcPr>
          <w:p>
            <w:pPr>
              <w:pStyle w:val="TableContents"/>
              <w:bidi w:val="0"/>
              <w:spacing w:before="0" w:after="283"/>
              <w:jc w:val="both"/>
              <w:rPr/>
            </w:pPr>
            <w:r>
              <w:rPr/>
              <w:t>☐</w:t>
            </w:r>
          </w:p>
        </w:tc>
        <w:tc>
          <w:tcPr>
            <w:tcW w:w="9760" w:type="dxa"/>
            <w:tcBorders/>
            <w:vAlign w:val="center"/>
          </w:tcPr>
          <w:p>
            <w:pPr>
              <w:pStyle w:val="TableContents"/>
              <w:bidi w:val="0"/>
              <w:spacing w:before="0" w:after="283"/>
              <w:jc w:val="both"/>
              <w:rPr>
                <w:sz w:val="20"/>
              </w:rPr>
            </w:pPr>
            <w:r>
              <w:rPr>
                <w:sz w:val="20"/>
              </w:rPr>
              <w:t>upon filing with the Commission, pursuant to Rule 467(a) (if in connection with an offering being made contemporaneously in the United States and Canada).</w:t>
            </w:r>
          </w:p>
        </w:tc>
      </w:tr>
    </w:tbl>
    <w:p>
      <w:pPr>
        <w:pStyle w:val="TextBody"/>
        <w:bidi w:val="0"/>
        <w:spacing w:before="0" w:after="0"/>
        <w:ind w:left="0" w:right="0" w:hanging="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215"/>
        <w:gridCol w:w="230"/>
        <w:gridCol w:w="4385"/>
      </w:tblGrid>
      <w:tr>
        <w:trPr/>
        <w:tc>
          <w:tcPr>
            <w:tcW w:w="215" w:type="dxa"/>
            <w:tcBorders/>
            <w:vAlign w:val="center"/>
          </w:tcPr>
          <w:p>
            <w:pPr>
              <w:pStyle w:val="TableContents"/>
              <w:bidi w:val="0"/>
              <w:spacing w:before="0" w:after="283"/>
              <w:jc w:val="left"/>
              <w:rPr>
                <w:sz w:val="20"/>
              </w:rPr>
            </w:pPr>
            <w:r>
              <w:rPr>
                <w:sz w:val="20"/>
              </w:rPr>
              <w:t>B.</w:t>
            </w:r>
          </w:p>
        </w:tc>
        <w:tc>
          <w:tcPr>
            <w:tcW w:w="230" w:type="dxa"/>
            <w:tcBorders/>
            <w:vAlign w:val="center"/>
          </w:tcPr>
          <w:p>
            <w:pPr>
              <w:pStyle w:val="TableContents"/>
              <w:bidi w:val="0"/>
              <w:spacing w:before="0" w:after="283"/>
              <w:jc w:val="both"/>
              <w:rPr/>
            </w:pPr>
            <w:r>
              <w:rPr/>
              <w:t>☒</w:t>
            </w:r>
          </w:p>
        </w:tc>
        <w:tc>
          <w:tcPr>
            <w:tcW w:w="4385" w:type="dxa"/>
            <w:tcBorders/>
            <w:vAlign w:val="center"/>
          </w:tcPr>
          <w:p>
            <w:pPr>
              <w:pStyle w:val="TableContents"/>
              <w:bidi w:val="0"/>
              <w:spacing w:before="0" w:after="283"/>
              <w:jc w:val="both"/>
              <w:rPr>
                <w:sz w:val="20"/>
              </w:rPr>
            </w:pPr>
            <w:r>
              <w:rPr>
                <w:sz w:val="20"/>
              </w:rPr>
              <w:t>at some future date (check the appropriate box below)</w:t>
            </w:r>
          </w:p>
        </w:tc>
      </w:tr>
    </w:tbl>
    <w:p>
      <w:pPr>
        <w:pStyle w:val="TextBody"/>
        <w:bidi w:val="0"/>
        <w:spacing w:before="0" w:after="0"/>
        <w:ind w:left="0" w:right="0" w:hanging="0"/>
        <w:jc w:val="left"/>
        <w:rPr>
          <w:caps w:val="false"/>
          <w:smallCaps w:val="false"/>
        </w:rPr>
      </w:pPr>
      <w:r>
        <w:rPr>
          <w:caps w:val="false"/>
          <w:smallCaps w:val="false"/>
        </w:rPr>
        <w:t> </w:t>
      </w:r>
    </w:p>
    <w:tbl>
      <w:tblPr>
        <w:tblW w:w="8378" w:type="dxa"/>
        <w:jc w:val="left"/>
        <w:tblInd w:w="0" w:type="dxa"/>
        <w:tblLayout w:type="fixed"/>
        <w:tblCellMar>
          <w:top w:w="0" w:type="dxa"/>
          <w:left w:w="0" w:type="dxa"/>
          <w:bottom w:w="0" w:type="dxa"/>
          <w:right w:w="0" w:type="dxa"/>
        </w:tblCellMar>
      </w:tblPr>
      <w:tblGrid>
        <w:gridCol w:w="38"/>
        <w:gridCol w:w="170"/>
        <w:gridCol w:w="29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290" w:type="dxa"/>
            <w:tcBorders/>
            <w:vAlign w:val="center"/>
          </w:tcPr>
          <w:p>
            <w:pPr>
              <w:pStyle w:val="TableContents"/>
              <w:bidi w:val="0"/>
              <w:spacing w:before="0" w:after="283"/>
              <w:jc w:val="both"/>
              <w:rPr/>
            </w:pPr>
            <w:r>
              <w:rPr/>
              <w:t xml:space="preserve">☐ </w:t>
            </w:r>
          </w:p>
        </w:tc>
        <w:tc>
          <w:tcPr>
            <w:tcW w:w="7880" w:type="dxa"/>
            <w:tcBorders/>
            <w:vAlign w:val="center"/>
          </w:tcPr>
          <w:p>
            <w:pPr>
              <w:pStyle w:val="TableContents"/>
              <w:bidi w:val="0"/>
              <w:spacing w:before="0" w:after="283"/>
              <w:jc w:val="both"/>
              <w:rPr>
                <w:sz w:val="20"/>
              </w:rPr>
            </w:pPr>
            <w:r>
              <w:rPr>
                <w:sz w:val="20"/>
              </w:rPr>
              <w:t>pursuant to Rule 467(b) on ( ) at ( ) (designate a time not sooner than 7 calendar days after filing).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230"/>
        <w:gridCol w:w="978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20"/>
              </w:rPr>
            </w:pPr>
            <w:r>
              <w:rPr>
                <w:sz w:val="20"/>
              </w:rPr>
              <w:t>2.</w:t>
            </w:r>
          </w:p>
        </w:tc>
        <w:tc>
          <w:tcPr>
            <w:tcW w:w="230" w:type="dxa"/>
            <w:tcBorders/>
            <w:vAlign w:val="center"/>
          </w:tcPr>
          <w:p>
            <w:pPr>
              <w:pStyle w:val="TableContents"/>
              <w:bidi w:val="0"/>
              <w:spacing w:before="0" w:after="283"/>
              <w:jc w:val="both"/>
              <w:rPr/>
            </w:pPr>
            <w:r>
              <w:rPr/>
              <w:t>☐</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Rule 467(b) on ( ) at ( ) (designate a time 7 calendar days or sooner after filing) because the securities regulatory authority in the review jurisdiction has issued a receipt or notification of clearance on (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230"/>
        <w:gridCol w:w="979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20"/>
              </w:rPr>
            </w:pPr>
            <w:r>
              <w:rPr>
                <w:sz w:val="20"/>
              </w:rPr>
              <w:t>3.</w:t>
            </w:r>
          </w:p>
        </w:tc>
        <w:tc>
          <w:tcPr>
            <w:tcW w:w="230" w:type="dxa"/>
            <w:tcBorders/>
            <w:vAlign w:val="center"/>
          </w:tcPr>
          <w:p>
            <w:pPr>
              <w:pStyle w:val="TableContents"/>
              <w:bidi w:val="0"/>
              <w:spacing w:before="0" w:after="283"/>
              <w:jc w:val="both"/>
              <w:rPr/>
            </w:pPr>
            <w:r>
              <w:rPr/>
              <w:t>☐</w:t>
            </w:r>
          </w:p>
        </w:tc>
        <w:tc>
          <w:tcPr>
            <w:tcW w:w="9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Rule 467(b) as soon as practicable after notification of the Commission by the Registrant or the Canadian securities regulatory authority of the review jurisdiction that a receipt or notification of clearance has been issued with respect hereto.</w:t>
            </w:r>
          </w:p>
        </w:tc>
      </w:tr>
    </w:tbl>
    <w:p>
      <w:pPr>
        <w:pStyle w:val="TextBody"/>
        <w:bidi w:val="0"/>
        <w:spacing w:before="0" w:after="0"/>
        <w:ind w:left="0" w:right="0" w:hanging="0"/>
        <w:jc w:val="left"/>
        <w:rPr>
          <w:caps w:val="false"/>
          <w:smallCaps w:val="false"/>
        </w:rPr>
      </w:pPr>
      <w:r>
        <w:rPr>
          <w:caps w:val="false"/>
          <w:smallCaps w:val="false"/>
        </w:rPr>
        <w:t> </w:t>
      </w:r>
    </w:p>
    <w:tbl>
      <w:tblPr>
        <w:tblW w:w="7688" w:type="dxa"/>
        <w:jc w:val="left"/>
        <w:tblInd w:w="0" w:type="dxa"/>
        <w:tblLayout w:type="fixed"/>
        <w:tblCellMar>
          <w:top w:w="0" w:type="dxa"/>
          <w:left w:w="0" w:type="dxa"/>
          <w:bottom w:w="0" w:type="dxa"/>
          <w:right w:w="0" w:type="dxa"/>
        </w:tblCellMar>
      </w:tblPr>
      <w:tblGrid>
        <w:gridCol w:w="38"/>
        <w:gridCol w:w="170"/>
        <w:gridCol w:w="23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4.</w:t>
            </w:r>
          </w:p>
        </w:tc>
        <w:tc>
          <w:tcPr>
            <w:tcW w:w="230" w:type="dxa"/>
            <w:tcBorders/>
            <w:vAlign w:val="center"/>
          </w:tcPr>
          <w:p>
            <w:pPr>
              <w:pStyle w:val="TableContents"/>
              <w:bidi w:val="0"/>
              <w:spacing w:before="0" w:after="283"/>
              <w:jc w:val="both"/>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the filing of the next amendment to this Form (if preliminary material is being filed).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the home jurisdiction’s shelf prospectus offering procedures,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TO BE DELIVERED TO OFFEREES OR 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FF0000"/>
          <w:sz w:val="20"/>
        </w:rPr>
      </w:pPr>
      <w:r>
        <w:rPr>
          <w:rFonts w:ascii="Times New Roman;Times;Serif" w:hAnsi="Times New Roman;Times;Serif"/>
          <w:b w:val="false"/>
          <w:i/>
          <w:caps w:val="false"/>
          <w:smallCaps w:val="false"/>
          <w:color w:val="FF0000"/>
          <w:sz w:val="20"/>
        </w:rPr>
        <w:t>A copy of this preliminary short form base shelf prospectus has been filed with the securities regulatory authorities in each of the provinces and territories of Canada, but has not yet become final for the purpose of the sale of securities. Information contained in this preliminary short form base shelf prospectus may not be complete and may have to be amended. The securities may not be sold until a receipt for the final short form base shelf prospectus is obtained from the securities regulatory authorities.</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caps w:val="false"/>
          <w:smallCaps w:val="false"/>
          <w:color w:val="FF0000"/>
          <w:sz w:val="20"/>
        </w:rPr>
      </w:pPr>
      <w:r>
        <w:rPr>
          <w:rFonts w:ascii="Times New Roman;Times;Serif" w:hAnsi="Times New Roman;Times;Serif"/>
          <w:b w:val="false"/>
          <w:i/>
          <w:caps w:val="false"/>
          <w:smallCaps w:val="false"/>
          <w:color w:val="FF0000"/>
          <w:sz w:val="20"/>
        </w:rPr>
        <w:t>This preliminary short form prospectus is a base shelf prospectus. This preliminary short form base shelf prospectus has been filed under legislation in each of the provinces and territories of Canada, that permits certain information about these securities to be determined after this preliminary short form base shelf prospectus has become final and that permits the omission from this preliminary short form base shelf prospectus of that information. The legislation requires the delivery to purchasers of a prospectus supplement containing the omitted information within a specified period of time after agreeing to purchase any of these securities, except in respect of any sales pursuant to an “at-the-market” distribution as contemplated by National Instrument 44-102 – Shelf Distributions.</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contained herein is subject to completion or amendment. This prospectus shall not constitute an offer to sell or the solicitation of an offer to buy, nor shall there be any sale of securities in any state in which such offer, solicitation or sale would be unlawful prior to registration or qualification under the securities laws of any such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has been incorporated by reference in this short form base shelf prospectus from documents filed with the securities commissions or similar authorities in Canada. Copies of the documents incorporated herein by reference may be obtained on request without charge from the Chief Financial Officer of Bitfarms Ltd. at 18 King St. E, Suite 902, Toronto, ON M5C 1C4 (Telephone 647 259-1790), and are also available electronically at www.sedar.com.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SHORT FORM BASE SHELF PROSPECTUS</w:t>
      </w:r>
    </w:p>
    <w:p>
      <w:pPr>
        <w:pStyle w:val="TextBody"/>
        <w:bidi w:val="0"/>
        <w:spacing w:before="0" w:after="0"/>
        <w:ind w:left="0" w:right="0" w:hanging="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3635"/>
        <w:gridCol w:w="1370"/>
      </w:tblGrid>
      <w:tr>
        <w:trPr/>
        <w:tc>
          <w:tcPr>
            <w:tcW w:w="3635" w:type="dxa"/>
            <w:tcBorders/>
            <w:vAlign w:val="center"/>
          </w:tcPr>
          <w:p>
            <w:pPr>
              <w:pStyle w:val="TableContents"/>
              <w:bidi w:val="0"/>
              <w:spacing w:before="0" w:after="283"/>
              <w:jc w:val="left"/>
              <w:rPr>
                <w:u w:val="single"/>
              </w:rPr>
            </w:pPr>
            <w:r>
              <w:rPr>
                <w:u w:val="single"/>
              </w:rPr>
              <w:t>New Issue and/or Secondary Offering</w:t>
            </w:r>
          </w:p>
        </w:tc>
        <w:tc>
          <w:tcPr>
            <w:tcW w:w="1370" w:type="dxa"/>
            <w:tcBorders/>
            <w:vAlign w:val="center"/>
          </w:tcPr>
          <w:p>
            <w:pPr>
              <w:pStyle w:val="TableContents"/>
              <w:bidi w:val="0"/>
              <w:spacing w:before="0" w:after="283"/>
              <w:jc w:val="right"/>
              <w:rPr/>
            </w:pPr>
            <w:r>
              <w:rPr/>
              <w:t>June 28,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003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590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US$375,000,000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Receipts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short form base shelf prospectus relates to the offering for sale from time to time, during the 25-month period, that this prospectus, including any amendments hereto, remains effective, of the securities of Bitfarms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Bitfarms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xml:space="preserve">”) listed above in one or more series or issuances, with a total offering price of such securities, in the aggregate, of up to </w:t>
      </w:r>
      <w:r>
        <w:rPr>
          <w:rFonts w:ascii="Times New Roman;Times;Serif" w:hAnsi="Times New Roman;Times;Serif"/>
          <w:b/>
          <w:i w:val="false"/>
          <w:caps w:val="false"/>
          <w:smallCaps w:val="false"/>
          <w:sz w:val="20"/>
        </w:rPr>
        <w:t xml:space="preserve">US$375,000,000 </w:t>
      </w:r>
      <w:r>
        <w:rPr>
          <w:rFonts w:ascii="Times New Roman;Times;Serif" w:hAnsi="Times New Roman;Times;Serif"/>
          <w:b w:val="false"/>
          <w:i w:val="false"/>
          <w:caps w:val="false"/>
          <w:smallCaps w:val="false"/>
          <w:sz w:val="20"/>
        </w:rPr>
        <w:t>(or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of the Company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are listed for trading on 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trading symbol “BITF” and on the Toronto Stock Exchange (the “</w:t>
      </w:r>
      <w:r>
        <w:rPr>
          <w:rFonts w:ascii="Times New Roman;Times;Serif" w:hAnsi="Times New Roman;Times;Serif"/>
          <w:b/>
          <w:i w:val="false"/>
          <w:caps w:val="false"/>
          <w:smallCaps w:val="false"/>
          <w:sz w:val="20"/>
        </w:rPr>
        <w:t>TSX</w:t>
      </w:r>
      <w:r>
        <w:rPr>
          <w:rFonts w:ascii="Times New Roman;Times;Serif" w:hAnsi="Times New Roman;Times;Serif"/>
          <w:b w:val="false"/>
          <w:i w:val="false"/>
          <w:caps w:val="false"/>
          <w:smallCaps w:val="false"/>
          <w:sz w:val="20"/>
        </w:rPr>
        <w:t>”) under the trading symbol “BITF”. On June 27, 2023, being the last complete trading day prior to the date hereof, the closing price of the Common Shares on the TSX and Nasdaq was C$1.94 and US$1.48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Times New Roman;Times;Serif" w:hAnsi="Times New Roman;Times;Serif"/>
          <w:b/>
          <w:i w:val="false"/>
          <w:caps w:val="false"/>
          <w:smallCaps w:val="false"/>
          <w:sz w:val="20"/>
        </w:rPr>
        <w:t>There is currently no market through which the Company’s 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Prospective investors should be aware that the acquisition of the Company’s securities described herein may have tax consequences in Canada and/or the United States. This prospectus or any applicable prospectus supplement may not describe these tax consequences fully. Such consequences for investors who are resident in, or citizens of, the United States may not be described fully herein or in the applicable prospectus supplement. You should read the tax discussion in any applicable prospectus supplement with respect to any particular offering and consult your own tax advisor with respect to your own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underwriter has been involved in the preparation of this prospectus or performed any review of the contents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Times New Roman;Times;Serif" w:hAnsi="Times New Roman;Times;Serif"/>
          <w:b/>
          <w:i w:val="false"/>
          <w:caps w:val="false"/>
          <w:smallCaps w:val="false"/>
          <w:sz w:val="20"/>
        </w:rPr>
        <w:t>NI 44-102</w:t>
      </w:r>
      <w:r>
        <w:rPr>
          <w:rFonts w:ascii="Times New Roman;Times;Serif" w:hAnsi="Times New Roman;Times;Serif"/>
          <w:b w:val="false"/>
          <w:i w:val="false"/>
          <w:caps w:val="false"/>
          <w:smallCaps w:val="false"/>
          <w:sz w:val="20"/>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 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 This Prospectus may qualify an “at-the-market distribution” as defined in NI 44-102.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 the Nasdaq, or other existing trading markets for the Securities, and as set forth in a prospectus supplement for such purpose.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Times New Roman;Times;Serif" w:hAnsi="Times New Roman;Times;Serif"/>
          <w:b/>
          <w:i/>
          <w:caps w:val="false"/>
          <w:smallCaps w:val="false"/>
          <w:sz w:val="20"/>
        </w:rPr>
        <w:t>SECONDARY OFFERING BY SELLING SECURITYHOLDERS”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 (iv) 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Selling Securityholder</w:t>
      </w:r>
      <w:r>
        <w:rPr>
          <w:rFonts w:ascii="Times New Roman;Times;Serif" w:hAnsi="Times New Roman;Times;Serif"/>
          <w:b w:val="false"/>
          <w:i w:val="false"/>
          <w:caps w:val="false"/>
          <w:smallCaps w:val="false"/>
          <w:sz w:val="20"/>
        </w:rPr>
        <w:t>”). See “</w:t>
      </w:r>
      <w:r>
        <w:rPr>
          <w:rFonts w:ascii="Times New Roman;Times;Serif" w:hAnsi="Times New Roman;Times;Serif"/>
          <w:b w:val="false"/>
          <w:i/>
          <w:caps w:val="false"/>
          <w:smallCaps w:val="false"/>
          <w:sz w:val="20"/>
        </w:rPr>
        <w:t>SECONDARY OFFERING BY SELLING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(State of Washington, U.S.A.), Backbone Hosting Solutions SAU (Argentina) and Backbone Hosting Solutions Paraguay SA (Paraguay). In addition, certain of the Company’s directors and officers reside outside of Canada, namely, Emiliano Joel Grodzki, Nicolas Bonta, Andres Finkielsztain, Edith M. Hofmeister, Jeffrey Lucas, Benjamin Gagnon, Damian Polla and Stephanie Wargo, and they have appointed the Company at its registered office set forth below as their agent for service of process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THESE SECURITIES HAVE NOT BEEN APPROVED OR DISAPPROVED BY THE UNITED STATES SECURITIES AND EXCHANGE COMMISSION (THE “SEC”) OR ANY STATE SECURITIES COMMISSION OR REGULATORY AUTHORITY NOR HAS THE SEC OR ANY STATE SECURITIES COMMISSION OR REGULATORY AUTHORITY PASSED UPON THE ACCURACY OR ADEQUACY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is located at 18 King St. E, Suite 902, Toronto, ON M5C 1C4.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8375"/>
        <w:gridCol w:w="275"/>
      </w:tblGrid>
      <w:tr>
        <w:trPr/>
        <w:tc>
          <w:tcPr>
            <w:tcW w:w="8375" w:type="dxa"/>
            <w:tcBorders/>
            <w:shd w:fill="CCEEFF" w:val="clear"/>
            <w:vAlign w:val="center"/>
          </w:tcPr>
          <w:p>
            <w:pPr>
              <w:pStyle w:val="TableContents"/>
              <w:bidi w:val="0"/>
              <w:spacing w:before="0" w:after="283"/>
              <w:jc w:val="left"/>
              <w:rPr/>
            </w:pPr>
            <w:hyperlink w:anchor="a_001">
              <w:r>
                <w:rPr>
                  <w:rStyle w:val="InternetLink"/>
                  <w:b/>
                </w:rPr>
                <w:t>ABOUT THIS PROSPECTUS</w:t>
              </w:r>
            </w:hyperlink>
          </w:p>
        </w:tc>
        <w:tc>
          <w:tcPr>
            <w:tcW w:w="275" w:type="dxa"/>
            <w:tcBorders/>
            <w:shd w:fill="CCEEFF" w:val="clear"/>
            <w:vAlign w:val="center"/>
          </w:tcPr>
          <w:p>
            <w:pPr>
              <w:pStyle w:val="TableContents"/>
              <w:bidi w:val="0"/>
              <w:spacing w:before="0" w:after="283"/>
              <w:jc w:val="center"/>
              <w:rPr/>
            </w:pPr>
            <w:r>
              <w:rPr/>
              <w:t>1</w:t>
            </w:r>
          </w:p>
        </w:tc>
      </w:tr>
      <w:tr>
        <w:trPr/>
        <w:tc>
          <w:tcPr>
            <w:tcW w:w="8375" w:type="dxa"/>
            <w:tcBorders/>
            <w:shd w:fill="FFFFFF" w:val="clear"/>
            <w:vAlign w:val="center"/>
          </w:tcPr>
          <w:p>
            <w:pPr>
              <w:pStyle w:val="TableContents"/>
              <w:bidi w:val="0"/>
              <w:spacing w:before="0" w:after="283"/>
              <w:jc w:val="left"/>
              <w:rPr/>
            </w:pPr>
            <w:hyperlink w:anchor="a_002">
              <w:r>
                <w:rPr>
                  <w:rStyle w:val="InternetLink"/>
                  <w:b/>
                </w:rPr>
                <w:t>CAUTIONARY NOTE REGARDING FORWARD-LOOKING STATEMENTS</w:t>
              </w:r>
            </w:hyperlink>
          </w:p>
        </w:tc>
        <w:tc>
          <w:tcPr>
            <w:tcW w:w="275" w:type="dxa"/>
            <w:tcBorders/>
            <w:shd w:fill="FFFFFF" w:val="clear"/>
            <w:vAlign w:val="center"/>
          </w:tcPr>
          <w:p>
            <w:pPr>
              <w:pStyle w:val="TableContents"/>
              <w:bidi w:val="0"/>
              <w:spacing w:before="0" w:after="283"/>
              <w:jc w:val="center"/>
              <w:rPr/>
            </w:pPr>
            <w:r>
              <w:rPr/>
              <w:t>1</w:t>
            </w:r>
          </w:p>
        </w:tc>
      </w:tr>
      <w:tr>
        <w:trPr/>
        <w:tc>
          <w:tcPr>
            <w:tcW w:w="8375" w:type="dxa"/>
            <w:tcBorders/>
            <w:shd w:fill="CCEEFF" w:val="clear"/>
            <w:vAlign w:val="center"/>
          </w:tcPr>
          <w:p>
            <w:pPr>
              <w:pStyle w:val="TableContents"/>
              <w:bidi w:val="0"/>
              <w:spacing w:before="0" w:after="283"/>
              <w:jc w:val="left"/>
              <w:rPr/>
            </w:pPr>
            <w:hyperlink w:anchor="a_003">
              <w:r>
                <w:rPr>
                  <w:rStyle w:val="InternetLink"/>
                  <w:b/>
                </w:rPr>
                <w:t>DOCUMENTS INCORPORATED BY REFERENCE</w:t>
              </w:r>
            </w:hyperlink>
          </w:p>
        </w:tc>
        <w:tc>
          <w:tcPr>
            <w:tcW w:w="275" w:type="dxa"/>
            <w:tcBorders/>
            <w:shd w:fill="CCEEFF" w:val="clear"/>
            <w:vAlign w:val="center"/>
          </w:tcPr>
          <w:p>
            <w:pPr>
              <w:pStyle w:val="TableContents"/>
              <w:bidi w:val="0"/>
              <w:spacing w:before="0" w:after="283"/>
              <w:jc w:val="center"/>
              <w:rPr/>
            </w:pPr>
            <w:r>
              <w:rPr/>
              <w:t>4</w:t>
            </w:r>
          </w:p>
        </w:tc>
      </w:tr>
      <w:tr>
        <w:trPr/>
        <w:tc>
          <w:tcPr>
            <w:tcW w:w="8375" w:type="dxa"/>
            <w:tcBorders/>
            <w:shd w:fill="FFFFFF" w:val="clear"/>
            <w:vAlign w:val="center"/>
          </w:tcPr>
          <w:p>
            <w:pPr>
              <w:pStyle w:val="TableContents"/>
              <w:bidi w:val="0"/>
              <w:spacing w:before="0" w:after="283"/>
              <w:jc w:val="left"/>
              <w:rPr/>
            </w:pPr>
            <w:hyperlink w:anchor="a_004">
              <w:r>
                <w:rPr>
                  <w:rStyle w:val="InternetLink"/>
                  <w:b/>
                </w:rPr>
                <w:t>CURRENCY PRESENTATION AND EXCHANGE RATE INFORMATION</w:t>
              </w:r>
            </w:hyperlink>
          </w:p>
        </w:tc>
        <w:tc>
          <w:tcPr>
            <w:tcW w:w="275" w:type="dxa"/>
            <w:tcBorders/>
            <w:shd w:fill="FFFFFF" w:val="clear"/>
            <w:vAlign w:val="center"/>
          </w:tcPr>
          <w:p>
            <w:pPr>
              <w:pStyle w:val="TableContents"/>
              <w:bidi w:val="0"/>
              <w:spacing w:before="0" w:after="283"/>
              <w:jc w:val="center"/>
              <w:rPr/>
            </w:pPr>
            <w:r>
              <w:rPr/>
              <w:t>7</w:t>
            </w:r>
          </w:p>
        </w:tc>
      </w:tr>
      <w:tr>
        <w:trPr/>
        <w:tc>
          <w:tcPr>
            <w:tcW w:w="8375" w:type="dxa"/>
            <w:tcBorders/>
            <w:shd w:fill="CCEEFF" w:val="clear"/>
            <w:vAlign w:val="center"/>
          </w:tcPr>
          <w:p>
            <w:pPr>
              <w:pStyle w:val="TableContents"/>
              <w:bidi w:val="0"/>
              <w:spacing w:before="0" w:after="283"/>
              <w:jc w:val="left"/>
              <w:rPr/>
            </w:pPr>
            <w:hyperlink w:anchor="a_005">
              <w:r>
                <w:rPr>
                  <w:rStyle w:val="InternetLink"/>
                  <w:b/>
                </w:rPr>
                <w:t>DOCUMENTS FILED AS PART OF THE REGISTRATION STATEMENT</w:t>
              </w:r>
            </w:hyperlink>
          </w:p>
        </w:tc>
        <w:tc>
          <w:tcPr>
            <w:tcW w:w="275" w:type="dxa"/>
            <w:tcBorders/>
            <w:shd w:fill="CCEEFF" w:val="clear"/>
            <w:vAlign w:val="center"/>
          </w:tcPr>
          <w:p>
            <w:pPr>
              <w:pStyle w:val="TableContents"/>
              <w:bidi w:val="0"/>
              <w:spacing w:before="0" w:after="283"/>
              <w:jc w:val="center"/>
              <w:rPr/>
            </w:pPr>
            <w:r>
              <w:rPr/>
              <w:t>7</w:t>
            </w:r>
          </w:p>
        </w:tc>
      </w:tr>
      <w:tr>
        <w:trPr/>
        <w:tc>
          <w:tcPr>
            <w:tcW w:w="8375" w:type="dxa"/>
            <w:tcBorders/>
            <w:shd w:fill="FFFFFF" w:val="clear"/>
            <w:vAlign w:val="center"/>
          </w:tcPr>
          <w:p>
            <w:pPr>
              <w:pStyle w:val="TableContents"/>
              <w:bidi w:val="0"/>
              <w:spacing w:before="0" w:after="283"/>
              <w:jc w:val="left"/>
              <w:rPr/>
            </w:pPr>
            <w:hyperlink w:anchor="a_006">
              <w:r>
                <w:rPr>
                  <w:rStyle w:val="InternetLink"/>
                  <w:b/>
                </w:rPr>
                <w:t>AVAILABLE INFORMATION</w:t>
              </w:r>
            </w:hyperlink>
          </w:p>
        </w:tc>
        <w:tc>
          <w:tcPr>
            <w:tcW w:w="275" w:type="dxa"/>
            <w:tcBorders/>
            <w:shd w:fill="FFFFFF" w:val="clear"/>
            <w:vAlign w:val="center"/>
          </w:tcPr>
          <w:p>
            <w:pPr>
              <w:pStyle w:val="TableContents"/>
              <w:bidi w:val="0"/>
              <w:spacing w:before="0" w:after="283"/>
              <w:jc w:val="center"/>
              <w:rPr/>
            </w:pPr>
            <w:r>
              <w:rPr/>
              <w:t>7</w:t>
            </w:r>
          </w:p>
        </w:tc>
      </w:tr>
      <w:tr>
        <w:trPr/>
        <w:tc>
          <w:tcPr>
            <w:tcW w:w="8375" w:type="dxa"/>
            <w:tcBorders/>
            <w:shd w:fill="CCEEFF" w:val="clear"/>
            <w:vAlign w:val="center"/>
          </w:tcPr>
          <w:p>
            <w:pPr>
              <w:pStyle w:val="TableContents"/>
              <w:bidi w:val="0"/>
              <w:spacing w:before="0" w:after="283"/>
              <w:jc w:val="left"/>
              <w:rPr/>
            </w:pPr>
            <w:hyperlink w:anchor="a_007">
              <w:r>
                <w:rPr>
                  <w:rStyle w:val="InternetLink"/>
                  <w:b/>
                </w:rPr>
                <w:t>THE COMPANY</w:t>
              </w:r>
            </w:hyperlink>
          </w:p>
        </w:tc>
        <w:tc>
          <w:tcPr>
            <w:tcW w:w="275" w:type="dxa"/>
            <w:tcBorders/>
            <w:shd w:fill="CCEEFF" w:val="clear"/>
            <w:vAlign w:val="center"/>
          </w:tcPr>
          <w:p>
            <w:pPr>
              <w:pStyle w:val="TableContents"/>
              <w:bidi w:val="0"/>
              <w:spacing w:before="0" w:after="283"/>
              <w:jc w:val="center"/>
              <w:rPr/>
            </w:pPr>
            <w:r>
              <w:rPr/>
              <w:t>7</w:t>
            </w:r>
          </w:p>
        </w:tc>
      </w:tr>
      <w:tr>
        <w:trPr/>
        <w:tc>
          <w:tcPr>
            <w:tcW w:w="8375" w:type="dxa"/>
            <w:tcBorders/>
            <w:shd w:fill="FFFFFF" w:val="clear"/>
            <w:vAlign w:val="center"/>
          </w:tcPr>
          <w:p>
            <w:pPr>
              <w:pStyle w:val="TableContents"/>
              <w:bidi w:val="0"/>
              <w:spacing w:before="0" w:after="283"/>
              <w:jc w:val="left"/>
              <w:rPr/>
            </w:pPr>
            <w:hyperlink w:anchor="a_008">
              <w:r>
                <w:rPr>
                  <w:rStyle w:val="InternetLink"/>
                  <w:b/>
                </w:rPr>
                <w:t>SECONDARY OFFERING BY SELLING SECURITYHOLDERS</w:t>
              </w:r>
            </w:hyperlink>
          </w:p>
        </w:tc>
        <w:tc>
          <w:tcPr>
            <w:tcW w:w="275" w:type="dxa"/>
            <w:tcBorders/>
            <w:shd w:fill="FFFFFF" w:val="clear"/>
            <w:vAlign w:val="center"/>
          </w:tcPr>
          <w:p>
            <w:pPr>
              <w:pStyle w:val="TableContents"/>
              <w:bidi w:val="0"/>
              <w:spacing w:before="0" w:after="283"/>
              <w:jc w:val="center"/>
              <w:rPr/>
            </w:pPr>
            <w:r>
              <w:rPr/>
              <w:t>10</w:t>
            </w:r>
          </w:p>
        </w:tc>
      </w:tr>
      <w:tr>
        <w:trPr/>
        <w:tc>
          <w:tcPr>
            <w:tcW w:w="8375" w:type="dxa"/>
            <w:tcBorders/>
            <w:shd w:fill="CCEEFF" w:val="clear"/>
            <w:vAlign w:val="center"/>
          </w:tcPr>
          <w:p>
            <w:pPr>
              <w:pStyle w:val="TableContents"/>
              <w:bidi w:val="0"/>
              <w:spacing w:before="0" w:after="283"/>
              <w:jc w:val="left"/>
              <w:rPr/>
            </w:pPr>
            <w:hyperlink w:anchor="a_009">
              <w:r>
                <w:rPr>
                  <w:rStyle w:val="InternetLink"/>
                  <w:b/>
                </w:rPr>
                <w:t>RISK FACTORS</w:t>
              </w:r>
            </w:hyperlink>
          </w:p>
        </w:tc>
        <w:tc>
          <w:tcPr>
            <w:tcW w:w="275" w:type="dxa"/>
            <w:tcBorders/>
            <w:shd w:fill="CCEEFF" w:val="clear"/>
            <w:vAlign w:val="center"/>
          </w:tcPr>
          <w:p>
            <w:pPr>
              <w:pStyle w:val="TableContents"/>
              <w:bidi w:val="0"/>
              <w:spacing w:before="0" w:after="283"/>
              <w:jc w:val="center"/>
              <w:rPr/>
            </w:pPr>
            <w:r>
              <w:rPr/>
              <w:t>11</w:t>
            </w:r>
          </w:p>
        </w:tc>
      </w:tr>
      <w:tr>
        <w:trPr/>
        <w:tc>
          <w:tcPr>
            <w:tcW w:w="8375" w:type="dxa"/>
            <w:tcBorders/>
            <w:shd w:fill="FFFFFF" w:val="clear"/>
            <w:vAlign w:val="center"/>
          </w:tcPr>
          <w:p>
            <w:pPr>
              <w:pStyle w:val="TableContents"/>
              <w:bidi w:val="0"/>
              <w:spacing w:before="0" w:after="283"/>
              <w:jc w:val="left"/>
              <w:rPr/>
            </w:pPr>
            <w:hyperlink w:anchor="a_010">
              <w:r>
                <w:rPr>
                  <w:rStyle w:val="InternetLink"/>
                  <w:b/>
                </w:rPr>
                <w:t>USE OF PROCEEDS</w:t>
              </w:r>
            </w:hyperlink>
          </w:p>
        </w:tc>
        <w:tc>
          <w:tcPr>
            <w:tcW w:w="275" w:type="dxa"/>
            <w:tcBorders/>
            <w:shd w:fill="FFFFFF" w:val="clear"/>
            <w:vAlign w:val="center"/>
          </w:tcPr>
          <w:p>
            <w:pPr>
              <w:pStyle w:val="TableContents"/>
              <w:bidi w:val="0"/>
              <w:spacing w:before="0" w:after="283"/>
              <w:jc w:val="center"/>
              <w:rPr/>
            </w:pPr>
            <w:r>
              <w:rPr/>
              <w:t>13</w:t>
            </w:r>
          </w:p>
        </w:tc>
      </w:tr>
      <w:tr>
        <w:trPr/>
        <w:tc>
          <w:tcPr>
            <w:tcW w:w="8375" w:type="dxa"/>
            <w:tcBorders/>
            <w:shd w:fill="CCEEFF" w:val="clear"/>
            <w:vAlign w:val="center"/>
          </w:tcPr>
          <w:p>
            <w:pPr>
              <w:pStyle w:val="TableContents"/>
              <w:bidi w:val="0"/>
              <w:spacing w:before="0" w:after="283"/>
              <w:jc w:val="left"/>
              <w:rPr/>
            </w:pPr>
            <w:hyperlink w:anchor="a_011">
              <w:r>
                <w:rPr>
                  <w:rStyle w:val="InternetLink"/>
                  <w:b/>
                </w:rPr>
                <w:t>CONSOLIDATED CAPITALIZATION</w:t>
              </w:r>
            </w:hyperlink>
          </w:p>
        </w:tc>
        <w:tc>
          <w:tcPr>
            <w:tcW w:w="275" w:type="dxa"/>
            <w:tcBorders/>
            <w:shd w:fill="CCEEFF" w:val="clear"/>
            <w:vAlign w:val="center"/>
          </w:tcPr>
          <w:p>
            <w:pPr>
              <w:pStyle w:val="TableContents"/>
              <w:bidi w:val="0"/>
              <w:spacing w:before="0" w:after="283"/>
              <w:jc w:val="center"/>
              <w:rPr/>
            </w:pPr>
            <w:r>
              <w:rPr/>
              <w:t>15</w:t>
            </w:r>
          </w:p>
        </w:tc>
      </w:tr>
      <w:tr>
        <w:trPr/>
        <w:tc>
          <w:tcPr>
            <w:tcW w:w="8375" w:type="dxa"/>
            <w:tcBorders/>
            <w:shd w:fill="FFFFFF" w:val="clear"/>
            <w:vAlign w:val="center"/>
          </w:tcPr>
          <w:p>
            <w:pPr>
              <w:pStyle w:val="TableContents"/>
              <w:bidi w:val="0"/>
              <w:spacing w:before="0" w:after="283"/>
              <w:jc w:val="left"/>
              <w:rPr/>
            </w:pPr>
            <w:hyperlink w:anchor="a_012">
              <w:r>
                <w:rPr>
                  <w:rStyle w:val="InternetLink"/>
                  <w:b/>
                </w:rPr>
                <w:t>PRIOR SALES</w:t>
              </w:r>
            </w:hyperlink>
          </w:p>
        </w:tc>
        <w:tc>
          <w:tcPr>
            <w:tcW w:w="275" w:type="dxa"/>
            <w:tcBorders/>
            <w:shd w:fill="FFFFFF" w:val="clear"/>
            <w:vAlign w:val="center"/>
          </w:tcPr>
          <w:p>
            <w:pPr>
              <w:pStyle w:val="TableContents"/>
              <w:bidi w:val="0"/>
              <w:spacing w:before="0" w:after="283"/>
              <w:jc w:val="center"/>
              <w:rPr/>
            </w:pPr>
            <w:r>
              <w:rPr/>
              <w:t>15</w:t>
            </w:r>
          </w:p>
        </w:tc>
      </w:tr>
      <w:tr>
        <w:trPr/>
        <w:tc>
          <w:tcPr>
            <w:tcW w:w="8375" w:type="dxa"/>
            <w:tcBorders/>
            <w:shd w:fill="CCEEFF" w:val="clear"/>
            <w:vAlign w:val="center"/>
          </w:tcPr>
          <w:p>
            <w:pPr>
              <w:pStyle w:val="TableContents"/>
              <w:bidi w:val="0"/>
              <w:spacing w:before="0" w:after="283"/>
              <w:jc w:val="left"/>
              <w:rPr/>
            </w:pPr>
            <w:hyperlink w:anchor="a_013">
              <w:r>
                <w:rPr>
                  <w:rStyle w:val="InternetLink"/>
                  <w:b/>
                </w:rPr>
                <w:t>TRADING PRICE AND VOLUME</w:t>
              </w:r>
            </w:hyperlink>
          </w:p>
        </w:tc>
        <w:tc>
          <w:tcPr>
            <w:tcW w:w="275" w:type="dxa"/>
            <w:tcBorders/>
            <w:shd w:fill="CCEEFF" w:val="clear"/>
            <w:vAlign w:val="center"/>
          </w:tcPr>
          <w:p>
            <w:pPr>
              <w:pStyle w:val="TableContents"/>
              <w:bidi w:val="0"/>
              <w:spacing w:before="0" w:after="283"/>
              <w:jc w:val="center"/>
              <w:rPr/>
            </w:pPr>
            <w:r>
              <w:rPr/>
              <w:t>15</w:t>
            </w:r>
          </w:p>
        </w:tc>
      </w:tr>
      <w:tr>
        <w:trPr/>
        <w:tc>
          <w:tcPr>
            <w:tcW w:w="8375" w:type="dxa"/>
            <w:tcBorders/>
            <w:shd w:fill="FFFFFF" w:val="clear"/>
            <w:vAlign w:val="center"/>
          </w:tcPr>
          <w:p>
            <w:pPr>
              <w:pStyle w:val="TableContents"/>
              <w:bidi w:val="0"/>
              <w:spacing w:before="0" w:after="283"/>
              <w:jc w:val="left"/>
              <w:rPr/>
            </w:pPr>
            <w:hyperlink w:anchor="a_014">
              <w:r>
                <w:rPr>
                  <w:rStyle w:val="InternetLink"/>
                  <w:b/>
                </w:rPr>
                <w:t>EARNINGS COVERAGE</w:t>
              </w:r>
            </w:hyperlink>
          </w:p>
        </w:tc>
        <w:tc>
          <w:tcPr>
            <w:tcW w:w="275" w:type="dxa"/>
            <w:tcBorders/>
            <w:shd w:fill="FFFFFF" w:val="clear"/>
            <w:vAlign w:val="center"/>
          </w:tcPr>
          <w:p>
            <w:pPr>
              <w:pStyle w:val="TableContents"/>
              <w:bidi w:val="0"/>
              <w:spacing w:before="0" w:after="283"/>
              <w:jc w:val="center"/>
              <w:rPr/>
            </w:pPr>
            <w:r>
              <w:rPr/>
              <w:t>15</w:t>
            </w:r>
          </w:p>
        </w:tc>
      </w:tr>
      <w:tr>
        <w:trPr/>
        <w:tc>
          <w:tcPr>
            <w:tcW w:w="8375" w:type="dxa"/>
            <w:tcBorders/>
            <w:shd w:fill="CCEEFF" w:val="clear"/>
            <w:vAlign w:val="center"/>
          </w:tcPr>
          <w:p>
            <w:pPr>
              <w:pStyle w:val="TableContents"/>
              <w:bidi w:val="0"/>
              <w:spacing w:before="0" w:after="283"/>
              <w:jc w:val="left"/>
              <w:rPr/>
            </w:pPr>
            <w:hyperlink w:anchor="a_015">
              <w:r>
                <w:rPr>
                  <w:rStyle w:val="InternetLink"/>
                  <w:b/>
                </w:rPr>
                <w:t>DESCRIPTION OF SHARE CAPITAL</w:t>
              </w:r>
            </w:hyperlink>
          </w:p>
        </w:tc>
        <w:tc>
          <w:tcPr>
            <w:tcW w:w="275" w:type="dxa"/>
            <w:tcBorders/>
            <w:shd w:fill="CCEEFF" w:val="clear"/>
            <w:vAlign w:val="center"/>
          </w:tcPr>
          <w:p>
            <w:pPr>
              <w:pStyle w:val="TableContents"/>
              <w:bidi w:val="0"/>
              <w:spacing w:before="0" w:after="283"/>
              <w:jc w:val="center"/>
              <w:rPr/>
            </w:pPr>
            <w:r>
              <w:rPr/>
              <w:t>15</w:t>
            </w:r>
          </w:p>
        </w:tc>
      </w:tr>
      <w:tr>
        <w:trPr/>
        <w:tc>
          <w:tcPr>
            <w:tcW w:w="8375" w:type="dxa"/>
            <w:tcBorders/>
            <w:shd w:fill="FFFFFF" w:val="clear"/>
            <w:vAlign w:val="center"/>
          </w:tcPr>
          <w:p>
            <w:pPr>
              <w:pStyle w:val="TableContents"/>
              <w:bidi w:val="0"/>
              <w:spacing w:before="0" w:after="283"/>
              <w:jc w:val="left"/>
              <w:rPr/>
            </w:pPr>
            <w:hyperlink w:anchor="a_016">
              <w:r>
                <w:rPr>
                  <w:rStyle w:val="InternetLink"/>
                  <w:b/>
                </w:rPr>
                <w:t>DESCRIPTION OF DEBT SECURITIES</w:t>
              </w:r>
            </w:hyperlink>
          </w:p>
        </w:tc>
        <w:tc>
          <w:tcPr>
            <w:tcW w:w="275" w:type="dxa"/>
            <w:tcBorders/>
            <w:shd w:fill="FFFFFF" w:val="clear"/>
            <w:vAlign w:val="center"/>
          </w:tcPr>
          <w:p>
            <w:pPr>
              <w:pStyle w:val="TableContents"/>
              <w:bidi w:val="0"/>
              <w:spacing w:before="0" w:after="283"/>
              <w:jc w:val="center"/>
              <w:rPr/>
            </w:pPr>
            <w:r>
              <w:rPr/>
              <w:t>16</w:t>
            </w:r>
          </w:p>
        </w:tc>
      </w:tr>
      <w:tr>
        <w:trPr/>
        <w:tc>
          <w:tcPr>
            <w:tcW w:w="8375" w:type="dxa"/>
            <w:tcBorders/>
            <w:shd w:fill="CCEEFF" w:val="clear"/>
            <w:vAlign w:val="center"/>
          </w:tcPr>
          <w:p>
            <w:pPr>
              <w:pStyle w:val="TableContents"/>
              <w:bidi w:val="0"/>
              <w:spacing w:before="0" w:after="283"/>
              <w:jc w:val="left"/>
              <w:rPr/>
            </w:pPr>
            <w:hyperlink w:anchor="a_017">
              <w:r>
                <w:rPr>
                  <w:rStyle w:val="InternetLink"/>
                  <w:b/>
                </w:rPr>
                <w:t>DESCRIPTION OF WARRANTS</w:t>
              </w:r>
            </w:hyperlink>
          </w:p>
        </w:tc>
        <w:tc>
          <w:tcPr>
            <w:tcW w:w="275" w:type="dxa"/>
            <w:tcBorders/>
            <w:shd w:fill="CCEEFF" w:val="clear"/>
            <w:vAlign w:val="center"/>
          </w:tcPr>
          <w:p>
            <w:pPr>
              <w:pStyle w:val="TableContents"/>
              <w:bidi w:val="0"/>
              <w:spacing w:before="0" w:after="283"/>
              <w:jc w:val="center"/>
              <w:rPr/>
            </w:pPr>
            <w:r>
              <w:rPr/>
              <w:t>20</w:t>
            </w:r>
          </w:p>
        </w:tc>
      </w:tr>
      <w:tr>
        <w:trPr/>
        <w:tc>
          <w:tcPr>
            <w:tcW w:w="8375" w:type="dxa"/>
            <w:tcBorders/>
            <w:shd w:fill="FFFFFF" w:val="clear"/>
            <w:vAlign w:val="center"/>
          </w:tcPr>
          <w:p>
            <w:pPr>
              <w:pStyle w:val="TableContents"/>
              <w:bidi w:val="0"/>
              <w:spacing w:before="0" w:after="283"/>
              <w:jc w:val="left"/>
              <w:rPr/>
            </w:pPr>
            <w:hyperlink w:anchor="a_018">
              <w:r>
                <w:rPr>
                  <w:rStyle w:val="InternetLink"/>
                  <w:b/>
                </w:rPr>
                <w:t>DESCRIPTION OF UNITS</w:t>
              </w:r>
            </w:hyperlink>
          </w:p>
        </w:tc>
        <w:tc>
          <w:tcPr>
            <w:tcW w:w="275" w:type="dxa"/>
            <w:tcBorders/>
            <w:shd w:fill="FFFFFF" w:val="clear"/>
            <w:vAlign w:val="center"/>
          </w:tcPr>
          <w:p>
            <w:pPr>
              <w:pStyle w:val="TableContents"/>
              <w:bidi w:val="0"/>
              <w:spacing w:before="0" w:after="283"/>
              <w:jc w:val="center"/>
              <w:rPr/>
            </w:pPr>
            <w:r>
              <w:rPr/>
              <w:t>22</w:t>
            </w:r>
          </w:p>
        </w:tc>
      </w:tr>
      <w:tr>
        <w:trPr/>
        <w:tc>
          <w:tcPr>
            <w:tcW w:w="8375" w:type="dxa"/>
            <w:tcBorders/>
            <w:shd w:fill="CCEEFF" w:val="clear"/>
            <w:vAlign w:val="center"/>
          </w:tcPr>
          <w:p>
            <w:pPr>
              <w:pStyle w:val="TableContents"/>
              <w:bidi w:val="0"/>
              <w:spacing w:before="0" w:after="283"/>
              <w:jc w:val="left"/>
              <w:rPr/>
            </w:pPr>
            <w:hyperlink w:anchor="a_019">
              <w:r>
                <w:rPr>
                  <w:rStyle w:val="InternetLink"/>
                  <w:b/>
                </w:rPr>
                <w:t>DESCRIPTION OF SUBSCRIPTION RECEIPTS</w:t>
              </w:r>
            </w:hyperlink>
          </w:p>
        </w:tc>
        <w:tc>
          <w:tcPr>
            <w:tcW w:w="275" w:type="dxa"/>
            <w:tcBorders/>
            <w:shd w:fill="CCEEFF" w:val="clear"/>
            <w:vAlign w:val="center"/>
          </w:tcPr>
          <w:p>
            <w:pPr>
              <w:pStyle w:val="TableContents"/>
              <w:bidi w:val="0"/>
              <w:spacing w:before="0" w:after="283"/>
              <w:jc w:val="center"/>
              <w:rPr/>
            </w:pPr>
            <w:r>
              <w:rPr/>
              <w:t>23</w:t>
            </w:r>
          </w:p>
        </w:tc>
      </w:tr>
      <w:tr>
        <w:trPr/>
        <w:tc>
          <w:tcPr>
            <w:tcW w:w="8375" w:type="dxa"/>
            <w:tcBorders/>
            <w:shd w:fill="FFFFFF" w:val="clear"/>
            <w:vAlign w:val="center"/>
          </w:tcPr>
          <w:p>
            <w:pPr>
              <w:pStyle w:val="TableContents"/>
              <w:bidi w:val="0"/>
              <w:spacing w:before="0" w:after="283"/>
              <w:jc w:val="left"/>
              <w:rPr/>
            </w:pPr>
            <w:hyperlink w:anchor="a_020">
              <w:r>
                <w:rPr>
                  <w:rStyle w:val="InternetLink"/>
                  <w:b/>
                </w:rPr>
                <w:t>DESCRIPTION OF SHARE PURCHASE CONTRACTS</w:t>
              </w:r>
            </w:hyperlink>
          </w:p>
        </w:tc>
        <w:tc>
          <w:tcPr>
            <w:tcW w:w="275" w:type="dxa"/>
            <w:tcBorders/>
            <w:shd w:fill="FFFFFF" w:val="clear"/>
            <w:vAlign w:val="center"/>
          </w:tcPr>
          <w:p>
            <w:pPr>
              <w:pStyle w:val="TableContents"/>
              <w:bidi w:val="0"/>
              <w:spacing w:before="0" w:after="283"/>
              <w:jc w:val="center"/>
              <w:rPr/>
            </w:pPr>
            <w:r>
              <w:rPr/>
              <w:t>25</w:t>
            </w:r>
          </w:p>
        </w:tc>
      </w:tr>
      <w:tr>
        <w:trPr/>
        <w:tc>
          <w:tcPr>
            <w:tcW w:w="8375" w:type="dxa"/>
            <w:tcBorders/>
            <w:shd w:fill="CCEEFF" w:val="clear"/>
            <w:vAlign w:val="center"/>
          </w:tcPr>
          <w:p>
            <w:pPr>
              <w:pStyle w:val="TableContents"/>
              <w:bidi w:val="0"/>
              <w:spacing w:before="0" w:after="283"/>
              <w:jc w:val="left"/>
              <w:rPr/>
            </w:pPr>
            <w:hyperlink w:anchor="a_021">
              <w:r>
                <w:rPr>
                  <w:rStyle w:val="InternetLink"/>
                  <w:b/>
                </w:rPr>
                <w:t>PLAN OF DISTRIBUTION</w:t>
              </w:r>
            </w:hyperlink>
          </w:p>
        </w:tc>
        <w:tc>
          <w:tcPr>
            <w:tcW w:w="275" w:type="dxa"/>
            <w:tcBorders/>
            <w:shd w:fill="CCEEFF" w:val="clear"/>
            <w:vAlign w:val="center"/>
          </w:tcPr>
          <w:p>
            <w:pPr>
              <w:pStyle w:val="TableContents"/>
              <w:bidi w:val="0"/>
              <w:spacing w:before="0" w:after="283"/>
              <w:jc w:val="center"/>
              <w:rPr/>
            </w:pPr>
            <w:r>
              <w:rPr/>
              <w:t>26</w:t>
            </w:r>
          </w:p>
        </w:tc>
      </w:tr>
      <w:tr>
        <w:trPr/>
        <w:tc>
          <w:tcPr>
            <w:tcW w:w="8375" w:type="dxa"/>
            <w:tcBorders/>
            <w:shd w:fill="FFFFFF" w:val="clear"/>
            <w:vAlign w:val="center"/>
          </w:tcPr>
          <w:p>
            <w:pPr>
              <w:pStyle w:val="TableContents"/>
              <w:bidi w:val="0"/>
              <w:spacing w:before="0" w:after="283"/>
              <w:jc w:val="left"/>
              <w:rPr/>
            </w:pPr>
            <w:hyperlink w:anchor="a_022">
              <w:r>
                <w:rPr>
                  <w:rStyle w:val="InternetLink"/>
                  <w:b/>
                </w:rPr>
                <w:t>CERTAIN INCOME TAX CONSIDERATIONS</w:t>
              </w:r>
            </w:hyperlink>
          </w:p>
        </w:tc>
        <w:tc>
          <w:tcPr>
            <w:tcW w:w="275" w:type="dxa"/>
            <w:tcBorders/>
            <w:shd w:fill="FFFFFF" w:val="clear"/>
            <w:vAlign w:val="center"/>
          </w:tcPr>
          <w:p>
            <w:pPr>
              <w:pStyle w:val="TableContents"/>
              <w:bidi w:val="0"/>
              <w:spacing w:before="0" w:after="283"/>
              <w:jc w:val="center"/>
              <w:rPr/>
            </w:pPr>
            <w:r>
              <w:rPr/>
              <w:t>28</w:t>
            </w:r>
          </w:p>
        </w:tc>
      </w:tr>
      <w:tr>
        <w:trPr/>
        <w:tc>
          <w:tcPr>
            <w:tcW w:w="8375" w:type="dxa"/>
            <w:tcBorders/>
            <w:shd w:fill="CCEEFF" w:val="clear"/>
            <w:vAlign w:val="center"/>
          </w:tcPr>
          <w:p>
            <w:pPr>
              <w:pStyle w:val="TableContents"/>
              <w:bidi w:val="0"/>
              <w:spacing w:before="0" w:after="283"/>
              <w:jc w:val="left"/>
              <w:rPr/>
            </w:pPr>
            <w:hyperlink w:anchor="a_023">
              <w:r>
                <w:rPr>
                  <w:rStyle w:val="InternetLink"/>
                  <w:b/>
                </w:rPr>
                <w:t>LEGAL MATTERS</w:t>
              </w:r>
            </w:hyperlink>
          </w:p>
        </w:tc>
        <w:tc>
          <w:tcPr>
            <w:tcW w:w="275" w:type="dxa"/>
            <w:tcBorders/>
            <w:shd w:fill="CCEEFF" w:val="clear"/>
            <w:vAlign w:val="center"/>
          </w:tcPr>
          <w:p>
            <w:pPr>
              <w:pStyle w:val="TableContents"/>
              <w:bidi w:val="0"/>
              <w:spacing w:before="0" w:after="283"/>
              <w:jc w:val="center"/>
              <w:rPr/>
            </w:pPr>
            <w:r>
              <w:rPr/>
              <w:t>28</w:t>
            </w:r>
          </w:p>
        </w:tc>
      </w:tr>
      <w:tr>
        <w:trPr/>
        <w:tc>
          <w:tcPr>
            <w:tcW w:w="8375" w:type="dxa"/>
            <w:tcBorders/>
            <w:shd w:fill="FFFFFF" w:val="clear"/>
            <w:vAlign w:val="center"/>
          </w:tcPr>
          <w:p>
            <w:pPr>
              <w:pStyle w:val="TableContents"/>
              <w:bidi w:val="0"/>
              <w:spacing w:before="0" w:after="283"/>
              <w:jc w:val="left"/>
              <w:rPr/>
            </w:pPr>
            <w:hyperlink w:anchor="a_024">
              <w:r>
                <w:rPr>
                  <w:rStyle w:val="InternetLink"/>
                  <w:b/>
                </w:rPr>
                <w:t>AUDITORS, TRANSFER AGENT AND REGISTRAR</w:t>
              </w:r>
            </w:hyperlink>
          </w:p>
        </w:tc>
        <w:tc>
          <w:tcPr>
            <w:tcW w:w="275" w:type="dxa"/>
            <w:tcBorders/>
            <w:shd w:fill="FFFFFF" w:val="clear"/>
            <w:vAlign w:val="center"/>
          </w:tcPr>
          <w:p>
            <w:pPr>
              <w:pStyle w:val="TableContents"/>
              <w:bidi w:val="0"/>
              <w:spacing w:before="0" w:after="283"/>
              <w:jc w:val="center"/>
              <w:rPr/>
            </w:pPr>
            <w:r>
              <w:rPr/>
              <w:t>28</w:t>
            </w:r>
          </w:p>
        </w:tc>
      </w:tr>
      <w:tr>
        <w:trPr/>
        <w:tc>
          <w:tcPr>
            <w:tcW w:w="8375" w:type="dxa"/>
            <w:tcBorders/>
            <w:shd w:fill="CCEEFF" w:val="clear"/>
            <w:vAlign w:val="center"/>
          </w:tcPr>
          <w:p>
            <w:pPr>
              <w:pStyle w:val="TableContents"/>
              <w:bidi w:val="0"/>
              <w:spacing w:before="0" w:after="283"/>
              <w:jc w:val="left"/>
              <w:rPr/>
            </w:pPr>
            <w:hyperlink w:anchor="a_025">
              <w:r>
                <w:rPr>
                  <w:rStyle w:val="InternetLink"/>
                  <w:b/>
                </w:rPr>
                <w:t>AGENTS FOR SERVICE OF PROCESS</w:t>
              </w:r>
            </w:hyperlink>
          </w:p>
        </w:tc>
        <w:tc>
          <w:tcPr>
            <w:tcW w:w="275" w:type="dxa"/>
            <w:tcBorders/>
            <w:shd w:fill="CCEEFF" w:val="clear"/>
            <w:vAlign w:val="center"/>
          </w:tcPr>
          <w:p>
            <w:pPr>
              <w:pStyle w:val="TableContents"/>
              <w:bidi w:val="0"/>
              <w:spacing w:before="0" w:after="283"/>
              <w:jc w:val="center"/>
              <w:rPr/>
            </w:pPr>
            <w:r>
              <w:rPr/>
              <w:t>28</w:t>
            </w:r>
          </w:p>
        </w:tc>
      </w:tr>
      <w:tr>
        <w:trPr/>
        <w:tc>
          <w:tcPr>
            <w:tcW w:w="8375" w:type="dxa"/>
            <w:tcBorders/>
            <w:shd w:fill="FFFFFF" w:val="clear"/>
            <w:vAlign w:val="center"/>
          </w:tcPr>
          <w:p>
            <w:pPr>
              <w:pStyle w:val="TableContents"/>
              <w:bidi w:val="0"/>
              <w:spacing w:before="0" w:after="283"/>
              <w:jc w:val="left"/>
              <w:rPr/>
            </w:pPr>
            <w:hyperlink w:anchor="a_026">
              <w:r>
                <w:rPr>
                  <w:rStyle w:val="InternetLink"/>
                  <w:b/>
                </w:rPr>
                <w:t>EXEMPTIONS UNDER SECURITIES LAWS</w:t>
              </w:r>
            </w:hyperlink>
          </w:p>
        </w:tc>
        <w:tc>
          <w:tcPr>
            <w:tcW w:w="275" w:type="dxa"/>
            <w:tcBorders/>
            <w:shd w:fill="FFFFFF" w:val="clear"/>
            <w:vAlign w:val="center"/>
          </w:tcPr>
          <w:p>
            <w:pPr>
              <w:pStyle w:val="TableContents"/>
              <w:bidi w:val="0"/>
              <w:spacing w:before="0" w:after="283"/>
              <w:jc w:val="center"/>
              <w:rPr/>
            </w:pPr>
            <w:r>
              <w:rPr/>
              <w:t>29</w:t>
            </w:r>
          </w:p>
        </w:tc>
      </w:tr>
      <w:tr>
        <w:trPr/>
        <w:tc>
          <w:tcPr>
            <w:tcW w:w="8375" w:type="dxa"/>
            <w:tcBorders/>
            <w:shd w:fill="CCEEFF" w:val="clear"/>
            <w:vAlign w:val="center"/>
          </w:tcPr>
          <w:p>
            <w:pPr>
              <w:pStyle w:val="TableContents"/>
              <w:bidi w:val="0"/>
              <w:spacing w:before="0" w:after="283"/>
              <w:jc w:val="left"/>
              <w:rPr/>
            </w:pPr>
            <w:hyperlink w:anchor="a_027">
              <w:r>
                <w:rPr>
                  <w:rStyle w:val="InternetLink"/>
                  <w:b/>
                </w:rPr>
                <w:t>STATUTORY RIGHTS OF WITHDRAWAL AND RESCISSION</w:t>
              </w:r>
            </w:hyperlink>
          </w:p>
        </w:tc>
        <w:tc>
          <w:tcPr>
            <w:tcW w:w="275" w:type="dxa"/>
            <w:tcBorders/>
            <w:shd w:fill="CCEEFF" w:val="clear"/>
            <w:vAlign w:val="center"/>
          </w:tcPr>
          <w:p>
            <w:pPr>
              <w:pStyle w:val="TableContents"/>
              <w:bidi w:val="0"/>
              <w:spacing w:before="0" w:after="283"/>
              <w:jc w:val="center"/>
              <w:rPr/>
            </w:pPr>
            <w:r>
              <w:rPr/>
              <w:t>29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future price of cryptocurrencies, such as Bitcoin and the other types of digital assets which Bitfarms and its subsidiaries may mine, hold and trade;</w:t>
            </w:r>
          </w:p>
        </w:tc>
      </w:tr>
    </w:tbl>
    <w:p>
      <w:pPr>
        <w:pStyle w:val="TextBody"/>
        <w:bidi w:val="0"/>
        <w:spacing w:before="0" w:after="0"/>
        <w:ind w:left="1920" w:right="0" w:hanging="36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intended use of net proceeds from the sale of its securities;</w:t>
            </w:r>
          </w:p>
        </w:tc>
      </w:tr>
    </w:tbl>
    <w:p>
      <w:pPr>
        <w:pStyle w:val="TextBody"/>
        <w:bidi w:val="0"/>
        <w:spacing w:before="0" w:after="0"/>
        <w:ind w:left="1920" w:right="0" w:hanging="36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securities the Company intends to issue;</w:t>
            </w:r>
          </w:p>
        </w:tc>
      </w:tr>
    </w:tbl>
    <w:p>
      <w:pPr>
        <w:pStyle w:val="TextBody"/>
        <w:bidi w:val="0"/>
        <w:spacing w:before="0" w:after="0"/>
        <w:ind w:left="1920" w:right="0" w:hanging="36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future pricing for services and solutions in the businesses of the Company and its subsidiaries;</w:t>
            </w:r>
          </w:p>
        </w:tc>
      </w:tr>
    </w:tbl>
    <w:p>
      <w:pPr>
        <w:pStyle w:val="TextBody"/>
        <w:bidi w:val="0"/>
        <w:spacing w:before="0" w:after="0"/>
        <w:ind w:left="1920" w:right="0" w:hanging="36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liquidity and market price of the Common Shares;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expectations regarding the sufficiency of its capital resources and requirements for additional capital;</w:t>
            </w:r>
          </w:p>
        </w:tc>
      </w:tr>
    </w:tbl>
    <w:p>
      <w:pPr>
        <w:pStyle w:val="TextBody"/>
        <w:bidi w:val="0"/>
        <w:spacing w:before="0" w:after="0"/>
        <w:ind w:left="1920" w:right="0" w:hanging="360"/>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litigation risks;</w:t>
            </w:r>
          </w:p>
        </w:tc>
      </w:tr>
    </w:tbl>
    <w:p>
      <w:pPr>
        <w:pStyle w:val="TextBody"/>
        <w:bidi w:val="0"/>
        <w:spacing w:before="0" w:after="0"/>
        <w:ind w:left="1920" w:right="0" w:hanging="36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currency fluctuations;</w:t>
            </w:r>
          </w:p>
        </w:tc>
      </w:tr>
    </w:tbl>
    <w:p>
      <w:pPr>
        <w:pStyle w:val="TextBody"/>
        <w:bidi w:val="0"/>
        <w:spacing w:before="0" w:after="0"/>
        <w:ind w:left="1920" w:right="0" w:hanging="36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debt securities;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decrease of the market price of the Common Shares if the Company’s shareholders sell substantial amounts of Common Shares;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future sales or issuances of equity securities diluting voting power and reducing future earnings per share;</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absence of a market through which the Company’s securities, other than Common Shares, may be sold;</w:t>
            </w:r>
          </w:p>
        </w:tc>
      </w:tr>
    </w:tbl>
    <w:p>
      <w:pPr>
        <w:pStyle w:val="TextBody"/>
        <w:bidi w:val="0"/>
        <w:spacing w:before="0" w:after="0"/>
        <w:ind w:left="1920" w:right="0" w:hanging="36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to governmental laws and regulations, including tax regulations; and</w:t>
            </w:r>
          </w:p>
        </w:tc>
      </w:tr>
    </w:tbl>
    <w:p>
      <w:pPr>
        <w:pStyle w:val="TextBody"/>
        <w:bidi w:val="0"/>
        <w:spacing w:before="0" w:after="0"/>
        <w:ind w:left="1920" w:right="0" w:hanging="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rFonts w:ascii="Times New Roman;Times;Serif" w:hAnsi="Times New Roman;Times;Serif"/>
              </w:rPr>
              <w:t>effects of the</w:t>
            </w:r>
            <w:r>
              <w:rPr/>
              <w:t xml:space="preserve"> novel coronavirus (“</w:t>
            </w:r>
            <w:r>
              <w:rPr>
                <w:b/>
              </w:rPr>
              <w:t>COVID-19</w:t>
            </w:r>
            <w:r>
              <w:rPr/>
              <w:t>”) outbreak or other future global pandemics.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t>
      </w:r>
      <w:r>
        <w:rPr>
          <w:rFonts w:ascii="Times New Roman;Times;Serif" w:hAnsi="Times New Roman;Times;Serif"/>
          <w:b w:val="false"/>
          <w:i w:val="false"/>
          <w:caps w:val="false"/>
          <w:smallCaps w:val="false"/>
          <w:sz w:val="20"/>
          <w:u w:val="single"/>
        </w:rPr>
        <w:t>www.sedar.com</w:t>
      </w:r>
      <w:r>
        <w:rPr>
          <w:rFonts w:ascii="Times New Roman;Times;Serif" w:hAnsi="Times New Roman;Times;Serif"/>
          <w:b w:val="false"/>
          <w:i w:val="false"/>
          <w:caps w:val="false"/>
          <w:smallCaps w:val="false"/>
          <w:sz w:val="20"/>
        </w:rPr>
        <w:t xml:space="preserve">) or in the United States through EDGAR at the website of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Other material factors or assumptions that were applied in formulating the forward-looking statements contained herein include or relate to the following:</w:t>
      </w:r>
    </w:p>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and economic conditions affecting the Company’s operations in their current state, including, general levels of economic activity, regulations, taxes and interest rates;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ability to profitably produce the computational power sold to Mining Pools to solve block regards, which may be paid in Bitcoin, U.S. dollars, or other currency;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ability to successfully acquire and maintain required regulatory licenses and qualifications;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historical prices of cryptocurrencies;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emerging cryptocurrency and blockchain markets and sectors;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ability to maintain good business relationships;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ability to manage and integrate acquisitions;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ability to identify, hire and retain key personnel;</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ability to raise sufficient debt or equity financing to support the Company’s continued growth;</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economic dependence on regulated terms of service and electricity rates;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technology, proprietary and non-proprietary software, data and intellectual property of the Company and third parties in the cryptocurrencies and digital asset sector is able to be relied upon to conduct the Company’s business;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does not suffer a material impact or disruption from a cybersecurity incident, cyber-attack or theft of digital assets;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continued maintenance and development of cryptocurrency mining facilities;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continued growth in usage and in the blockchain for various applications;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continued development of a stable public infrastructure, with the necessary speed, data capacity and security required to operate blockchain networks;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absence of adverse regulation or law;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absence of material changes in the legislative, regulatory or operating framework for the Company’s existing and anticipated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pStyle w:val="TextBody"/>
        <w:bidi w:val="0"/>
        <w:spacing w:before="0" w:after="0"/>
        <w:ind w:left="1920" w:right="0" w:hanging="360"/>
        <w:jc w:val="both"/>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BTC Halving Event.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Valuation and Price Volatility of Cryptocurrencies.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 Price Fluctuations.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Future Capital Needs, Uncertainty of Additional Financing and Dilution.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Indebtedness.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Global Financial Conditions.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Possibility of BTC Mining Algorithms Transitioning to Proof of Stake Validation.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Covenants.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Limited Operating History.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438" w:type="dxa"/>
        <w:jc w:val="left"/>
        <w:tblInd w:w="0" w:type="dxa"/>
        <w:tblLayout w:type="fixed"/>
        <w:tblCellMar>
          <w:top w:w="0" w:type="dxa"/>
          <w:left w:w="0" w:type="dxa"/>
          <w:bottom w:w="0" w:type="dxa"/>
          <w:right w:w="0" w:type="dxa"/>
        </w:tblCellMar>
      </w:tblPr>
      <w:tblGrid>
        <w:gridCol w:w="38"/>
        <w:gridCol w:w="17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Retention and Growth.</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Cybersecurity Threats and Hacking.</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Limited History of De-centralized Financial System.</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 Related to Technological Obsolescence and Difficulty in Obtaining Hardware.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Cryptocurrency Network Difficulty and Impact of Increased Global Computing Power.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Economic Dependence on Regulated Terms of Service and Electricity Rates Risks.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Increases in Commodity Prices or Reductions in the Availability of Such Commodities.</w:t>
            </w:r>
          </w:p>
        </w:tc>
      </w:tr>
    </w:tbl>
    <w:p>
      <w:pPr>
        <w:pStyle w:val="TextBody"/>
        <w:bidi w:val="0"/>
        <w:spacing w:before="0" w:after="0"/>
        <w:ind w:left="1920" w:right="0" w:hanging="36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Future Profits/Losses and Production Revenues/Expenses.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Fraud and Failure of Cryptocurrency Exchanges, Custodians and Other Trading Venues.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Political and Regulatory Risk.</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Permits and Licenses.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Server Failures.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Tax Consequences.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Environmental Regulations.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Environmental Liability.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Erroneous Transactions and Human Error.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Facility Developments.</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19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920" w:right="0" w:hanging="36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Insurance risks.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Competition.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Uncertainty of acceptance and/or Widespread Use of Cryptocurrency.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Hazards Associated with High-voltage Electricity Transmission and Industrial Operations.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Adoption of ESG Practices and the Impacts of Climate Change.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Corruption.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 Foreign Corrupt Practices Act and Similar Legislation.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Political Instability.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Third-party Supplier Risks.</w:t>
            </w:r>
          </w:p>
        </w:tc>
      </w:tr>
    </w:tbl>
    <w:p>
      <w:pPr>
        <w:pStyle w:val="TextBody"/>
        <w:bidi w:val="0"/>
        <w:spacing w:before="0" w:after="0"/>
        <w:ind w:left="1920" w:right="0" w:hanging="36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Potential of Bitfarms Being Classified as a Passive Foreign Investment Company.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Pandemic and Infectious Disease Risk (including COVID-19).</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3" w:type="dxa"/>
        <w:jc w:val="left"/>
        <w:tblInd w:w="0" w:type="dxa"/>
        <w:tblLayout w:type="fixed"/>
        <w:tblCellMar>
          <w:top w:w="0" w:type="dxa"/>
          <w:left w:w="0" w:type="dxa"/>
          <w:bottom w:w="0" w:type="dxa"/>
          <w:right w:w="0" w:type="dxa"/>
        </w:tblCellMar>
      </w:tblPr>
      <w:tblGrid>
        <w:gridCol w:w="38"/>
        <w:gridCol w:w="17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Hedges.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on these and other factors is discussed under the heading “</w:t>
      </w:r>
      <w:r>
        <w:rPr>
          <w:rFonts w:ascii="Times New Roman;Times;Serif" w:hAnsi="Times New Roman;Times;Serif"/>
          <w:b/>
          <w:i w:val="false"/>
          <w:caps w:val="false"/>
          <w:smallCaps w:val="false"/>
          <w:sz w:val="20"/>
        </w:rPr>
        <w:t>RISK FACTORS</w:t>
      </w:r>
      <w:r>
        <w:rPr>
          <w:rFonts w:ascii="Times New Roman;Times;Serif" w:hAnsi="Times New Roman;Times;Serif"/>
          <w:b w:val="false"/>
          <w:i w:val="false"/>
          <w:caps w:val="false"/>
          <w:smallCaps w:val="false"/>
          <w:sz w:val="20"/>
        </w:rPr>
        <w:t>” in this prospectus and in the documents incorporated by reference herein including in the 2022 MD&amp;A (as defined herein) under the headings “Financial Instruments and Risks” and “Other Risks” and in the 2022 AIF (as defined herein) under the heading “Risk Factors”, as may be modified or superseded by other subsequently filed documents that are also incorporated or deemed to be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has been incorporated by reference in this short form base shelf prospectus from documents filed with the securities commissions or similar authorities in Canada and filed with, or furnished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may be obtained on request without charge from the Chief Financial Officer of Bitfarms at 18 King St. E, Suite 902, Toronto, ON M5C 1C4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Times New Roman;Times;Serif" w:hAnsi="Times New Roman;Times;Serif"/>
          <w:b/>
          <w:i w:val="false"/>
          <w:caps w:val="false"/>
          <w:smallCaps w:val="false"/>
          <w:sz w:val="20"/>
        </w:rPr>
        <w:t>SEDAR</w:t>
      </w:r>
      <w:r>
        <w:rPr>
          <w:rFonts w:ascii="Times New Roman;Times;Serif" w:hAnsi="Times New Roman;Times;Serif"/>
          <w:b w:val="false"/>
          <w:i w:val="false"/>
          <w:caps w:val="false"/>
          <w:smallCaps w:val="false"/>
          <w:sz w:val="20"/>
        </w:rPr>
        <w:t>”) at www.sedar.com or in the United States through EDGAR at the website of the SEC at www.sec.gov. The filings of the Company available on the Company’s website, SEDAR and EDGAR are not incorporated by reference in this prospectus except as specifically set out 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with the securities commissions or similar regulatory authorities in each of the provinces and territories of Canada, are specifically incorporated by reference into, and form an integral part of, this short form base shelf prospectus:</w:t>
      </w:r>
    </w:p>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annual information form for the year ended December 31, 2022, dated as at March 20, 2023 and filed on March 21, 2023 (the “</w:t>
            </w:r>
            <w:r>
              <w:rPr>
                <w:rFonts w:ascii="Times New Roman;Times;Serif" w:hAnsi="Times New Roman;Times;Serif"/>
                <w:b/>
              </w:rPr>
              <w:t>2022 AIF</w:t>
            </w:r>
            <w:r>
              <w:rPr>
                <w:rFonts w:ascii="Times New Roman;Times;Serif" w:hAnsi="Times New Roman;Times;Serif"/>
              </w:rPr>
              <w: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audited consolidated financial statements as at and for the years ended December 31, 2022 and 2021 the notes thereto and the Report of Independent Registered Public Accounting Firm thereon, filed on March 21, 2023 (the “</w:t>
            </w:r>
            <w:r>
              <w:rPr>
                <w:rFonts w:ascii="Times New Roman;Times;Serif" w:hAnsi="Times New Roman;Times;Serif"/>
                <w:b/>
              </w:rPr>
              <w:t>2022 Annual Financial Statements</w:t>
            </w:r>
            <w:r>
              <w:rPr>
                <w:rFonts w:ascii="Times New Roman;Times;Serif" w:hAnsi="Times New Roman;Times;Serif"/>
              </w:rPr>
              <w: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management’s discussion and analysis for the year ended December 31, 2022, dated as at March 20, 2023 and filed on March 21, 2023 (the “</w:t>
            </w:r>
            <w:r>
              <w:rPr>
                <w:rFonts w:ascii="Times New Roman;Times;Serif" w:hAnsi="Times New Roman;Times;Serif"/>
                <w:b/>
              </w:rPr>
              <w:t>2022 MD&amp;A</w:t>
            </w:r>
            <w:r>
              <w:rPr>
                <w:rFonts w:ascii="Times New Roman;Times;Serif" w:hAnsi="Times New Roman;Times;Serif"/>
              </w:rPr>
              <w: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unaudited interim condensed interim consolidated financial statements as at March 31, 2023 and for the three months ended March 31, 2023 and 2022 and filed on May 15, 2023;</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management’s discussion and analysis for the three months ended March 31, 2023 and 2022 and filed on May 15, 2023 (the “</w:t>
            </w:r>
            <w:r>
              <w:rPr>
                <w:rFonts w:ascii="Times New Roman;Times;Serif" w:hAnsi="Times New Roman;Times;Serif"/>
                <w:b/>
              </w:rPr>
              <w:t>Interim MD&amp;A</w:t>
            </w:r>
            <w:r>
              <w:rPr>
                <w:rFonts w:ascii="Times New Roman;Times;Serif" w:hAnsi="Times New Roman;Times;Serif"/>
              </w:rPr>
              <w: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information circular dated April 4, 2023 with respect to an annual general and special meeting of shareholders (“</w:t>
            </w:r>
            <w:r>
              <w:rPr>
                <w:rFonts w:ascii="Times New Roman;Times;Serif" w:hAnsi="Times New Roman;Times;Serif"/>
                <w:b/>
              </w:rPr>
              <w:t>Shareholders</w:t>
            </w:r>
            <w:r>
              <w:rPr>
                <w:rFonts w:ascii="Times New Roman;Times;Serif" w:hAnsi="Times New Roman;Times;Serif"/>
              </w:rPr>
              <w:t>”) held on May 24, 2023, filed on April 24, 2023;</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January 3, 2023 relating to relating to an update to the Company’s Bitcoin production in the 2022 financial year;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January 13, 2023 relating to the Company’s initiative to modify its equipment loan facility;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February 1, 2023 relating to an update to the Company’s Bitcoin production for the month of January 2023;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February 9, 2023 relating to the modification of the loan agreement with BlockFi Lending LLC;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March 1, 2023 relating to relating to an update to the Company’s Bitcoin production for the month of February 2023;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March 21, 2023 relating to the reporting of its financial performance for the year ended December 31, 2022;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April 3, 2023 relating to relating to an update to the Company’s Bitcoin production for the month of March 2023;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April 11, 2023 relating to the entering into of an agreement to acquire 22 MW of power capacity in Baie-Comeau, Quebec;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April 24, 2023 relating to the receipt of a permit to expand its power capacity up to 100 MW at its Rio Cuarto, Argentina facility;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April 28, 2023 relating to the Company’s achievement of obtaining an aggregate hashrate of 5.0 EH/s;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May 1, 2023 relating to the Company regaining compliance with Nasdaq continued listing requirements;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May 1, 2023 relating to an update to the Company’s Bitcoin production for the month of April 2023;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May 8, 2023 relating to the Company’s achievement of mining 21,000 Bitcoin over its six years of operations;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May 15, 2023 relating to the reporting of the Company’s financial statements for the first quarter of the 2023 financial year;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June 1, 2023 relating to an update to the Company’s Bitcoin production for the month of May 2023;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June 7, 2023 relating to the purchase of 4,660 high performance miners;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material change report dated June 12, 2023 relating to the increase in the Company’s operational hashrate.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documents of the type described in Section 11.1 of Form 44-101F1 Short Form Prospectuses filed by the Company with a securities commission or similar authority in any province or territory of Canada subsequent to the date of this preliminary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such document or information shall also be deemed to be incorporated by reference as an exhibit to the Registration Statement (in the case of a report on Form 6-K, if and to the extent expressly provided in such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from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the Company’s website in any documents that are incorporated by reference into this prospectus do not incorporate by reference the information on such website into this prospectus, and we disclaim any such 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CURRENCY PRESENTATION AND 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low, average and closing rates for the U.S. dollar in terms of Canadian dollars for each of the financial periods indicated below, as quoted by the Bank of Canada, were as follows:</w:t>
      </w:r>
    </w:p>
    <w:p>
      <w:pPr>
        <w:pStyle w:val="TextBody"/>
        <w:bidi w:val="0"/>
        <w:spacing w:before="0" w:after="0"/>
        <w:ind w:left="0" w:right="0" w:hanging="0"/>
        <w:jc w:val="both"/>
        <w:rPr>
          <w:caps w:val="false"/>
          <w:smallCaps w:val="false"/>
        </w:rPr>
      </w:pPr>
      <w:r>
        <w:rPr>
          <w:caps w:val="false"/>
          <w:smallCaps w:val="false"/>
        </w:rPr>
        <w:t> </w:t>
      </w:r>
    </w:p>
    <w:tbl>
      <w:tblPr>
        <w:tblW w:w="7222" w:type="dxa"/>
        <w:jc w:val="left"/>
        <w:tblInd w:w="0" w:type="dxa"/>
        <w:tblLayout w:type="fixed"/>
        <w:tblCellMar>
          <w:top w:w="0" w:type="dxa"/>
          <w:left w:w="0" w:type="dxa"/>
          <w:bottom w:w="0" w:type="dxa"/>
          <w:right w:w="0" w:type="dxa"/>
        </w:tblCellMar>
      </w:tblPr>
      <w:tblGrid>
        <w:gridCol w:w="845"/>
        <w:gridCol w:w="60"/>
        <w:gridCol w:w="141"/>
        <w:gridCol w:w="1603"/>
        <w:gridCol w:w="60"/>
        <w:gridCol w:w="60"/>
        <w:gridCol w:w="141"/>
        <w:gridCol w:w="1603"/>
        <w:gridCol w:w="60"/>
        <w:gridCol w:w="60"/>
        <w:gridCol w:w="98"/>
        <w:gridCol w:w="1121"/>
        <w:gridCol w:w="60"/>
        <w:gridCol w:w="60"/>
        <w:gridCol w:w="95"/>
        <w:gridCol w:w="1080"/>
        <w:gridCol w:w="75"/>
      </w:tblGrid>
      <w:tr>
        <w:trPr/>
        <w:tc>
          <w:tcPr>
            <w:tcW w:w="84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b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4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b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 xml:space="preserve">December 31, </w:t>
              <w:b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w:t>
              <w:br/>
              <w:t>2021</w:t>
            </w:r>
          </w:p>
        </w:tc>
        <w:tc>
          <w:tcPr>
            <w:tcW w:w="75" w:type="dxa"/>
            <w:tcBorders/>
            <w:vAlign w:val="center"/>
          </w:tcPr>
          <w:p>
            <w:pPr>
              <w:pStyle w:val="TableContents"/>
              <w:bidi w:val="0"/>
              <w:spacing w:before="0" w:after="283"/>
              <w:ind w:left="0" w:right="0" w:hanging="180"/>
              <w:jc w:val="center"/>
              <w:rPr/>
            </w:pPr>
            <w:r>
              <w:rPr/>
              <w:t> </w:t>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2" w:type="dxa"/>
            <w:gridSpan w:val="14"/>
            <w:tcBorders>
              <w:bottom w:val="single" w:sz="12" w:space="0" w:color="000000"/>
            </w:tcBorders>
            <w:tcMar>
              <w:bottom w:w="28" w:type="dxa"/>
            </w:tcMar>
            <w:vAlign w:val="center"/>
          </w:tcPr>
          <w:p>
            <w:pPr>
              <w:pStyle w:val="TableContents"/>
              <w:bidi w:val="0"/>
              <w:spacing w:before="0" w:after="283"/>
              <w:jc w:val="center"/>
              <w:rPr/>
            </w:pPr>
            <w:r>
              <w:rPr/>
              <w:t>(expressed in Canadian dollars)</w:t>
            </w:r>
          </w:p>
        </w:tc>
        <w:tc>
          <w:tcPr>
            <w:tcW w:w="75" w:type="dxa"/>
            <w:tcBorders/>
            <w:vAlign w:val="center"/>
          </w:tcPr>
          <w:p>
            <w:pPr>
              <w:pStyle w:val="TableContents"/>
              <w:bidi w:val="0"/>
              <w:spacing w:before="0" w:after="283"/>
              <w:ind w:left="0" w:right="0" w:hanging="180"/>
              <w:jc w:val="left"/>
              <w:rPr/>
            </w:pPr>
            <w:r>
              <w:rPr/>
              <w:t> </w:t>
            </w:r>
          </w:p>
        </w:tc>
      </w:tr>
      <w:tr>
        <w:trPr/>
        <w:tc>
          <w:tcPr>
            <w:tcW w:w="845" w:type="dxa"/>
            <w:tcBorders/>
            <w:shd w:fill="CCEEFF" w:val="clear"/>
            <w:vAlign w:val="center"/>
          </w:tcPr>
          <w:p>
            <w:pPr>
              <w:pStyle w:val="TableContents"/>
              <w:bidi w:val="0"/>
              <w:spacing w:before="0" w:after="283"/>
              <w:jc w:val="left"/>
              <w:rPr/>
            </w:pPr>
            <w:r>
              <w:rPr/>
              <w:t>High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1.3807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1.2867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1.3856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1.2942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5" w:type="dxa"/>
            <w:tcBorders/>
            <w:shd w:fill="FFFFFF" w:val="clear"/>
            <w:vAlign w:val="center"/>
          </w:tcPr>
          <w:p>
            <w:pPr>
              <w:pStyle w:val="TableContents"/>
              <w:bidi w:val="0"/>
              <w:spacing w:before="0" w:after="283"/>
              <w:jc w:val="left"/>
              <w:rPr/>
            </w:pPr>
            <w:r>
              <w:rPr/>
              <w:t>Low</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1.3312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1.2470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1.2451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1.2040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5" w:type="dxa"/>
            <w:tcBorders/>
            <w:shd w:fill="CCEEFF" w:val="clear"/>
            <w:vAlign w:val="center"/>
          </w:tcPr>
          <w:p>
            <w:pPr>
              <w:pStyle w:val="TableContents"/>
              <w:bidi w:val="0"/>
              <w:spacing w:before="0" w:after="283"/>
              <w:jc w:val="left"/>
              <w:rPr/>
            </w:pPr>
            <w:r>
              <w:rPr/>
              <w:t>Average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1.3525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1.2662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1.3013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1.2535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5" w:type="dxa"/>
            <w:tcBorders/>
            <w:shd w:fill="FFFFFF" w:val="clear"/>
            <w:vAlign w:val="center"/>
          </w:tcPr>
          <w:p>
            <w:pPr>
              <w:pStyle w:val="TableContents"/>
              <w:bidi w:val="0"/>
              <w:spacing w:before="0" w:after="283"/>
              <w:jc w:val="left"/>
              <w:rPr/>
            </w:pPr>
            <w:r>
              <w:rPr/>
              <w:t>Closing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1.3533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1.2496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1.3544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1.2678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daily exchange rate for the U.S. dollar in terms of Canadian dollars, as quoted by the Bank of Canada, was $1.00 = C$1.3175.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DOCUMENTS FILED AS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have been, or will be, filed with the SEC as part of the Registration Statement, of which this prospectus forms a part: (1) the documents listed under “</w:t>
      </w:r>
      <w:r>
        <w:rPr>
          <w:rFonts w:ascii="Times New Roman;Times;Serif" w:hAnsi="Times New Roman;Times;Serif"/>
          <w:b w:val="false"/>
          <w:i/>
          <w:caps w:val="false"/>
          <w:smallCaps w:val="false"/>
          <w:sz w:val="20"/>
        </w:rPr>
        <w:t>DOCUMENTS INCORPORATED BY REFERENCE</w:t>
      </w:r>
      <w:r>
        <w:rPr>
          <w:rFonts w:ascii="Times New Roman;Times;Serif" w:hAnsi="Times New Roman;Times;Serif"/>
          <w:b w:val="false"/>
          <w:i w:val="false"/>
          <w:caps w:val="false"/>
          <w:smallCaps w:val="false"/>
          <w:sz w:val="20"/>
        </w:rPr>
        <w:t>”; (2) the consent of PricewaterhouseCoopers LLP; (3) powers of attorney from certain of the Company’s directors and officers; and (4) the forms of senior and subordinated indenture relating to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as well as the documents incorporated by reference into this prospectus and the applicable prospectus supplement,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incorporated under the </w:t>
      </w:r>
      <w:r>
        <w:rPr>
          <w:rFonts w:ascii="Times New Roman;Times;Serif" w:hAnsi="Times New Roman;Times;Serif"/>
          <w:b w:val="false"/>
          <w:i/>
          <w:caps w:val="false"/>
          <w:smallCaps w:val="false"/>
          <w:sz w:val="20"/>
        </w:rPr>
        <w:t>Canada Business Corporations Act</w:t>
      </w:r>
      <w:r>
        <w:rPr>
          <w:rFonts w:ascii="Times New Roman;Times;Serif" w:hAnsi="Times New Roman;Times;Serif"/>
          <w:b w:val="false"/>
          <w:i w:val="false"/>
          <w:caps w:val="false"/>
          <w:smallCaps w:val="false"/>
          <w:sz w:val="20"/>
        </w:rPr>
        <w:t xml:space="preserve"> on October 11, 2018. The Company has its registered and head office located at 18 King St. E, Suite 902, Toronto, ON M5C 1C4. The Company’s Common Shares are listed for trading on the Nasdaq and on the TSX under the trading symbol “BITF”.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principal material subsidiaries of the Company as of the date hereof.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60"/>
        <w:gridCol w:w="60"/>
        <w:gridCol w:w="1247"/>
        <w:gridCol w:w="60"/>
        <w:gridCol w:w="4978"/>
      </w:tblGrid>
      <w:tr>
        <w:trPr/>
        <w:tc>
          <w:tcPr>
            <w:tcW w:w="3860"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vAlign w:val="center"/>
          </w:tcPr>
          <w:p>
            <w:pPr>
              <w:pStyle w:val="TableContents"/>
              <w:bidi w:val="0"/>
              <w:spacing w:before="0" w:after="283"/>
              <w:jc w:val="center"/>
              <w:rPr>
                <w:b/>
              </w:rPr>
            </w:pPr>
            <w:r>
              <w:rPr>
                <w:b/>
              </w:rPr>
              <w:t>Jurisdiction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78" w:type="dxa"/>
            <w:tcBorders>
              <w:bottom w:val="single" w:sz="12" w:space="0" w:color="000000"/>
            </w:tcBorders>
            <w:shd w:fill="FFFFFF" w:val="clear"/>
            <w:vAlign w:val="center"/>
          </w:tcPr>
          <w:p>
            <w:pPr>
              <w:pStyle w:val="TableContents"/>
              <w:bidi w:val="0"/>
              <w:spacing w:before="0" w:after="283"/>
              <w:jc w:val="center"/>
              <w:rPr>
                <w:b/>
              </w:rPr>
            </w:pPr>
            <w:r>
              <w:rPr>
                <w:b/>
              </w:rPr>
              <w:t>Assets Held</w:t>
            </w:r>
          </w:p>
        </w:tc>
      </w:tr>
      <w:tr>
        <w:trPr/>
        <w:tc>
          <w:tcPr>
            <w:tcW w:w="3860" w:type="dxa"/>
            <w:tcBorders/>
            <w:shd w:fill="CCEEFF" w:val="clear"/>
            <w:tcMar>
              <w:bottom w:w="0" w:type="dxa"/>
            </w:tcMar>
            <w:vAlign w:val="center"/>
          </w:tcPr>
          <w:p>
            <w:pPr>
              <w:pStyle w:val="TableContents"/>
              <w:bidi w:val="0"/>
              <w:spacing w:before="0" w:after="283"/>
              <w:jc w:val="left"/>
              <w:rPr/>
            </w:pPr>
            <w:r>
              <w:rPr/>
              <w:t>Bitfarms Ltd. (Israel)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center"/>
              <w:rPr/>
            </w:pPr>
            <w:r>
              <w:rPr/>
              <w:t>Israel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78" w:type="dxa"/>
            <w:tcBorders/>
            <w:shd w:fill="CCEEFF" w:val="clear"/>
            <w:tcMar>
              <w:bottom w:w="0" w:type="dxa"/>
            </w:tcMar>
            <w:vAlign w:val="center"/>
          </w:tcPr>
          <w:p>
            <w:pPr>
              <w:pStyle w:val="TableContents"/>
              <w:bidi w:val="0"/>
              <w:spacing w:before="0" w:after="283"/>
              <w:jc w:val="left"/>
              <w:rPr/>
            </w:pPr>
            <w:r>
              <w:rPr/>
              <w:t>Holding company</w:t>
            </w:r>
          </w:p>
        </w:tc>
      </w:tr>
      <w:tr>
        <w:trPr/>
        <w:tc>
          <w:tcPr>
            <w:tcW w:w="3860" w:type="dxa"/>
            <w:tcBorders/>
            <w:shd w:fill="FFFFFF" w:val="clear"/>
            <w:tcMar>
              <w:bottom w:w="0" w:type="dxa"/>
            </w:tcMar>
            <w:vAlign w:val="center"/>
          </w:tcPr>
          <w:p>
            <w:pPr>
              <w:pStyle w:val="TableContents"/>
              <w:bidi w:val="0"/>
              <w:spacing w:before="0" w:after="283"/>
              <w:jc w:val="left"/>
              <w:rPr/>
            </w:pPr>
            <w:r>
              <w:rPr/>
              <w:t>Backbone Hosting Solutions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283"/>
              <w:jc w:val="center"/>
              <w:rPr/>
            </w:pPr>
            <w:r>
              <w:rPr/>
              <w:t>Canada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78" w:type="dxa"/>
            <w:tcBorders/>
            <w:shd w:fill="FFFFFF" w:val="clear"/>
            <w:tcMar>
              <w:bottom w:w="0" w:type="dxa"/>
            </w:tcMar>
            <w:vAlign w:val="center"/>
          </w:tcPr>
          <w:p>
            <w:pPr>
              <w:pStyle w:val="TableContents"/>
              <w:bidi w:val="0"/>
              <w:spacing w:before="0" w:after="283"/>
              <w:jc w:val="left"/>
              <w:rPr/>
            </w:pPr>
            <w:r>
              <w:rPr/>
              <w:t>Computer equipment, cryptocurrency</w:t>
            </w:r>
          </w:p>
        </w:tc>
      </w:tr>
      <w:tr>
        <w:trPr/>
        <w:tc>
          <w:tcPr>
            <w:tcW w:w="3860" w:type="dxa"/>
            <w:tcBorders/>
            <w:shd w:fill="CCEEFF" w:val="clear"/>
            <w:tcMar>
              <w:bottom w:w="0" w:type="dxa"/>
            </w:tcMar>
            <w:vAlign w:val="center"/>
          </w:tcPr>
          <w:p>
            <w:pPr>
              <w:pStyle w:val="TableContents"/>
              <w:bidi w:val="0"/>
              <w:spacing w:before="0" w:after="283"/>
              <w:jc w:val="left"/>
              <w:rPr/>
            </w:pPr>
            <w:r>
              <w:rPr/>
              <w:t>Backbone Hosting Solutions SAU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center"/>
              <w:rPr/>
            </w:pPr>
            <w:r>
              <w:rPr/>
              <w:t>Argentina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78" w:type="dxa"/>
            <w:tcBorders/>
            <w:shd w:fill="CCEEFF" w:val="clear"/>
            <w:tcMar>
              <w:bottom w:w="0" w:type="dxa"/>
            </w:tcMar>
            <w:vAlign w:val="center"/>
          </w:tcPr>
          <w:p>
            <w:pPr>
              <w:pStyle w:val="TableContents"/>
              <w:bidi w:val="0"/>
              <w:spacing w:before="0" w:after="283"/>
              <w:jc w:val="left"/>
              <w:rPr/>
            </w:pPr>
            <w:r>
              <w:rPr/>
              <w:t>Computer equipment</w:t>
            </w:r>
          </w:p>
        </w:tc>
      </w:tr>
      <w:tr>
        <w:trPr/>
        <w:tc>
          <w:tcPr>
            <w:tcW w:w="3860" w:type="dxa"/>
            <w:tcBorders/>
            <w:shd w:fill="FFFFFF" w:val="clear"/>
            <w:tcMar>
              <w:bottom w:w="0" w:type="dxa"/>
            </w:tcMar>
            <w:vAlign w:val="center"/>
          </w:tcPr>
          <w:p>
            <w:pPr>
              <w:pStyle w:val="TableContents"/>
              <w:bidi w:val="0"/>
              <w:spacing w:before="0" w:after="283"/>
              <w:jc w:val="left"/>
              <w:rPr/>
            </w:pPr>
            <w:r>
              <w:rPr/>
              <w:t>Backbone Hosting Solutions Paraguay SA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283"/>
              <w:jc w:val="center"/>
              <w:rPr/>
            </w:pPr>
            <w:r>
              <w:rPr/>
              <w:t>Paraguay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78" w:type="dxa"/>
            <w:tcBorders/>
            <w:shd w:fill="FFFFFF" w:val="clear"/>
            <w:tcMar>
              <w:bottom w:w="0" w:type="dxa"/>
            </w:tcMar>
            <w:vAlign w:val="center"/>
          </w:tcPr>
          <w:p>
            <w:pPr>
              <w:pStyle w:val="TableContents"/>
              <w:bidi w:val="0"/>
              <w:spacing w:before="0" w:after="283"/>
              <w:jc w:val="left"/>
              <w:rPr/>
            </w:pPr>
            <w:r>
              <w:rPr/>
              <w:t>Computer equipment</w:t>
            </w:r>
          </w:p>
        </w:tc>
      </w:tr>
      <w:tr>
        <w:trPr/>
        <w:tc>
          <w:tcPr>
            <w:tcW w:w="3860" w:type="dxa"/>
            <w:tcBorders/>
            <w:shd w:fill="CCEEFF" w:val="clear"/>
            <w:tcMar>
              <w:bottom w:w="0" w:type="dxa"/>
            </w:tcMar>
            <w:vAlign w:val="center"/>
          </w:tcPr>
          <w:p>
            <w:pPr>
              <w:pStyle w:val="TableContents"/>
              <w:bidi w:val="0"/>
              <w:spacing w:before="0" w:after="283"/>
              <w:jc w:val="left"/>
              <w:rPr/>
            </w:pPr>
            <w:r>
              <w:rPr/>
              <w:t>Backbone Mining Solutions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center"/>
              <w:rPr/>
            </w:pPr>
            <w:r>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78" w:type="dxa"/>
            <w:tcBorders/>
            <w:shd w:fill="CCEEFF" w:val="clear"/>
            <w:tcMar>
              <w:bottom w:w="0" w:type="dxa"/>
            </w:tcMar>
            <w:vAlign w:val="center"/>
          </w:tcPr>
          <w:p>
            <w:pPr>
              <w:pStyle w:val="TableContents"/>
              <w:bidi w:val="0"/>
              <w:spacing w:before="0" w:after="283"/>
              <w:jc w:val="left"/>
              <w:rPr/>
            </w:pPr>
            <w:r>
              <w:rPr/>
              <w:t>Computer equipment</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9159-9290 Québec Inc. (operating under the name “Volta Électronique Inc.”)(“</w:t>
            </w:r>
            <w:r>
              <w:rPr>
                <w:b/>
                <w:sz w:val="20"/>
              </w:rPr>
              <w:t>Volta</w:t>
            </w: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283"/>
              <w:jc w:val="center"/>
              <w:rPr/>
            </w:pPr>
            <w:r>
              <w:rPr/>
              <w:t>Quebec</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78" w:type="dxa"/>
            <w:tcBorders/>
            <w:shd w:fill="FFFFFF" w:val="clear"/>
            <w:tcMar>
              <w:bottom w:w="0" w:type="dxa"/>
            </w:tcMar>
            <w:vAlign w:val="center"/>
          </w:tcPr>
          <w:p>
            <w:pPr>
              <w:pStyle w:val="TableContents"/>
              <w:bidi w:val="0"/>
              <w:spacing w:before="0" w:after="283"/>
              <w:jc w:val="left"/>
              <w:rPr/>
            </w:pPr>
            <w:r>
              <w:rPr/>
              <w:t>Provides professional electrical services to Backbone Hosting Solutions Inc. and outside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Description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business is the mining of cryptocurrency. Through its subsidiaries, the Company owns and operates server farms, composed of computers (referred to as “</w:t>
      </w:r>
      <w:r>
        <w:rPr>
          <w:rFonts w:ascii="Times New Roman;Times;Serif" w:hAnsi="Times New Roman;Times;Serif"/>
          <w:b/>
          <w:i w:val="false"/>
          <w:caps w:val="false"/>
          <w:smallCaps w:val="false"/>
          <w:sz w:val="20"/>
        </w:rPr>
        <w:t>Miners</w:t>
      </w:r>
      <w:r>
        <w:rPr>
          <w:rFonts w:ascii="Times New Roman;Times;Serif" w:hAnsi="Times New Roman;Times;Serif"/>
          <w:b w:val="false"/>
          <w:i w:val="false"/>
          <w:caps w:val="false"/>
          <w:smallCaps w:val="false"/>
          <w:sz w:val="20"/>
        </w:rPr>
        <w:t>”) designed for the purpose of validating transactions on the Bitcoin Blockchain (referred to as “</w:t>
      </w:r>
      <w:r>
        <w:rPr>
          <w:rFonts w:ascii="Times New Roman;Times;Serif" w:hAnsi="Times New Roman;Times;Serif"/>
          <w:b/>
          <w:i w:val="false"/>
          <w:caps w:val="false"/>
          <w:smallCaps w:val="false"/>
          <w:sz w:val="20"/>
        </w:rPr>
        <w:t>Mining</w:t>
      </w:r>
      <w:r>
        <w:rPr>
          <w:rFonts w:ascii="Times New Roman;Times;Serif" w:hAnsi="Times New Roman;Times;Serif"/>
          <w:b w:val="false"/>
          <w:i w:val="false"/>
          <w:caps w:val="false"/>
          <w:smallCaps w:val="false"/>
          <w:sz w:val="20"/>
        </w:rPr>
        <w:t>”). Bitfarms generally operates Miners 24 hours a day producing computational power (measured by hashrate) which it sells to Mining Pools (as defined herein), for a formula-driven rate commonly known in the industry as Full Pay Per Share (“</w:t>
      </w:r>
      <w:r>
        <w:rPr>
          <w:rFonts w:ascii="Times New Roman;Times;Serif" w:hAnsi="Times New Roman;Times;Serif"/>
          <w:b/>
          <w:i w:val="false"/>
          <w:caps w:val="false"/>
          <w:smallCaps w:val="false"/>
          <w:sz w:val="20"/>
        </w:rPr>
        <w:t>FPPS</w:t>
      </w:r>
      <w:r>
        <w:rPr>
          <w:rFonts w:ascii="Times New Roman;Times;Serif" w:hAnsi="Times New Roman;Times;Serif"/>
          <w:b w:val="false"/>
          <w:i w:val="false"/>
          <w:caps w:val="false"/>
          <w:smallCaps w:val="false"/>
          <w:sz w:val="20"/>
        </w:rPr>
        <w:t>”).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Mining Pools generate revenue by Mining with purchased hashrate through the accumulation of block rewards and transaction fees issued by the BTC network. Mining Pools are purchasing hashrate and take on risk with the aim to mine more blocks than they should in a given time period in pursuit of profit. See the 2022 AIF under the heading “</w:t>
      </w:r>
      <w:r>
        <w:rPr>
          <w:rFonts w:ascii="Times New Roman;Times;Serif" w:hAnsi="Times New Roman;Times;Serif"/>
          <w:b w:val="false"/>
          <w:i/>
          <w:caps w:val="false"/>
          <w:smallCaps w:val="false"/>
          <w:sz w:val="20"/>
        </w:rPr>
        <w:t>DESCRIPTION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description of the business of the Company in this short form base shelf prospectus: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Bitcoin</w:t>
      </w:r>
      <w:r>
        <w:rPr>
          <w:rFonts w:ascii="Times New Roman;Times;Serif" w:hAnsi="Times New Roman;Times;Serif"/>
          <w:b w:val="false"/>
          <w:i w:val="false"/>
          <w:caps w:val="false"/>
          <w:smallCaps w:val="false"/>
          <w:sz w:val="20"/>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 Reward”</w:t>
      </w:r>
      <w:r>
        <w:rPr>
          <w:rFonts w:ascii="Times New Roman;Times;Serif" w:hAnsi="Times New Roman;Times;Serif"/>
          <w:b w:val="false"/>
          <w:i w:val="false"/>
          <w:caps w:val="false"/>
          <w:smallCaps w:val="false"/>
          <w:sz w:val="20"/>
        </w:rPr>
        <w:t xml:space="preserve"> shall refer to the new bitcoins that are awarded by the Blockchain network to eligible cryptocurrency Miners for each block they successfully mine. The current block reward is 6.25 Bitcoin per block;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Blockchain”</w:t>
      </w:r>
      <w:r>
        <w:rPr>
          <w:rFonts w:ascii="Times New Roman;Times;Serif" w:hAnsi="Times New Roman;Times;Serif"/>
          <w:b w:val="false"/>
          <w:i w:val="false"/>
          <w:caps w:val="false"/>
          <w:smallCaps w:val="false"/>
          <w:sz w:val="20"/>
        </w:rPr>
        <w:t xml:space="preserve"> shall refer to a cloud-based public ledger that exists on computers that participate on the network globally. The Blockchain grows 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Hash”</w:t>
      </w:r>
      <w:r>
        <w:rPr>
          <w:rFonts w:ascii="Times New Roman;Times;Serif" w:hAnsi="Times New Roman;Times;Serif"/>
          <w:b w:val="false"/>
          <w:i w:val="false"/>
          <w:caps w:val="false"/>
          <w:smallCaps w:val="false"/>
          <w:sz w:val="20"/>
        </w:rPr>
        <w:t xml:space="preserve"> shall refer to a function that converts or maps an input of letters and numbers into an encrypted output of a fixed length, which outputs are often referred to as hashes. A hash is created using an algorithm. The algorithm used in the validation of Bitcoin transactions is the SHA-256 algorithm.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Hashrate”</w:t>
      </w:r>
      <w:r>
        <w:rPr>
          <w:rFonts w:ascii="Times New Roman;Times;Serif" w:hAnsi="Times New Roman;Times;Serif"/>
          <w:b w:val="false"/>
          <w:i w:val="false"/>
          <w:caps w:val="false"/>
          <w:smallCaps w:val="false"/>
          <w:sz w:val="20"/>
        </w:rPr>
        <w:t xml:space="preserve"> shall refer to the number of hash operations performed per second and is a measure of computing power in Mining cryptocurrency;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Mining Pool</w:t>
      </w:r>
      <w:r>
        <w:rPr>
          <w:rFonts w:ascii="Times New Roman;Times;Serif" w:hAnsi="Times New Roman;Times;Serif"/>
          <w:b w:val="false"/>
          <w:i w:val="false"/>
          <w:caps w:val="false"/>
          <w:smallCaps w:val="false"/>
          <w:sz w:val="20"/>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MW</w:t>
      </w:r>
      <w:r>
        <w:rPr>
          <w:rFonts w:ascii="Times New Roman;Times;Serif" w:hAnsi="Times New Roman;Times;Serif"/>
          <w:b w:val="false"/>
          <w:i w:val="false"/>
          <w:caps w:val="false"/>
          <w:smallCaps w:val="false"/>
          <w:sz w:val="20"/>
        </w:rPr>
        <w:t>” shall refer to a megawatt, which is 1,000 kilowatts of electricity and, in the industry of cryptocurrency mining, is typically a reference to the number of megawatts of electricity that is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2021, the Company routinely exchanged cryptocurrencies mined into U.S. dollars through reputable cryptocurrency trading platforms. At the beginning of Fiscal 2021, the Company implemented the Digital Asset Management Program under which the Company decided how many mined Bitcoin would be held by the Company through its custodians. See the 2022 AIF under the heading “</w:t>
      </w:r>
      <w:r>
        <w:rPr>
          <w:rFonts w:ascii="Times New Roman;Times;Serif" w:hAnsi="Times New Roman;Times;Serif"/>
          <w:b w:val="false"/>
          <w:i/>
          <w:caps w:val="false"/>
          <w:smallCaps w:val="false"/>
          <w:sz w:val="20"/>
        </w:rPr>
        <w:t>DESCRIPTION OF BUSINESS - Principal Market Overview – Digital Asset Management Program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14, 2023, Bitfarms operates ten total server farms around the world. Seven server farm facilities are located in Québec, Canada, with electrical infrastructure capacity of 148 MW for Mining Bitcoin; one server farm facility is located in Washington State, United States, with operational electrical infrastructure capacity of 20 MW and expansion opportunities up to 24 MW; one server farm facility is located in Villarrica, Paraguay, with electrical infrastructure capacity of 10 MW; and one server farm facility is located in Argentina, with current operational electrical infrastructure capacity of 50 MW, of which 29 MW are currently operating. The Company has contracts securing an aggregate of 158 MW, 10 MW and 24 MW of hydro-electric green energy in Quebec, Paraguay, and Washington, respectively, and up to 210 MW of natural gas energy in Argentina.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2022 and is continually being updated to enhance its features and improve its functionality. The revised system is referred to as MGMT-2.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Volta provides electrician services to both commercial and residential customers in Québec, while assisting Bitfarms in building and maintaining its server farms in Quebec.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working capital of the Company at May 31, 2023 is approximately $29 million. In 2021, 2022 and the first five months of 2023, the Company raised capital through the issuance of common shares through its at-the-market equity offering program which commenced on August 16, 2021. The decrease in the Company’s working capital through 2022 is attributable primarily to a decrease in the price of Bitcoin relative to prior years, the Company holding fewer Bitcoins, and the spending of capital on property, plant and equipment acquisitions for the Company’s several expansions, which increased the Company’s hashrate to 5.3 EH/s in June 2023. As of the date hereof, the Company holds over 525 Bitcoins.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operating expenditures are estimated to approximate $139.2 million for the next 12 months, or about $11.6 million per month based on approximately $7.6 million per month for energy costs of the Company’s infrastructure that is estimated to reach 159 MW in Quebec, 20 MW in Washington State, 10 MW in Paraguay and 50 MW in Argentina at the blended contractual energy price of approximately $0.045 USD/KwH or less, facilities expense of approximately $0.5 million per month, cash compensation expense of approximately $1.7 million per month and the balance for recurring professional fees and other ongoing general and administrative expenses of approximately $1.8 million per month. Offsetting the impact to the Company’s working capital of the cash operating expenditures are the generation of Bitcoin from operations. In the most recently completed month, May 2023, the Company generated 459 Bitcoin with a value of approximately $12.6 million based on an average price of $27,600 during the month. The Company’s existing operations are contributing positively to the Company’s working capital position and will allow it to continue operations for the foreseeable future under current Bitcoin price and difficulty conditions. As described under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the Company’s planned capital expenditures, including acquisitions, over the next 18 months are anticipated to be approximately $100 million to $300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Times New Roman;Times;Serif" w:hAnsi="Times New Roman;Times;Serif"/>
          <w:b w:val="false"/>
          <w:i/>
          <w:caps w:val="false"/>
          <w:smallCaps w:val="false"/>
          <w:sz w:val="20"/>
        </w:rPr>
        <w:t>USE OF PROCEEDS – Business Objectives and Milestones”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Company has raised net proceeds of approximately $54.1 million and $22.9 million in the 2022 financial year and the first five months of 2023, respectively, through the issuance of common shares through its at-the-market equity offering program. The Company may be able to raise an additional approximately $80.5 million from the exercise of outstanding warrants to purchase Common Shares. In addition to the foregoing and the proceeds of any financing pursuant to this prospectus, the Company may utilize debt facilities from existing and new lenders to the Company as well as borrowing against, or if necessary, liquidating, its Bitcoin inventory. Liquidating or borrowing against the Company’s Bitcoin inventory is not anticipated to impact the Company’s operating activities and its revenue stream from ongoing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detailed information regarding the business of the Company as well as its mining operations can be found in the 2022 AIF under the heading “</w:t>
      </w:r>
      <w:r>
        <w:rPr>
          <w:rFonts w:ascii="Times New Roman;Times;Serif" w:hAnsi="Times New Roman;Times;Serif"/>
          <w:b w:val="false"/>
          <w:i/>
          <w:caps w:val="false"/>
          <w:smallCaps w:val="false"/>
          <w:sz w:val="20"/>
        </w:rPr>
        <w:t>DESCRIPTION OF THE BUSINESS – Description of the Busines</w:t>
      </w:r>
      <w:r>
        <w:rPr>
          <w:rFonts w:ascii="Times New Roman;Times;Serif" w:hAnsi="Times New Roman;Times;Serif"/>
          <w:b w:val="false"/>
          <w:i w:val="false"/>
          <w:caps w:val="false"/>
          <w:smallCaps w:val="false"/>
          <w:sz w:val="20"/>
        </w:rPr>
        <w:t>s”, the 2022 MD&amp;A and the Interim MD&amp;A, all of which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Custody of Cryptocurrency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cryptocurrency assets, currently Bitcoin, are mined to multi-signature wallets that the Company controls or directly to an external third-party custodian. On a regular basis, the Company transfers Bitcoin from its multi-signature wallets to an external third-party custodian, Coinbase Trust Company, LLC (“</w:t>
      </w:r>
      <w:r>
        <w:rPr>
          <w:rFonts w:ascii="Times New Roman;Times;Serif" w:hAnsi="Times New Roman;Times;Serif"/>
          <w:b/>
          <w:i w:val="false"/>
          <w:caps w:val="false"/>
          <w:smallCaps w:val="false"/>
          <w:sz w:val="20"/>
        </w:rPr>
        <w:t>Coinbase Custody</w:t>
      </w:r>
      <w:r>
        <w:rPr>
          <w:rFonts w:ascii="Times New Roman;Times;Serif" w:hAnsi="Times New Roman;Times;Serif"/>
          <w:b w:val="false"/>
          <w:i w:val="false"/>
          <w:caps w:val="false"/>
          <w:smallCaps w:val="false"/>
          <w:sz w:val="20"/>
        </w:rPr>
        <w:t>”). Coinbase Custody is a US-based fiduciary and qualified custodian under New York Banking Law, is licensed by the State of New York to custody digital assets and regulated by the New York State Department of Financial Services. Currently, Coinbase Custody provides only custodial services to the Company and does not use a sub-custodian. Coinbase Custody is not a related party to the Company. Coinbase Custody is a fiduciary under § 100 of the New York Banking Law and is licensed to custody its clients’ digital assets in trust on their behalf. Coinbase Custody is a qualified custodian for purposes of § 206 (4) -2(d)(6) of the U.S. Investment Advisers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2023, the Company has accumulated 510 BTC, net of BTC sales, valued at $13.9 million on its balance sheet. As of the date of this prospectus, 99% of the Company’s BTC are held in custody with Coinbase Custody or held as collateral within Coinbase Custody by NYDIG, the counterparty to the Company’s equipment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Coinbase Custody maintains an insurance policy of $320 million for its cold storage; however, the Company cannot ensure that the limits of this policy would be available to the Company or, if available, sufficient to make the Company whole for any BTC that are lost or stolen. The Company is unaware of any security breaches involving Coinbase Custody which have resulted in the Company’s cryptocurrency assets being lost or stolen. The Company’s cryptocurrency assets held in custody with Coinbase may not be recoverable in the event of bankruptcy by Coinbase or its affiliates. In its quarterly report on Form 10-Q filed with the U.S. Securities Exchange Commission on May 4, 2023, Coinbase disclosed that, in the event of a bankruptcy, custodially held cryptocurrency assets could be considered to be the property of the bankruptcy estate and that the cryptocurrency assets held in custody could be subject to bankruptcy proceedings with Coinbase Custody’s customers being treated as general unsecured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efforts made by the Company to securely store and safeguard assets, there can be no assurance that cryptocurrency assets will not be defalcated through hacking or other forms of theft.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2021 At-the-Market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entered into an at-the-market offering agreement dated August 16, 2021 (the “ATM Agreement”) with H.C. Wainwright &amp; Co., LLC (“HCW”) as agent, pursuant to which the Company established an at-the-market equity program (the “ATM Program”). Pursuant to the ATM Program, the Company may, at its discretion and from time-to time during the term of the ATM Agreement, sell, through HCW, such number of Common Shares. Sales of Common Shares, if any, through HCW will be made through “at-the-market” issuances, including without limitation, sales made directly on the Nasdaq Stock Market or another trading market for the shares in the United States at the market price prevailing at the time of each sale. In accordance with and to give effect to the terms of the ATM Agreement, the Company expects to file a prospectus supplement in relation to the ATM Program with HCW promptly following final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SECONDARY OFFERING BY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sold under this prospectus by way of a secondary offering by or for the account of Selling Securityholders. The prospectus supplement for or including any offering of Securities by Selling Securityholders will include the following information, to the extent required by applicable securities laws:</w:t>
      </w:r>
    </w:p>
    <w:p>
      <w:pPr>
        <w:pStyle w:val="TextBody"/>
        <w:bidi w:val="0"/>
        <w:spacing w:before="0" w:after="0"/>
        <w:ind w:left="1004" w:right="0" w:hanging="36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name or names of the Selling Securityholders;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or amount of Securities owned, controlled or directed by each Selling Securityholder;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9633" w:type="dxa"/>
        <w:jc w:val="left"/>
        <w:tblInd w:w="0" w:type="dxa"/>
        <w:tblLayout w:type="fixed"/>
        <w:tblCellMar>
          <w:top w:w="0" w:type="dxa"/>
          <w:left w:w="0" w:type="dxa"/>
          <w:bottom w:w="0" w:type="dxa"/>
          <w:right w:w="0" w:type="dxa"/>
        </w:tblCellMar>
      </w:tblPr>
      <w:tblGrid>
        <w:gridCol w:w="38"/>
        <w:gridCol w:w="17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or amount of Securities being distributed for the account of each Selling Securityholder;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or amount of Securities to be owned, controlled or directed by the Selling Securityholders after the distribution and the percentage that number or amount represents of the total number of the Company’s outstanding Securities;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Securities are owned by the Selling Securityholders both of record and beneficially, of record only, or beneficially only;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Selling Securityholder purchased any of the Securities in the 24 months preceding the date of the applicable prospectus supplement, the date or dates the Selling Securityholder acquired the Securities;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Selling Securityholder acquired any of the Securities in the 12 months preceding the date of the applicable prospectus supplement, the cost thereof to the Selling Securityholder in aggregate and on an average-cost-per-security basis;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disclosure required by item 1.11 of Form 41-101F1, and if applicable, the Selling Securityholders will file a non-issuer’s submission to jurisdiction form with the corresponding prospectus supplement;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rFonts w:ascii="Times New Roman;Times;Serif" w:hAnsi="Times New Roman;Times;Serif"/>
              </w:rPr>
              <w:t>all other inform</w:t>
            </w:r>
            <w:r>
              <w:rPr/>
              <w:t>ation that is required to be included in the applicable prospectus supplement.</w:t>
            </w:r>
          </w:p>
        </w:tc>
      </w:tr>
    </w:tbl>
    <w:p>
      <w:pPr>
        <w:pStyle w:val="TextBody"/>
        <w:bidi w:val="0"/>
        <w:spacing w:before="0" w:after="0"/>
        <w:ind w:left="1004" w:right="0" w:hanging="360"/>
        <w:jc w:val="both"/>
        <w:rPr>
          <w:caps w:val="false"/>
          <w:smallCaps w:val="false"/>
        </w:rPr>
      </w:pPr>
      <w:r>
        <w:rPr>
          <w:caps w:val="false"/>
          <w:smallCaps w:val="false"/>
        </w:rPr>
        <w:t> </w:t>
      </w:r>
    </w:p>
    <w:p>
      <w:pPr>
        <w:pStyle w:val="TextBody"/>
        <w:bidi w:val="0"/>
        <w:spacing w:before="0" w:after="0"/>
        <w:ind w:left="1004"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004"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2022 AIF and the 2022 MD&amp;A and annual financial statements, and the related notes. A prospective investor should carefully consider the risk factors set out below along with the other matters set out or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of growth and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internal controls, financial, and management information systems, as well as hire, manage and retain its employees and maintain its corporate culture including technical and operational service standards. There can be no assurance that the Company will be able to manage such growth effectively or that its management, personnel or systems will be adequate to support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Currency Exchange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fluctuations in currency exchange rates which could negatively affect our financial condition and results of operations. In particular, exchange rate fluctuations may affect the costs that the Company incurs in its operations. Cryptocurrencies are generally sold in U.S. dollars and the Company’s costs are incurred principally in Canadian dollars. Certain of the Company’s subsidiaries also conduct day to day operations using Argentine pesos. The appreciation of non-U.S. dollar currencies against the U.S. dollar could increase the cost of Mining in U.S. dollar terms. In addition, the Company holds cash balances in both U.S. dollars and Canadian dollars the values of which are impacted by fluctuations in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Discretion Over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failure by the Company to apply these funds effectively could have a material adverse effect on the business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Absence of a Public Market for Certain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Unsecured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Times New Roman;Times;Serif" w:hAnsi="Times New Roman;Times;Serif"/>
          <w:b w:val="false"/>
          <w:i/>
          <w:caps w:val="false"/>
          <w:smallCaps w:val="false"/>
          <w:sz w:val="20"/>
        </w:rPr>
        <w:t>DESCRIPTION OF DEBT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Changes in Interest Rates on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interest rates will affect the market price or value of any debt securities. The market price or value of any debt securities may decline as prevailing interest rates for comparable debt instruments rise, and the market price may increase as prevailing interest rates for comparable debt instruments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Fluctuations in Foreign Currency Markets on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Price of Common Shares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most of which the Company cannot control and many of which have not necessarily been related to the operating performance, underlying asset values or prospects of such companies. In particular, the trading price of the Common Shares is in many cases directly tied to the price of BTC. Other factors that may impact the trading price of the Common Shares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variations in the Company’s financial results or those of companies that are perceived to be similar to the Company;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actions by the Company or its competitors, such as acquisitions, bankruptcies or restructurings;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additions or departures of key management personnel;</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legal proceedings involving the Company, the cryptocurrency industry, or both;</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legislative or regulatory actions;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market valuations of companies similar to the Company;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prospects of and changes affecting participants in the cryptocurrency industry;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008" w:type="dxa"/>
        <w:jc w:val="left"/>
        <w:tblInd w:w="0" w:type="dxa"/>
        <w:tblLayout w:type="fixed"/>
        <w:tblCellMar>
          <w:top w:w="0" w:type="dxa"/>
          <w:left w:w="0" w:type="dxa"/>
          <w:bottom w:w="0" w:type="dxa"/>
          <w:right w:w="0" w:type="dxa"/>
        </w:tblCellMar>
      </w:tblPr>
      <w:tblGrid>
        <w:gridCol w:w="38"/>
        <w:gridCol w:w="17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actions by the Company’s shareholders;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speculation or reports by the press or investment community with respect to the Company or the cryptocurrency industry in general;</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9393" w:type="dxa"/>
        <w:jc w:val="left"/>
        <w:tblInd w:w="0" w:type="dxa"/>
        <w:tblLayout w:type="fixed"/>
        <w:tblCellMar>
          <w:top w:w="0" w:type="dxa"/>
          <w:left w:w="0" w:type="dxa"/>
          <w:bottom w:w="0" w:type="dxa"/>
          <w:right w:w="0" w:type="dxa"/>
        </w:tblCellMar>
      </w:tblPr>
      <w:tblGrid>
        <w:gridCol w:w="38"/>
        <w:gridCol w:w="17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the pricing or availability of hydro-electricity, natural gas and other sources of energy;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economic, regulatory, market and political conditions;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rFonts w:ascii="Times New Roman;Times;Serif" w:hAnsi="Times New Roman;Times;Serif"/>
              </w:rPr>
              <w:t xml:space="preserve">other </w:t>
            </w:r>
            <w:r>
              <w:rPr/>
              <w:t>risks, uncertainties and factors described in these risk factors.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reduced security analyst and news media coverage. These factors could contribute to lower prices and larger spreads in the bid and ask prices for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39"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a prospectus supplement relating to a particular offering, we currently intend to use the net proceeds from the sale of our securities for general corporate purposes including funding ongoing operations and/or working capital requirements, placing deposits and guarantees as required by energy providers, repaying indebtedness outstanding from time to time, completing acquisitions and mergers to increase mining capacity, expanding existing mining operations and for other corporate purposes as set forth in the prospectus supplement relating to the offering of the securities. The Company will not receive any proceeds from the sale of Securities by any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Times New Roman;Times;Serif" w:hAnsi="Times New Roman;Times;Serif"/>
          <w:b w:val="false"/>
          <w:i/>
          <w:caps w:val="false"/>
          <w:smallCaps w:val="false"/>
          <w:sz w:val="20"/>
        </w:rPr>
        <w:t>Short Form Prospectus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Form 44-101F1</w:t>
      </w:r>
      <w:r>
        <w:rPr>
          <w:rFonts w:ascii="Times New Roman;Times;Serif" w:hAnsi="Times New Roman;Times;Serif"/>
          <w:b w:val="false"/>
          <w:i w:val="false"/>
          <w:caps w:val="false"/>
          <w:smallCaps w:val="false"/>
          <w:sz w:val="20"/>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2022 financial year, the Company had positive annual cash flow from operations. However, the Company expects cash flow from operations to be variable due to the volatile nature of the cryptocurrency markets and price of Bitcoin. In the event the Company experiences negative operating cash flow, the Company, among other actions, may reduce expenses or sell assets, particularly Bitcoin, to generate sufficient cash to meet its obligations as they 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2023, the Company had on hand cash of $24.2 million and 510 Bitcoin with an approximate value of $13.9 million for a total of $38.1 million of cash and cryptocurrency. The Company’s planned capital expenditures over the next 18 months are anticipated to be approximately $100 million to $300 million. The Company expects to use the proceeds raised in offerings under this prospectus to fund the buildout of mining and data centre infrastructure and to procure new Miners to achieve its September 30, 2023, hashrate goal of at least 6.3 Exahash/second at an estimated cost of $20 million. The Company anticipates utilizing proceeds from any offering hereunder over the next 18 months to consummate acquisitions of existing mining operations and to fund the building and upgrading of acquired operations as well as the procurement of new Miners to achieve growth above the Company’s existing Exahash/second goal. Specific use of proceeds could include $9 million for the acquisition and buildout of the 22 MW Baie Comeau opportunity, $15 million to procure Miners to fully utilize the first 50 MW facility in Argentina, up to $11 million for the infrastructure and $35 million for new Miners associated with a second facility of up to 50 MW and up to an additional $100 million for building the infrastructure and procuring new Miners, if the Company elects to do so, for two additional facilities with total mining capacity of an incremental 100 MW, resulting in capacity of up to 200 MW in total in Argentina. The Company may also apply as much as $100 million of proceeds to acquire and expand existing Bitcoin mining facilities in, Canada, the United States, Paraguay and elsewhere in which it is in an exploratory phase, preliminary discussions or advanced negotiations. As part of its operating and financing strategy, the Company plans to continue to retain some or all of the Bitcoin it mines throughout 2023 and 2024. See “</w:t>
      </w:r>
      <w:r>
        <w:rPr>
          <w:rFonts w:ascii="Times New Roman;Times;Serif" w:hAnsi="Times New Roman;Times;Serif"/>
          <w:b w:val="false"/>
          <w:i/>
          <w:caps w:val="false"/>
          <w:smallCaps w:val="false"/>
          <w:sz w:val="20"/>
        </w:rPr>
        <w:t>CONSOLIDATED 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that its existing financial resources, excluding any proceeds raised under this prospectus, will be sufficient to maintain its current level of operations and complete the acquisition of the Baie Comeau power agreement and the buildout of the Baie operations up to 22 MW at an expected cost of approximately $9 million. In order to achieve this business objective, the Company may liquidate or borrow against the Bitcoin that have been accumulated as of the date hereof as well as Bitcoin generated from ongoing operations, which may or may not be possible on commercially attractive terms. The Company has purchase credits with a major Miner manufacturer totaling $20 million at May 31, 2023 that may be applied towards the purchase of new Miners and related equipment, reducing the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RISK FACTORS – Risks Related to the Offering of Securities – Discretion over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Objectives and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objective is to increase shareholder value by expanding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acquiring or establishing new facilities. The extent of the Company’s ability to expand its operations will depend, in part, on its ability to raise funds to finance the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milestones over the next eighteen months and their associated estimated costs set out by the Company as of the date hereof. These milestones may be modified or otherwise change dependent upon, among other things, prevailing market conditions and changing economics of bitcoin mining including the impact of developments in the regulatory environment and respective tax regimes.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Procure and install approximately 6,000 new Miners to fully energize the first 50 MW facility in Argentina from 29 MW currently for estimated total funding, including shipping and transportation costs and import duties, of up to $15 million.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Complete the acquisition of the power purchase agreement and the buildout of up to the full 22 MW capacity in Baie Comeau for $5 million and the procurement and implementation of approximately 6,500 Miners, new and repositioned from other Bitfarms’ facilities, for a total cost of $4 million, including the replacement cost of Miners repositioned from other facilities.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Complete the infrastructure to draw upon an additional 50 MW in Argentina over the next six to twelve months for $11 million, excluding the approximate $6 million already incurred, and procure and install approximately 14,000 new Miners at an estimated cost, including shipping and transportation costs and import duties, of up to $35 million.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rPr>
              <w:t>Continue to pursue and secure expansion opportunities in Canada, the United States, Argentina and Paraguay. The Company estimates that for each additional EH of production capacity, the cost of building infrastructure of the facility will be approximately $200,000 to $400,000 per MW and the cost of new Miners, including shipping and tra</w:t>
            </w:r>
            <w:r>
              <w:rPr/>
              <w:t>nsportation costs and import duties will be approximately $15 million to $22 million. These estimates are based on Miners with a current cost of $15 to $22 per TH, including shipping and transportation costs and import duties.</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Business Objectives and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describes the business objectives and milestones from the short form base shelf prospectus dated August 12, 2021 and the prospectus supplement dated August 16, 2021, the progress of achieving these milestones and a comparison of the proceeds used against the estimated costs.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18"/>
        <w:gridCol w:w="60"/>
        <w:gridCol w:w="3147"/>
        <w:gridCol w:w="60"/>
        <w:gridCol w:w="1334"/>
        <w:gridCol w:w="60"/>
        <w:gridCol w:w="3026"/>
      </w:tblGrid>
      <w:tr>
        <w:trPr/>
        <w:tc>
          <w:tcPr>
            <w:tcW w:w="2518" w:type="dxa"/>
            <w:tcBorders>
              <w:bottom w:val="single" w:sz="12" w:space="0" w:color="000000"/>
            </w:tcBorders>
            <w:shd w:fill="FFFFFF" w:val="clear"/>
            <w:vAlign w:val="center"/>
          </w:tcPr>
          <w:p>
            <w:pPr>
              <w:pStyle w:val="TableContents"/>
              <w:bidi w:val="0"/>
              <w:spacing w:before="0" w:after="283"/>
              <w:jc w:val="center"/>
              <w:rPr>
                <w:b/>
              </w:rPr>
            </w:pPr>
            <w:r>
              <w:rPr>
                <w:b/>
              </w:rPr>
              <w:t>Business Objective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147" w:type="dxa"/>
            <w:tcBorders>
              <w:bottom w:val="single" w:sz="12" w:space="0" w:color="000000"/>
            </w:tcBorders>
            <w:shd w:fill="FFFFFF" w:val="clear"/>
            <w:vAlign w:val="center"/>
          </w:tcPr>
          <w:p>
            <w:pPr>
              <w:pStyle w:val="TableContents"/>
              <w:bidi w:val="0"/>
              <w:spacing w:before="0" w:after="283"/>
              <w:jc w:val="center"/>
              <w:rPr>
                <w:b/>
              </w:rPr>
            </w:pPr>
            <w:r>
              <w:rPr>
                <w:b/>
              </w:rPr>
              <w:t>Status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34" w:type="dxa"/>
            <w:tcBorders>
              <w:bottom w:val="single" w:sz="12" w:space="0" w:color="000000"/>
            </w:tcBorders>
            <w:shd w:fill="FFFFFF" w:val="clear"/>
            <w:vAlign w:val="center"/>
          </w:tcPr>
          <w:p>
            <w:pPr>
              <w:pStyle w:val="TableContents"/>
              <w:bidi w:val="0"/>
              <w:spacing w:before="0" w:after="283"/>
              <w:jc w:val="center"/>
              <w:rPr>
                <w:b/>
              </w:rPr>
            </w:pPr>
            <w:r>
              <w:rPr>
                <w:b/>
              </w:rPr>
              <w:t>Estimated costs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026" w:type="dxa"/>
            <w:tcBorders>
              <w:bottom w:val="single" w:sz="12" w:space="0" w:color="000000"/>
            </w:tcBorders>
            <w:shd w:fill="FFFFFF" w:val="clear"/>
            <w:vAlign w:val="center"/>
          </w:tcPr>
          <w:p>
            <w:pPr>
              <w:pStyle w:val="TableContents"/>
              <w:bidi w:val="0"/>
              <w:spacing w:before="0" w:after="283"/>
              <w:jc w:val="center"/>
              <w:rPr>
                <w:b/>
              </w:rPr>
            </w:pPr>
            <w:r>
              <w:rPr>
                <w:b/>
              </w:rPr>
              <w:t>Proceeds used as of March 31, 2023</w:t>
            </w:r>
          </w:p>
        </w:tc>
      </w:tr>
      <w:tr>
        <w:trPr/>
        <w:tc>
          <w:tcPr>
            <w:tcW w:w="2518" w:type="dxa"/>
            <w:tcBorders/>
            <w:shd w:fill="CCEEFF" w:val="clear"/>
            <w:tcMar>
              <w:bottom w:w="0" w:type="dxa"/>
            </w:tcMar>
            <w:vAlign w:val="center"/>
          </w:tcPr>
          <w:p>
            <w:pPr>
              <w:pStyle w:val="TableContents"/>
              <w:bidi w:val="0"/>
              <w:spacing w:before="0" w:after="283"/>
              <w:jc w:val="left"/>
              <w:rPr/>
            </w:pPr>
            <w:r>
              <w:rPr/>
              <w:t>Buildout of additional 78 MW of electrical infrastructure in Quebec by the first quarter of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7" w:type="dxa"/>
            <w:tcBorders/>
            <w:shd w:fill="CCEEFF" w:val="clear"/>
            <w:tcMar>
              <w:bottom w:w="0" w:type="dxa"/>
            </w:tcMar>
            <w:vAlign w:val="center"/>
          </w:tcPr>
          <w:p>
            <w:pPr>
              <w:pStyle w:val="TableContents"/>
              <w:bidi w:val="0"/>
              <w:spacing w:before="0" w:after="283"/>
              <w:jc w:val="left"/>
              <w:rPr/>
            </w:pPr>
            <w:r>
              <w:rPr/>
              <w:t>Completed in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pPr>
            <w:r>
              <w:rPr/>
              <w:t>$10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26" w:type="dxa"/>
            <w:tcBorders/>
            <w:shd w:fill="CCEEFF" w:val="clear"/>
            <w:tcMar>
              <w:bottom w:w="0" w:type="dxa"/>
            </w:tcMar>
            <w:vAlign w:val="center"/>
          </w:tcPr>
          <w:p>
            <w:pPr>
              <w:pStyle w:val="TableContents"/>
              <w:bidi w:val="0"/>
              <w:spacing w:before="0" w:after="283"/>
              <w:jc w:val="left"/>
              <w:rPr/>
            </w:pPr>
            <w:r>
              <w:rPr/>
              <w:t>A.Cowansville expansion (17 MW): $0.6 million B.Sherbrooke expansion (78 MW): $22.2 million</w:t>
            </w:r>
          </w:p>
        </w:tc>
      </w:tr>
      <w:tr>
        <w:trPr/>
        <w:tc>
          <w:tcPr>
            <w:tcW w:w="25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26" w:type="dxa"/>
            <w:tcBorders/>
            <w:shd w:fill="FFFFFF" w:val="clear"/>
            <w:tcMar>
              <w:bottom w:w="0" w:type="dxa"/>
            </w:tcMar>
            <w:vAlign w:val="center"/>
          </w:tcPr>
          <w:p>
            <w:pPr>
              <w:pStyle w:val="TableContents"/>
              <w:bidi w:val="0"/>
              <w:spacing w:before="0" w:after="283"/>
              <w:jc w:val="left"/>
              <w:rPr/>
            </w:pPr>
            <w:r>
              <w:rPr/>
              <w:t> </w:t>
            </w:r>
          </w:p>
        </w:tc>
      </w:tr>
      <w:tr>
        <w:trPr/>
        <w:tc>
          <w:tcPr>
            <w:tcW w:w="2518" w:type="dxa"/>
            <w:tcBorders/>
            <w:shd w:fill="CCEEFF" w:val="clear"/>
            <w:tcMar>
              <w:bottom w:w="0" w:type="dxa"/>
            </w:tcMar>
            <w:vAlign w:val="center"/>
          </w:tcPr>
          <w:p>
            <w:pPr>
              <w:pStyle w:val="TableContents"/>
              <w:bidi w:val="0"/>
              <w:spacing w:before="0" w:after="283"/>
              <w:jc w:val="left"/>
              <w:rPr/>
            </w:pPr>
            <w:r>
              <w:rPr/>
              <w:t>Acquire mining equipment to achieve 3 EH/s of computing power by the first quarter of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7" w:type="dxa"/>
            <w:tcBorders/>
            <w:shd w:fill="CCEEFF" w:val="clear"/>
            <w:tcMar>
              <w:bottom w:w="0" w:type="dxa"/>
            </w:tcMar>
            <w:vAlign w:val="center"/>
          </w:tcPr>
          <w:p>
            <w:pPr>
              <w:pStyle w:val="TableContents"/>
              <w:bidi w:val="0"/>
              <w:spacing w:before="0" w:after="283"/>
              <w:jc w:val="left"/>
              <w:rPr/>
            </w:pPr>
            <w:r>
              <w:rPr/>
              <w:t>Completed in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pPr>
            <w:r>
              <w:rPr/>
              <w:t>$45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26" w:type="dxa"/>
            <w:tcBorders/>
            <w:shd w:fill="CCEEFF" w:val="clear"/>
            <w:tcMar>
              <w:bottom w:w="0" w:type="dxa"/>
            </w:tcMar>
            <w:vAlign w:val="center"/>
          </w:tcPr>
          <w:p>
            <w:pPr>
              <w:pStyle w:val="TableContents"/>
              <w:bidi w:val="0"/>
              <w:spacing w:before="0" w:after="283"/>
              <w:jc w:val="both"/>
              <w:rPr/>
            </w:pPr>
            <w:r>
              <w:rPr/>
              <w:t>A.MicroBT Miners: $97.8 million B. Bitmain Miners: $24.0 million</w:t>
            </w:r>
          </w:p>
        </w:tc>
      </w:tr>
      <w:tr>
        <w:trPr/>
        <w:tc>
          <w:tcPr>
            <w:tcW w:w="25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26" w:type="dxa"/>
            <w:tcBorders/>
            <w:shd w:fill="FFFFFF" w:val="clear"/>
            <w:tcMar>
              <w:bottom w:w="0" w:type="dxa"/>
            </w:tcMar>
            <w:vAlign w:val="center"/>
          </w:tcPr>
          <w:p>
            <w:pPr>
              <w:pStyle w:val="TableContents"/>
              <w:bidi w:val="0"/>
              <w:spacing w:before="0" w:after="283"/>
              <w:jc w:val="left"/>
              <w:rPr/>
            </w:pPr>
            <w:r>
              <w:rPr/>
              <w:t> </w:t>
            </w:r>
          </w:p>
        </w:tc>
      </w:tr>
      <w:tr>
        <w:trPr/>
        <w:tc>
          <w:tcPr>
            <w:tcW w:w="2518" w:type="dxa"/>
            <w:tcBorders/>
            <w:shd w:fill="CCEEFF" w:val="clear"/>
            <w:tcMar>
              <w:bottom w:w="0" w:type="dxa"/>
            </w:tcMar>
            <w:vAlign w:val="center"/>
          </w:tcPr>
          <w:p>
            <w:pPr>
              <w:pStyle w:val="TableContents"/>
              <w:bidi w:val="0"/>
              <w:spacing w:before="0" w:after="283"/>
              <w:jc w:val="left"/>
              <w:rPr/>
            </w:pPr>
            <w:r>
              <w:rPr/>
              <w:t>Achieve the Company’s target of 8.0 EH/s by the end of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7" w:type="dxa"/>
            <w:tcBorders/>
            <w:shd w:fill="CCEEFF" w:val="clear"/>
            <w:tcMar>
              <w:bottom w:w="0" w:type="dxa"/>
            </w:tcMar>
            <w:vAlign w:val="center"/>
          </w:tcPr>
          <w:p>
            <w:pPr>
              <w:pStyle w:val="TableContents"/>
              <w:bidi w:val="0"/>
              <w:spacing w:before="0" w:after="283"/>
              <w:jc w:val="both"/>
              <w:rPr/>
            </w:pPr>
            <w:r>
              <w:rPr/>
              <w:t>The Company revised this target to reach 6.0 EH/S by September 30, 2023. Without considering any outstanding deposit balances, the Company estimates that it would cost approximately $36 million per additional EH based on a current Miner cost of $26 per 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pPr>
            <w:r>
              <w:rPr/>
              <w:t>Mining equipment: $215 million to $235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26" w:type="dxa"/>
            <w:tcBorders/>
            <w:shd w:fill="CCEEFF" w:val="clear"/>
            <w:tcMar>
              <w:bottom w:w="0" w:type="dxa"/>
            </w:tcMar>
            <w:vAlign w:val="center"/>
          </w:tcPr>
          <w:p>
            <w:pPr>
              <w:pStyle w:val="TableContents"/>
              <w:bidi w:val="0"/>
              <w:spacing w:before="0" w:after="283"/>
              <w:jc w:val="both"/>
              <w:rPr/>
            </w:pPr>
            <w:r>
              <w:rPr/>
              <w:t> </w:t>
            </w:r>
          </w:p>
        </w:tc>
      </w:tr>
      <w:tr>
        <w:trPr/>
        <w:tc>
          <w:tcPr>
            <w:tcW w:w="25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26" w:type="dxa"/>
            <w:tcBorders/>
            <w:shd w:fill="FFFFFF" w:val="clear"/>
            <w:tcMar>
              <w:bottom w:w="0" w:type="dxa"/>
            </w:tcMar>
            <w:vAlign w:val="center"/>
          </w:tcPr>
          <w:p>
            <w:pPr>
              <w:pStyle w:val="TableContents"/>
              <w:bidi w:val="0"/>
              <w:spacing w:before="0" w:after="283"/>
              <w:jc w:val="left"/>
              <w:rPr/>
            </w:pPr>
            <w:r>
              <w:rPr/>
              <w:t> </w:t>
            </w:r>
          </w:p>
        </w:tc>
      </w:tr>
      <w:tr>
        <w:trPr/>
        <w:tc>
          <w:tcPr>
            <w:tcW w:w="2518" w:type="dxa"/>
            <w:tcBorders/>
            <w:shd w:fill="CCEEFF" w:val="clear"/>
            <w:tcMar>
              <w:bottom w:w="0" w:type="dxa"/>
            </w:tcMar>
            <w:vAlign w:val="center"/>
          </w:tcPr>
          <w:p>
            <w:pPr>
              <w:pStyle w:val="TableContents"/>
              <w:bidi w:val="0"/>
              <w:spacing w:before="0" w:after="283"/>
              <w:jc w:val="left"/>
              <w:rPr/>
            </w:pPr>
            <w:r>
              <w:rPr/>
              <w:t>Engage with the Quebec government as well as other governmental and private sector energy suppliers to secure operating sites capable of housing a 50 MW or larger mining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7" w:type="dxa"/>
            <w:tcBorders/>
            <w:shd w:fill="CCEEFF" w:val="clear"/>
            <w:tcMar>
              <w:bottom w:w="0" w:type="dxa"/>
            </w:tcMar>
            <w:vAlign w:val="center"/>
          </w:tcPr>
          <w:p>
            <w:pPr>
              <w:pStyle w:val="TableContents"/>
              <w:bidi w:val="0"/>
              <w:spacing w:before="0" w:after="283"/>
              <w:jc w:val="left"/>
              <w:rPr/>
            </w:pPr>
            <w:r>
              <w:rPr/>
              <w:t>Completed. However, the Company continues to look for opportunities to expand its mining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pPr>
            <w:r>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26" w:type="dxa"/>
            <w:tcBorders/>
            <w:shd w:fill="CCEEFF" w:val="clear"/>
            <w:tcMar>
              <w:bottom w:w="0" w:type="dxa"/>
            </w:tcMar>
            <w:vAlign w:val="center"/>
          </w:tcPr>
          <w:p>
            <w:pPr>
              <w:pStyle w:val="TableContents"/>
              <w:bidi w:val="0"/>
              <w:spacing w:before="0" w:after="283"/>
              <w:jc w:val="left"/>
              <w:rPr/>
            </w:pPr>
            <w:r>
              <w:rPr/>
              <w:t>A.Washington expansion (20 MW): $26.2 million B.Paraguay expansion (10 MW): $3.2 million C.Argentina expansion, net of gain on disposition of marketable securities (first 50 MW warehouse, importation of Miners): $41.4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CONSOLIDATED CAPITALIZATION</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no material changes to the Company’s consolidated capitalization since the date of the Company’s most recently filed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PRIOR SALES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respect of the Company’s Common Shares that we issued within the previous twelve-month period, including Common Shares that we issued upon the exercise of stock options of the Company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will be provided as required in a prospectus supplement with respect to the issuance of securities pursuant to such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TRADING PRICE AND VOLUME</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are listed and posted for trading on the Nasdaq and on the TSX under the symbol “</w:t>
      </w:r>
      <w:r>
        <w:rPr>
          <w:rFonts w:ascii="Times New Roman;Times;Serif" w:hAnsi="Times New Roman;Times;Serif"/>
          <w:b/>
          <w:i w:val="false"/>
          <w:caps w:val="false"/>
          <w:smallCaps w:val="false"/>
          <w:sz w:val="20"/>
        </w:rPr>
        <w:t>BITF</w:t>
      </w:r>
      <w:r>
        <w:rPr>
          <w:rFonts w:ascii="Times New Roman;Times;Serif" w:hAnsi="Times New Roman;Times;Serif"/>
          <w:b w:val="false"/>
          <w:i w:val="false"/>
          <w:caps w:val="false"/>
          <w:smallCaps w:val="false"/>
          <w:sz w:val="20"/>
        </w:rPr>
        <w:t>”. Trading price and volume information for the Company’s securities will be provided as required in each prospectus supplement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EARNINGS COVERAGE</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DESCRIPTION OF SHARE CAPITAL</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of the Company consists of an unlimited number of Common Shares without par value and an unlimited number of preferred shares without par value. As of the date hereof, there are 256,173,000 Common Shares and no preferred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were: (i) 10,995,000 Common Shares issuable upon the exercise of outstanding stock options of the Company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at a weighted average exercise price of C$1.12 and (ii) 19,153,000 Common Shares reserved for issuance on exercise of 19,153,000 issued and outstanding Common Share purchase warrants of the Company with a weighted average exercise price of US$4.21 and (iii) 292,000 RSUs, for a total of 286,613,000 Common Shares on a fully-diluted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Common Shares rank equally as to voting rights, participation in a distribution of the assets of the Company on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privileges, restrictions and conditions attached to the preferred shares of the Company, the holders of the Common Shares are entitled to receive any dividends declared by the Company in respect of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Times New Roman;Times;Serif" w:hAnsi="Times New Roman;Times;Serif"/>
          <w:b w:val="false"/>
          <w:i/>
          <w:caps w:val="false"/>
          <w:smallCaps w:val="false"/>
          <w:sz w:val="20"/>
        </w:rPr>
        <w:t>Canada Business Corporations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of the Company do not give the holders any right to receive notice of or vote at general or special meetings of the Company. As of the date of this prospectus, no preferred shares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DESCRIPTION OF DEBT SECURITIES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describing the debt securities, the terms “Company” and “Bitfarms” refer only to Bitfarms Ltd. without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one or more indentures (each, a “</w:t>
      </w:r>
      <w:r>
        <w:rPr>
          <w:rFonts w:ascii="Times New Roman;Times;Serif" w:hAnsi="Times New Roman;Times;Serif"/>
          <w:b/>
          <w:i w:val="false"/>
          <w:caps w:val="false"/>
          <w:smallCaps w:val="false"/>
          <w:sz w:val="20"/>
        </w:rPr>
        <w:t>Trust Indenture</w:t>
      </w:r>
      <w:r>
        <w:rPr>
          <w:rFonts w:ascii="Times New Roman;Times;Serif" w:hAnsi="Times New Roman;Times;Serif"/>
          <w:b w:val="false"/>
          <w:i w:val="false"/>
          <w:caps w:val="false"/>
          <w:smallCaps w:val="false"/>
          <w:sz w:val="20"/>
        </w:rPr>
        <w:t>”), in each case between the Company and a financial institution or trust company organized under the laws of Canada or any province thereof and authorized to carry on business as a trustee (each, a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prospectus supplement for debt securities supplementing this prospectus will contain the specific terms and other information with respect to the debt securities being offered thereby,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pPr>
            <w:r>
              <w:rPr/>
              <w:t>the designation, aggregate principal amount and authorized denominations of such debt securities;</w:t>
            </w:r>
          </w:p>
        </w:tc>
      </w:tr>
    </w:tbl>
    <w:p>
      <w:pPr>
        <w:pStyle w:val="TextBody"/>
        <w:bidi w:val="0"/>
        <w:spacing w:before="0" w:after="0"/>
        <w:ind w:left="1920" w:right="0" w:hanging="36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the percentage of principal amount at which the debt securities will be issued;</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payment on the debt securities will be senior or subordinated to other liabilities or obligations of the Company;</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place or places the Company will pay principal, premium, if any, and interest, if any, and the place or places where debt securities can be presented for registration of transfer or exchange;</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19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Company will be obligated to redeem or repurchase the debt securities pursuant to any sinking or purchase fund or other provisions, or at the option of a holder, and the terms and conditions of such redemption;</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Company may redeem the debt securities at its option and the terms and conditions of any such redemption;</w:t>
            </w:r>
          </w:p>
        </w:tc>
      </w:tr>
    </w:tbl>
    <w:p>
      <w:pPr>
        <w:pStyle w:val="TextBody"/>
        <w:bidi w:val="0"/>
        <w:spacing w:before="0" w:after="0"/>
        <w:ind w:left="1920" w:right="0" w:hanging="36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t>the denominations in which the Company will issue any registered and unregistered debt securities;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tc>
      </w:tr>
    </w:tbl>
    <w:p>
      <w:pPr>
        <w:pStyle w:val="TextBody"/>
        <w:bidi w:val="0"/>
        <w:spacing w:before="0" w:after="0"/>
        <w:ind w:left="1920" w:right="0" w:hanging="360"/>
        <w:jc w:val="both"/>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pPr>
            <w:r>
              <w:rPr/>
              <w:t>whether payments on the debt securities will be payable with reference to any index or formula;</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securities will be issued as global securities (defined below) and, if so, the identity of the depositary (defined below) for the global securities;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securities will be issued as unregistered securities (with or without coupons), registered securities or both;</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periods within which and the terms and conditions, if any, upon which the Company may redeem the debt securities prior to maturity and the price or prices of which, and the currency or currency units in which, the debt securities are payable;</w:t>
            </w:r>
          </w:p>
        </w:tc>
      </w:tr>
    </w:tbl>
    <w:p>
      <w:pPr>
        <w:pStyle w:val="TextBody"/>
        <w:bidi w:val="0"/>
        <w:spacing w:before="0" w:after="0"/>
        <w:ind w:left="1920" w:right="0" w:hanging="36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pPr>
            <w:r>
              <w:rPr/>
              <w:t>any events of default or covenants applicable to the debt securities;</w:t>
            </w:r>
          </w:p>
        </w:tc>
      </w:tr>
    </w:tbl>
    <w:p>
      <w:pPr>
        <w:pStyle w:val="TextBody"/>
        <w:bidi w:val="0"/>
        <w:spacing w:before="0" w:after="0"/>
        <w:ind w:left="1920" w:right="0" w:hanging="360"/>
        <w:jc w:val="both"/>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38"/>
        <w:gridCol w:w="170"/>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pPr>
            <w:r>
              <w:rPr/>
              <w:t>any terms under which debt securities may be defeased, whether at or prior to maturity;</w:t>
            </w:r>
          </w:p>
        </w:tc>
      </w:tr>
    </w:tbl>
    <w:p>
      <w:pPr>
        <w:pStyle w:val="TextBody"/>
        <w:bidi w:val="0"/>
        <w:spacing w:before="0" w:after="0"/>
        <w:ind w:left="1920" w:right="0" w:hanging="36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whether the holders of any series of debt securities have special rights if specified events occur;</w:t>
            </w:r>
          </w:p>
        </w:tc>
      </w:tr>
    </w:tbl>
    <w:p>
      <w:pPr>
        <w:pStyle w:val="TextBody"/>
        <w:bidi w:val="0"/>
        <w:spacing w:before="0" w:after="0"/>
        <w:ind w:left="1920" w:right="0" w:hanging="36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any mandatory or optional redemption or sinking fund or analogous provisions;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if any, for any conversion or exchange of the debt securities for any other securities of the Company;</w:t>
            </w:r>
          </w:p>
        </w:tc>
      </w:tr>
    </w:tbl>
    <w:p>
      <w:pPr>
        <w:pStyle w:val="TextBody"/>
        <w:bidi w:val="0"/>
        <w:spacing w:before="0" w:after="0"/>
        <w:ind w:left="1920" w:right="0" w:hanging="36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pPr>
            <w:r>
              <w:rPr/>
              <w:t>if applicable, any transfer restrictions in respect of Disqualified Holders or otherwise;</w:t>
            </w:r>
          </w:p>
        </w:tc>
      </w:tr>
    </w:tbl>
    <w:p>
      <w:pPr>
        <w:pStyle w:val="TextBody"/>
        <w:bidi w:val="0"/>
        <w:spacing w:before="0" w:after="0"/>
        <w:ind w:left="1920" w:right="0" w:hanging="36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rights, if any, on a change of control;</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provisions as to modification, amendment or variation of any rights or terms attaching to the debt securities;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Trustee under the Trust Indenture pursuant to which the debt securities are to be issued; whether the Company will undertake to list the debt securities of the series on any securities exchange or automated interdealer quotation system; and</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debt securities bearing no interest or interest at a rate below the prevailing market rate at the time of issuance, and offer and sell these securities at a discount below their stated principal amount.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 xml:space="preserve">(Ontario), and is in addition to any other right or remedy available to original purchasers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(Ontario) or otherwise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 and Other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rateably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rateably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Securities in Book Entry Form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debt securities of any series may be issued in whole or in part in the form of one or more global securities (“</w:t>
      </w:r>
      <w:r>
        <w:rPr>
          <w:rFonts w:ascii="Times New Roman;Times;Serif" w:hAnsi="Times New Roman;Times;Serif"/>
          <w:b/>
          <w:i w:val="false"/>
          <w:caps w:val="false"/>
          <w:smallCaps w:val="false"/>
          <w:sz w:val="20"/>
        </w:rPr>
        <w:t>Global Securities</w:t>
      </w:r>
      <w:r>
        <w:rPr>
          <w:rFonts w:ascii="Times New Roman;Times;Serif" w:hAnsi="Times New Roman;Times;Serif"/>
          <w:b w:val="false"/>
          <w:i w:val="false"/>
          <w:caps w:val="false"/>
          <w:smallCaps w:val="false"/>
          <w:sz w:val="20"/>
        </w:rPr>
        <w:t>”) registered in the name of a designated clearing agency (a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Times New Roman;Times;Serif" w:hAnsi="Times New Roman;Times;Serif"/>
          <w:b/>
          <w:i w:val="false"/>
          <w:caps w:val="false"/>
          <w:smallCaps w:val="false"/>
          <w:sz w:val="20"/>
        </w:rPr>
        <w:t>Participants</w:t>
      </w:r>
      <w:r>
        <w:rPr>
          <w:rFonts w:ascii="Times New Roman;Times;Serif" w:hAnsi="Times New Roman;Times;Serif"/>
          <w:b w:val="false"/>
          <w:i w:val="false"/>
          <w:caps w:val="false"/>
          <w:smallCaps w:val="false"/>
          <w:sz w:val="20"/>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the applicable prospectus supplement, CDS Clearing and Depository Services Inc. or its successor will act as Depositary for any debt securities represented by a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Securities in Certificated Form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DESCRIPTION OF WARRANTS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that will apply to any warrants for the purchase of Common Shares, or equity warrants, or for the purchase of debt securities, or debt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relating to any warrants that we offer will describe the particular terms of those warrants and include specific terms relating to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 xml:space="preserve">(Ontario), and is in addition to any other right or remedy available to original purchasers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(Ontario) or otherwise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equity warrants will be described in the applicable prospectus supplement. This description will include, where applicable:</w:t>
      </w:r>
    </w:p>
    <w:p>
      <w:pPr>
        <w:pStyle w:val="TextBody"/>
        <w:bidi w:val="0"/>
        <w:spacing w:before="0" w:after="0"/>
        <w:ind w:left="0" w:right="0" w:hanging="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the designation and aggregate number of equity warrants;</w:t>
            </w:r>
          </w:p>
        </w:tc>
      </w:tr>
    </w:tbl>
    <w:p>
      <w:pPr>
        <w:pStyle w:val="TextBody"/>
        <w:bidi w:val="0"/>
        <w:spacing w:before="0" w:after="0"/>
        <w:ind w:left="1920" w:right="0" w:hanging="36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the price at which the equity warrants will be offered;</w:t>
            </w:r>
          </w:p>
        </w:tc>
      </w:tr>
    </w:tbl>
    <w:p>
      <w:pPr>
        <w:pStyle w:val="TextBody"/>
        <w:bidi w:val="0"/>
        <w:spacing w:before="0" w:after="0"/>
        <w:ind w:left="1920" w:right="0" w:hanging="36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pPr>
            <w:r>
              <w:rPr/>
              <w:t>the currency or currencies in which the equity warrants will be offered;</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the equity warrants will commence and the date on which the right will expire;</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number of Common Shares that may be purchased upon exercise of each equity warrant and the price at which and currency or currencies in which the Common Shares may be purchased upon exercise of each equity warrant;</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of any provisions allowing or providing for adjustments in (i) the number and/or class of shares that may be purchased, (ii) the exercise price per share or (iii) the expiry of the equity warrants;</w:t>
            </w:r>
          </w:p>
        </w:tc>
      </w:tr>
    </w:tbl>
    <w:p>
      <w:pPr>
        <w:pStyle w:val="TextBody"/>
        <w:bidi w:val="0"/>
        <w:spacing w:before="0" w:after="0"/>
        <w:ind w:left="1920" w:right="0" w:hanging="36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pPr>
            <w:r>
              <w:rPr/>
              <w:t>whether we will issue fractional shares;</w:t>
            </w:r>
          </w:p>
        </w:tc>
      </w:tr>
    </w:tbl>
    <w:p>
      <w:pPr>
        <w:pStyle w:val="TextBody"/>
        <w:bidi w:val="0"/>
        <w:spacing w:before="0" w:after="0"/>
        <w:ind w:left="1920" w:right="0" w:hanging="36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pPr>
            <w:r>
              <w:rPr/>
              <w:t>whether we have applied to list the equity warrants or the underlying shares on a stock exchange;</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any securities with which the equity warrants will be offered, if any, and the number of the equity warrants that will be offered with each security;</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or dates, if any, on or after which the equity warrants and the related securities will be transferable separately;</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19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equity warrants will be subject to redemption or call and, if so, the terms of such redemption or call provisions;</w:t>
            </w:r>
          </w:p>
        </w:tc>
      </w:tr>
    </w:tbl>
    <w:p>
      <w:pPr>
        <w:pStyle w:val="TextBody"/>
        <w:bidi w:val="0"/>
        <w:spacing w:before="0" w:after="0"/>
        <w:ind w:left="1920" w:right="0" w:hanging="36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material Canadian federal income tax consequences of owning the equity warrants;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terms, procedures and limitations relating to the transferability, exchange or exercise of the equity warrants; and</w:t>
            </w:r>
          </w:p>
        </w:tc>
      </w:tr>
    </w:tbl>
    <w:p>
      <w:pPr>
        <w:pStyle w:val="TextBody"/>
        <w:bidi w:val="0"/>
        <w:spacing w:before="0" w:after="0"/>
        <w:ind w:left="1920" w:right="0" w:hanging="36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pPr>
            <w:r>
              <w:rPr/>
              <w:t>any other material terms or conditions of the equity warrants.</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debt warrants will be described in the related prospectus supplement. This description will include, where applicable:</w:t>
      </w:r>
    </w:p>
    <w:p>
      <w:pPr>
        <w:pStyle w:val="TextBody"/>
        <w:bidi w:val="0"/>
        <w:spacing w:before="0" w:after="0"/>
        <w:ind w:left="0" w:right="0" w:hanging="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7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pPr>
            <w:r>
              <w:rPr/>
              <w:t>the designation and aggregate number of debt warrants;</w:t>
            </w:r>
          </w:p>
        </w:tc>
      </w:tr>
    </w:tbl>
    <w:p>
      <w:pPr>
        <w:pStyle w:val="TextBody"/>
        <w:bidi w:val="0"/>
        <w:spacing w:before="0" w:after="0"/>
        <w:ind w:left="1920" w:right="0" w:hanging="36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pPr>
            <w:r>
              <w:rPr/>
              <w:t>the price at which the debt warrants will be offered;</w:t>
            </w:r>
          </w:p>
        </w:tc>
      </w:tr>
    </w:tbl>
    <w:p>
      <w:pPr>
        <w:pStyle w:val="TextBody"/>
        <w:bidi w:val="0"/>
        <w:spacing w:before="0" w:after="0"/>
        <w:ind w:left="1920" w:right="0" w:hanging="36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the currency or currencies in which the debt warrants will be offered;</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any securities with which the debt warrants are being offered, if any, and the number of the debt warrants that will be offered with each security;</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or dates, if any, on or after which the debt warrants and the related securities will be transferable separately;</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the debt warrants will commence and the date on which the right will expire;</w:t>
            </w:r>
          </w:p>
        </w:tc>
      </w:tr>
    </w:tbl>
    <w:p>
      <w:pPr>
        <w:pStyle w:val="TextBody"/>
        <w:bidi w:val="0"/>
        <w:spacing w:before="0" w:after="0"/>
        <w:ind w:left="1920" w:right="0" w:hanging="36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the minimum or maximum amount of debt warrants that may be exercised at any one time;</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debt warrants will be subject to redemption or call, and, if so, the terms of such redemption or call provisions;</w:t>
            </w:r>
          </w:p>
        </w:tc>
      </w:tr>
    </w:tbl>
    <w:p>
      <w:pPr>
        <w:pStyle w:val="TextBody"/>
        <w:bidi w:val="0"/>
        <w:spacing w:before="0" w:after="0"/>
        <w:ind w:left="1920" w:right="0" w:hanging="36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material Canadian federal income tax consequences of owning the debt warrants;</w:t>
            </w:r>
          </w:p>
        </w:tc>
      </w:tr>
    </w:tbl>
    <w:p>
      <w:pPr>
        <w:pStyle w:val="TextBody"/>
        <w:bidi w:val="0"/>
        <w:spacing w:before="0" w:after="0"/>
        <w:ind w:left="1920" w:right="0" w:hanging="36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pPr>
            <w:r>
              <w:rPr/>
              <w:t>whether we have applied to list the debt warrants or the underlying debt securities on an exchange;</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terms, procedures and limitations relating to the transferability, exchange or exercise of the debt warrants; and</w:t>
            </w:r>
          </w:p>
        </w:tc>
      </w:tr>
    </w:tbl>
    <w:p>
      <w:pPr>
        <w:pStyle w:val="TextBody"/>
        <w:bidi w:val="0"/>
        <w:spacing w:before="0" w:after="0"/>
        <w:ind w:left="1920" w:right="0" w:hanging="36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pPr>
            <w:r>
              <w:rPr/>
              <w:t>any other material terms or conditions of the debt warrants.</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will not have any of the rights of holders of the securities subject to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DESCRIPTION OF UNITS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pStyle w:val="TextBody"/>
        <w:bidi w:val="0"/>
        <w:spacing w:before="0" w:after="0"/>
        <w:ind w:left="0" w:right="0" w:hanging="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pPr>
            <w:r>
              <w:rPr/>
              <w:t>the designation and aggregate number of units being offered;</w:t>
            </w:r>
          </w:p>
        </w:tc>
      </w:tr>
    </w:tbl>
    <w:p>
      <w:pPr>
        <w:pStyle w:val="TextBody"/>
        <w:bidi w:val="0"/>
        <w:spacing w:before="0" w:after="0"/>
        <w:ind w:left="1920" w:right="0" w:hanging="36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1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pPr>
            <w:r>
              <w:rPr/>
              <w:t>the price at which the units will be offered;</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number and terms of the securities comprising the units and any agreement governing the units;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or dates, if any, on or after which the securities comprising the units will be transferable separately;</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will apply to list the units or any of the individual securities comprising the units on any exchange;</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material Canadian income tax consequences of owning the units, including, how the purchase price paid for the units will be allocated among the securities comprising the units; and</w:t>
            </w:r>
          </w:p>
        </w:tc>
      </w:tr>
    </w:tbl>
    <w:p>
      <w:pPr>
        <w:pStyle w:val="TextBody"/>
        <w:bidi w:val="0"/>
        <w:spacing w:before="0" w:after="0"/>
        <w:ind w:left="1920" w:right="0" w:hanging="36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any other material terms or conditions of the units.</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19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DESCRIPTION OF SUBSCRIPTION RECEIPTS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receipts separately or in combination with one or more other securities, which will entitle holders thereof to receive, upon satisfaction of certain release conditions (the “</w:t>
      </w:r>
      <w:r>
        <w:rPr>
          <w:rFonts w:ascii="Times New Roman;Times;Serif" w:hAnsi="Times New Roman;Times;Serif"/>
          <w:b/>
          <w:i w:val="false"/>
          <w:caps w:val="false"/>
          <w:smallCaps w:val="false"/>
          <w:sz w:val="20"/>
        </w:rPr>
        <w:t>Release Conditions</w:t>
      </w:r>
      <w:r>
        <w:rPr>
          <w:rFonts w:ascii="Times New Roman;Times;Serif" w:hAnsi="Times New Roman;Times;Serif"/>
          <w:b w:val="false"/>
          <w:i w:val="false"/>
          <w:caps w:val="false"/>
          <w:smallCaps w:val="false"/>
          <w:sz w:val="20"/>
        </w:rPr>
        <w:t>”) and for no additional consideration, Common Shares, warrants, debt securities or any combination thereof. Subscription receipts will be issued pursuant to one or more subscription receipt agreements (each, a “</w:t>
      </w:r>
      <w:r>
        <w:rPr>
          <w:rFonts w:ascii="Times New Roman;Times;Serif" w:hAnsi="Times New Roman;Times;Serif"/>
          <w:b/>
          <w:i w:val="false"/>
          <w:caps w:val="false"/>
          <w:smallCaps w:val="false"/>
          <w:sz w:val="20"/>
        </w:rPr>
        <w:t>Subscription Receipt Agreement</w:t>
      </w:r>
      <w:r>
        <w:rPr>
          <w:rFonts w:ascii="Times New Roman;Times;Serif" w:hAnsi="Times New Roman;Times;Serif"/>
          <w:b w:val="false"/>
          <w:i w:val="false"/>
          <w:caps w:val="false"/>
          <w:smallCaps w:val="false"/>
          <w:sz w:val="20"/>
        </w:rPr>
        <w:t>”), the material terms of which will be described in the applicable prospectus supplement, each to be entered into between the Company and an escrow agent (the “</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pStyle w:val="TextBody"/>
        <w:bidi w:val="0"/>
        <w:spacing w:before="0" w:after="0"/>
        <w:ind w:left="0" w:right="0" w:hanging="0"/>
        <w:jc w:val="both"/>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17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both"/>
              <w:rPr/>
            </w:pPr>
            <w:r>
              <w:rPr/>
              <w:t>the designation and aggregate number of subscription receipts being offered;</w:t>
            </w:r>
          </w:p>
        </w:tc>
      </w:tr>
    </w:tbl>
    <w:p>
      <w:pPr>
        <w:pStyle w:val="TextBody"/>
        <w:bidi w:val="0"/>
        <w:spacing w:before="0" w:after="0"/>
        <w:ind w:left="1920" w:right="0" w:hanging="36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pPr>
            <w:r>
              <w:rPr/>
              <w:t>the price at which the subscription receipts will be offered;</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number and terms of the Common Shares, warrants and/or debt securities to be received by the holders of subscription receipts upon satisfaction of the Release Conditions, and any procedures that will result in the adjustment of those numbers;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Release Conditions that must be met in order for holders of subscription receipts to receive, for no additional consideration, the Common Shares, warrants and/or debt securities;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procedures for the issuance and delivery of the Common Shares, warrants and/or debt securities to holders of subscription receipts upon satisfaction of the Release Conditions;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any payments will be made to holders of subscription receipts upon delivery of the Common Shares, warrants and/or debt securities upon satisfaction of the Release Conditions;</w:t>
            </w:r>
          </w:p>
        </w:tc>
      </w:tr>
    </w:tbl>
    <w:p>
      <w:pPr>
        <w:pStyle w:val="TextBody"/>
        <w:bidi w:val="0"/>
        <w:spacing w:before="0" w:after="0"/>
        <w:ind w:left="1920" w:right="0" w:hanging="360"/>
        <w:jc w:val="both"/>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38"/>
        <w:gridCol w:w="17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pPr>
            <w:r>
              <w:rPr/>
              <w:t>the identity of the Escrow Agent;</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and conditions under which the Escrow Agent will hold all or a portion of the gross proceeds from the sale of subscription receipts, together with interest and income earned thereon (collectively, the “</w:t>
            </w:r>
            <w:r>
              <w:rPr>
                <w:b/>
              </w:rPr>
              <w:t>Escrowed Funds</w:t>
            </w:r>
            <w:r>
              <w:rPr/>
              <w:t>”), pending satisfaction of the Release Conditions;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and conditions pursuant to which the Escrow Agent will hold the Common Shares, warrants and/or debt securities pending satisfaction of the Release Conditions;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terms and conditions under which the Escrow Agent will release all or a portion of the Escrowed Funds to the Company upon satisfaction of the Release Conditions;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19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entitlement of Bitfarms to purchase the subscription receipts in the open market by private agreement or otherwise;</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will issue the subscription receipts as Global Securities and, if so, the identity of the Depositary for the Global Securities;</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will issue the subscription receipts as unregistered bearer securities, as registered securities or both;</w:t>
            </w:r>
          </w:p>
        </w:tc>
      </w:tr>
    </w:tbl>
    <w:p>
      <w:pPr>
        <w:pStyle w:val="TextBody"/>
        <w:bidi w:val="0"/>
        <w:spacing w:before="0" w:after="0"/>
        <w:ind w:left="19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tc>
      </w:tr>
    </w:tbl>
    <w:p>
      <w:pPr>
        <w:pStyle w:val="TextBody"/>
        <w:bidi w:val="0"/>
        <w:spacing w:before="0" w:after="0"/>
        <w:ind w:left="1920" w:right="0" w:hanging="36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pPr>
            <w:r>
              <w:rPr/>
              <w:t>whether we will apply to list the subscription receipts on any exchange;</w:t>
            </w:r>
          </w:p>
        </w:tc>
      </w:tr>
    </w:tbl>
    <w:p>
      <w:pPr>
        <w:pStyle w:val="TextBody"/>
        <w:bidi w:val="0"/>
        <w:spacing w:before="0" w:after="0"/>
        <w:ind w:left="1920" w:right="0" w:hanging="36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pPr>
            <w:r>
              <w:rPr/>
              <w:t>material Canadian federal income tax consequences of owning the subscription receipts; and</w:t>
            </w:r>
          </w:p>
        </w:tc>
      </w:tr>
    </w:tbl>
    <w:p>
      <w:pPr>
        <w:pStyle w:val="TextBody"/>
        <w:bidi w:val="0"/>
        <w:spacing w:before="0" w:after="0"/>
        <w:ind w:left="1920" w:right="0" w:hanging="36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pPr>
            <w:r>
              <w:rPr/>
              <w:t>any other material terms or conditions of the subscription receipts.</w:t>
            </w:r>
          </w:p>
        </w:tc>
      </w:tr>
    </w:tbl>
    <w:p>
      <w:pPr>
        <w:pStyle w:val="TextBody"/>
        <w:bidi w:val="0"/>
        <w:spacing w:before="0" w:after="0"/>
        <w:ind w:left="19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 xml:space="preserve">(Ontario), and is in addition to any other right or remedy available to original purchasers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(Ontario) or otherwise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Holders of Subscription Receipts Prior to Satisfaction of Release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DESCRIPTION OF SHARE PURCHASE CONTRACTS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 purchase contracts, representing contracts obligating holders to purchase from or sell to us a specified number of Common Shares, as applicable, at a future date or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 (iii) 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(viii) any other material terms and conditions of the share purchase contracts including, without limitation, transferability and adjustment terms and whether the share purchase contracts will be listed on a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 xml:space="preserve">(Ontario), and is in addition to any other right or remedy available to original purchasers under section 130 of the </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(Ontario) or otherwise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PLAN OF DISTRIBUTION</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the securities of the Company offered by this prospectus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Common Shares may be effected from time to time in one or more transactions at non-fixed prices pursuant to transactions that are deemed to be “at-the-market distributions” as defined in NI 44-102, including sales made directly on the TSX,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with respect to the Company’s securities being offered will set forth the terms of the offering, including:</w:t>
      </w:r>
    </w:p>
    <w:p>
      <w:pPr>
        <w:pStyle w:val="TextBody"/>
        <w:bidi w:val="0"/>
        <w:spacing w:before="0" w:after="0"/>
        <w:ind w:left="0" w:right="0" w:hanging="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pPr>
            <w:r>
              <w:rPr/>
              <w:t>the person offering the securities;</w:t>
            </w:r>
          </w:p>
        </w:tc>
      </w:tr>
    </w:tbl>
    <w:p>
      <w:pPr>
        <w:pStyle w:val="TextBody"/>
        <w:bidi w:val="0"/>
        <w:spacing w:before="0" w:after="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the name or names of any underwriters, dealers or other placement agents;</w:t>
            </w:r>
          </w:p>
        </w:tc>
      </w:tr>
    </w:tbl>
    <w:p>
      <w:pPr>
        <w:pStyle w:val="TextBody"/>
        <w:bidi w:val="0"/>
        <w:spacing w:before="0" w:after="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both"/>
              <w:rPr/>
            </w:pPr>
            <w:r>
              <w:rPr/>
              <w:t>the number and the purchase price of, and form of consideration for, our securities;</w:t>
            </w:r>
          </w:p>
        </w:tc>
      </w:tr>
    </w:tbl>
    <w:p>
      <w:pPr>
        <w:pStyle w:val="TextBody"/>
        <w:bidi w:val="0"/>
        <w:spacing w:before="0" w:after="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pPr>
            <w:r>
              <w:rPr/>
              <w:t>any proceeds to the Company from such sale;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commissions, fees, discounts and other items constituting underwriters’, dealers’ or agents’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Secondary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also, from time to time, relate to the offering of Common Shares by certain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Common Shares will be freely tradable in the hands of persons other than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CERTAIN INCOME TAX CONSIDERATIONS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LEGAL MATTERS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AUDITORS, TRANSFER AGENT AND REGISTRAR</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registered public accounting firm of the Company is PricewaterhouseCoopers LLP at its offices located at PwC Centre, 354 Davis Road, Suite 600, Oakville, Ontario, Canada L6J 0C5.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of the Company is TSX Trust Company at its offices located at 100 Adelaide St W #301, Toronto, ON M5H 1S3.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AGENTS FOR SERVICE OF PROCESS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directors and officers of the Company reside outside of Canada. Emiliano Joel Grodzki, Nicolas Bonta, Andres Finkielsztain, Edith M. Hofmeister, Benjamin Gagnon, and Jeffrey Lucas have appointed the following agents for service of process:</w:t>
      </w:r>
    </w:p>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10" w:type="dxa"/>
        <w:tblLayout w:type="fixed"/>
        <w:tblCellMar>
          <w:top w:w="28" w:type="dxa"/>
          <w:left w:w="28" w:type="dxa"/>
          <w:bottom w:w="28" w:type="dxa"/>
          <w:right w:w="28" w:type="dxa"/>
        </w:tblCellMar>
      </w:tblPr>
      <w:tblGrid>
        <w:gridCol w:w="1865"/>
        <w:gridCol w:w="2360"/>
      </w:tblGrid>
      <w:tr>
        <w:trPr/>
        <w:tc>
          <w:tcPr>
            <w:tcW w:w="1865" w:type="dxa"/>
            <w:tcBorders>
              <w:top w:val="single" w:sz="8" w:space="0" w:color="000000"/>
              <w:left w:val="single" w:sz="8" w:space="0" w:color="000000"/>
              <w:bottom w:val="single" w:sz="8" w:space="0" w:color="000000"/>
              <w:right w:val="single" w:sz="8" w:space="0" w:color="000000"/>
            </w:tcBorders>
            <w:shd w:fill="F2F2F2" w:val="clear"/>
            <w:vAlign w:val="center"/>
          </w:tcPr>
          <w:p>
            <w:pPr>
              <w:pStyle w:val="TableContents"/>
              <w:bidi w:val="0"/>
              <w:spacing w:before="0" w:after="283"/>
              <w:jc w:val="center"/>
              <w:rPr>
                <w:b/>
                <w:sz w:val="20"/>
              </w:rPr>
            </w:pPr>
            <w:r>
              <w:rPr>
                <w:b/>
                <w:sz w:val="20"/>
              </w:rPr>
              <w:t>Name of Person</w:t>
            </w:r>
          </w:p>
        </w:tc>
        <w:tc>
          <w:tcPr>
            <w:tcW w:w="2360" w:type="dxa"/>
            <w:tcBorders>
              <w:top w:val="single" w:sz="8" w:space="0" w:color="000000"/>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b/>
                <w:sz w:val="20"/>
              </w:rPr>
            </w:pPr>
            <w:r>
              <w:rPr>
                <w:b/>
                <w:sz w:val="20"/>
              </w:rPr>
              <w:t>Name and Address of Agent</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Emiliano Joel Grodzki</w:t>
            </w:r>
          </w:p>
        </w:tc>
        <w:tc>
          <w:tcPr>
            <w:tcW w:w="236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0"/>
              <w:ind w:left="137" w:right="14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w:t>
            </w:r>
          </w:p>
          <w:p>
            <w:pPr>
              <w:pStyle w:val="TableContents"/>
              <w:bidi w:val="0"/>
              <w:spacing w:before="0" w:after="0"/>
              <w:ind w:left="137" w:right="145" w:hanging="0"/>
              <w:jc w:val="left"/>
              <w:rPr>
                <w:caps w:val="false"/>
                <w:smallCaps w:val="false"/>
              </w:rPr>
            </w:pPr>
            <w:r>
              <w:rPr>
                <w:caps w:val="false"/>
                <w:smallCaps w:val="false"/>
              </w:rPr>
              <w:t> </w:t>
            </w:r>
          </w:p>
          <w:p>
            <w:pPr>
              <w:pStyle w:val="TableContents"/>
              <w:bidi w:val="0"/>
              <w:spacing w:before="0" w:after="0"/>
              <w:ind w:left="137" w:right="14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King St. E, Suite 902</w:t>
            </w:r>
          </w:p>
          <w:p>
            <w:pPr>
              <w:pStyle w:val="TableContents"/>
              <w:bidi w:val="0"/>
              <w:spacing w:before="0" w:after="0"/>
              <w:ind w:left="137" w:right="145" w:hanging="0"/>
              <w:jc w:val="left"/>
              <w:rPr>
                <w:caps w:val="false"/>
                <w:smallCaps w:val="false"/>
              </w:rPr>
            </w:pPr>
            <w:r>
              <w:rPr>
                <w:caps w:val="false"/>
                <w:smallCaps w:val="false"/>
              </w:rPr>
              <w:t> </w:t>
            </w:r>
          </w:p>
          <w:p>
            <w:pPr>
              <w:pStyle w:val="TableContents"/>
              <w:bidi w:val="0"/>
              <w:spacing w:before="0" w:after="0"/>
              <w:ind w:left="137" w:right="14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 M5C 1C4</w:t>
            </w:r>
          </w:p>
          <w:p>
            <w:pPr>
              <w:pStyle w:val="TableContents"/>
              <w:bidi w:val="0"/>
              <w:spacing w:before="0" w:after="0"/>
              <w:ind w:left="137" w:right="145" w:hanging="0"/>
              <w:jc w:val="left"/>
              <w:rPr>
                <w:caps w:val="false"/>
                <w:smallCaps w:val="false"/>
              </w:rPr>
            </w:pPr>
            <w:r>
              <w:rPr>
                <w:caps w:val="false"/>
                <w:smallCaps w:val="false"/>
              </w:rPr>
              <w:t> </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Nicolas Bonta</w:t>
            </w:r>
          </w:p>
        </w:tc>
        <w:tc>
          <w:tcPr>
            <w:tcW w:w="236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Andres Finkielsztain</w:t>
            </w:r>
          </w:p>
        </w:tc>
        <w:tc>
          <w:tcPr>
            <w:tcW w:w="236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Edith M. Hofmeister</w:t>
            </w:r>
          </w:p>
        </w:tc>
        <w:tc>
          <w:tcPr>
            <w:tcW w:w="236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Benjamin Gagnon</w:t>
            </w:r>
          </w:p>
        </w:tc>
        <w:tc>
          <w:tcPr>
            <w:tcW w:w="236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Jeffrey Lucas</w:t>
            </w:r>
          </w:p>
        </w:tc>
        <w:tc>
          <w:tcPr>
            <w:tcW w:w="236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Damian Polla</w:t>
            </w:r>
          </w:p>
        </w:tc>
        <w:tc>
          <w:tcPr>
            <w:tcW w:w="236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Stephanie Wargo</w:t>
            </w:r>
          </w:p>
        </w:tc>
        <w:tc>
          <w:tcPr>
            <w:tcW w:w="236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file with the SEC, concurrently with the Registration Statement, an appointment of agent for service of process on Form F-X. Under the Form F-X, the Company will appoint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EXEMPTIONS UNDER SECURITIES LAWS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decision of the Autorité des Marchés Financiers, the securities regulatory authority in the Province of Québec, dated June 22, 2023,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STATUTORY RIGHTS OF WITHDRAWAL AND RESCISSION</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some provinces and territories of Canada provides purchasers of securities with the right to withdraw from an agreement to purchase securities and with remedies for rescission or, in some jurisdictions, revisions of the price, or damages if the prospectus, prospectus supplement, and any amendment relating to securities purchased by a purchaser are not sent or delivered to the purchaser. However, purchasers of securities under an at-the-market distribution by Bitfarms do not have the right to withdraw from an agreement to purchase the securities and do not have remedies of rescission or, in some jurisdictions, revisions of the price, or damages for non-delivery of the prospectus, prospectus supplement, and any amendment relating to securities purchased by such purchaser because the prospectus, prospectus supplement, and any amendment relating to the securities purchased by such purchaser will not be sent or delivered, as permitted under Part 9 of NI44-102.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some provinces and territories of Canada further provides purchasers with remedies for rescission or, in some jurisdictions, revisions of the price or damages if the prospectus, prospectus supplement, and any amendment relating to securities purchased by a purchaser contains a misrepresentation.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remedies must be exercised by the purchaser within the time limit prescribed by securities legislation. Any remedies under securities legislation that a purchaser of securities distributed under an at-the-market distribution by Bitfarms may have against Bitfarms or its agents for rescission or, in some jurisdictions, revisions of the price, or damages if the prospectus, prospectus supplement, and any amendment relating to securities purchased by a purchaser contain a misrepresentation will remain unaffected by the non-delivery of the prospectus referred to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offering of convertible, exchangeable, or exercisable securities, investors are cautioned that the statutory right of action for damages under Canadian securities laws for a misrepresentation contained in the prospectus or a prospectus supplement (or any amendment thereto) is limited, in certain provincial and territorial securities legislation, to the price at which the convertible, exchangeable or exercisable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The purchaser should refer to any applicable provisions of the securities legislation of the purchaser’s province or territory for the particulars of these rights, or consult with a legal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Original purchasers of convertible, exchangeable, or exercisable securities, will have a contractual right of rescission against us in respect of the exercise of such convertible, exchangeable, or exercisable securities. The contractual right of rescission will entitle such original purchasers to receive, upon surrender of the underlying securities acquired upon exercise of the convertible, exchangeable, or exercisable security, as applicable, the total of the amount paid on original purchase of the convertible, exchangeable, or exercisable security, as applicable and the amount paid upon exercise, in the event that this prospectus (as supplemented or amended) contains a misrepresentation, provided that: (i) the exercise takes place within 180 days of the date of the purchase of the convertible, exchangeable, or exercisable security under the applicable prospectus supplement; and (ii) the right of rescission is exercised within 180 days of the date of purchase of the convertible, exchangeable, or exercisable security under the applicable prospectus supplement. This contractual right of rescission will be consistent with the statutory right of rescission described under section 130 of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xml:space="preserve"> (Ontario), and is in addition to any other right or remedy available to original purchasers under section 130 of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xml:space="preserve"> (Ontario) or otherwise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TO BE DELIVERED TO OFFEREES OR</w:t>
        <w:br/>
        <w:t>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136 of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(Ontario) (“</w:t>
      </w:r>
      <w:r>
        <w:rPr>
          <w:rFonts w:ascii="Times New Roman;Times;Serif" w:hAnsi="Times New Roman;Times;Serif"/>
          <w:b/>
          <w:i w:val="false"/>
          <w:caps w:val="false"/>
          <w:smallCaps w:val="false"/>
          <w:sz w:val="20"/>
        </w:rPr>
        <w:t>OBCA</w:t>
      </w:r>
      <w:r>
        <w:rPr>
          <w:rFonts w:ascii="Times New Roman;Times;Serif" w:hAnsi="Times New Roman;Times;Serif"/>
          <w:b w:val="false"/>
          <w:i w:val="false"/>
          <w:caps w:val="false"/>
          <w:smallCaps w:val="false"/>
          <w:sz w:val="20"/>
        </w:rPr>
        <w:t>”) provides for the indemnification of directors and officers of Bitfarms. Under these provisions, Bitfarms may indemnify a director or officer of the corporation, a former director or officer of the corporation or another individual who acts or acted at the corporation’s request as a director or officer, or an individual acting in a similar capacity, of another entity (collectively,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against all costs, charges and expenses, including an amount paid to settle an action or satisfy a judgment, reasonably incurred by the Indemnified Person in respect of any civil, criminal, administrative, investigative or other proceeding (other than in respect to an action by or on behalf of Bitfarms to procure a judgment in its favor) in which the individual is involved because of that association with Bitfarms or other entity, if the Indemnified Person fulfills the following two conditions: (a) he or she acted honestly and in good faith with a view to the best interests of Bitfarms or in the best interests of such other entity as applicable and (b) in the case of a criminal or administrative action or proceeding that is enforced by a monetary penalty, he or she had reasonable grounds for believing that his or her conduct was lawful. In respect of an action by or on behalf of Bitfarms or such other entity to procure a judgment in its favor, Bitfarms, with the approval of a court, may indemnify an Indemnified Person against all costs, charges and expenses reasonably incurred by him or her in connection with such action if he or she fulfills the conditions set out in clauses (a) and (b) of the previous sentence. Notwithstanding the foregoing, an Indemnified Person is entitled to indemnity from the corporation in respect of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as described above, if the individual seeking an indemnity fulfills the conditions in clauses (a) and (b) of this paragraph and was not judged by the court or other competent authority to have committed any fault or omitted to do anything that the individual ought to have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policy of directors’ and officers’ liability insurance is maintained by the Registrant that insures directors and officers against losses incurred as a result of claims against the directors and officers of the Registrant in Canada pursuant to the indemnity provisions under the Registrant’s articles and the OBCA.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United States Securities Act of 1933 may be permitted to directors, officers or persons controlling the Registrant pursuant to the foregoing provisions, the Registrant has been informed that in the opinion of the SEC such indemnification is against public policy as expressed in the United States Securities Act of 1933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have been filed as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both"/>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6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r>
              <w:rPr/>
              <w:t> </w:t>
            </w:r>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3">
              <w:r>
                <w:rPr>
                  <w:rStyle w:val="InternetLink"/>
                  <w:sz w:val="20"/>
                </w:rPr>
                <w:t>Annual Information Form for the year ended December 31, 2022, dated March 20, 2023 (incorporated by reference to Exhibit 99.1 to the Registrant’s Form 40-F filed with the SEC on March 21,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4">
              <w:r>
                <w:rPr>
                  <w:rStyle w:val="InternetLink"/>
                  <w:sz w:val="20"/>
                </w:rPr>
                <w:t>Consolidated Financial Statements as of and for the years ended December 31, 2022 and 2021, dated March 20, 2023 (incorporated by reference to Exhibit 99.2 to the Registrant’s Form 40-F filed with the SEC on March 21, 2023 (File No. 001-40370))</w:t>
              </w:r>
            </w:hyperlink>
            <w:r>
              <w:rPr>
                <w:sz w:val="20"/>
              </w:rPr>
              <w:t>.</w:t>
            </w:r>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5">
              <w:r>
                <w:rPr>
                  <w:rStyle w:val="InternetLink"/>
                  <w:sz w:val="20"/>
                </w:rPr>
                <w:t>Management’s Discussion &amp; Analysis for the year ended December 31, 2022, dated March 20, 2023 (incorporated by reference to Exhibit 99.3 to the Registrant’s Form 40-F filed with the SEC on March 21,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6">
              <w:r>
                <w:rPr>
                  <w:rStyle w:val="InternetLink"/>
                  <w:sz w:val="20"/>
                </w:rPr>
                <w:t>Interim Condensed Consolidated Financial Statements for the three months ended March 31, 2023, dated May 15, 2023 (incorporated by reference to Exhibit 99.1 to the Registrant’s Form 6-K filed with the SEC on May 15,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7">
              <w:r>
                <w:rPr>
                  <w:rStyle w:val="InternetLink"/>
                  <w:sz w:val="20"/>
                </w:rPr>
                <w:t>Management’s Discussion &amp; Analysis for the three months ended March 31, 2023, dated May 15, 2023 (incorporated by reference to Exhibit 99.2 to the Registrant’s Form 6-K filed with the SEC on May 15,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8">
              <w:r>
                <w:rPr>
                  <w:rStyle w:val="InternetLink"/>
                  <w:sz w:val="20"/>
                </w:rPr>
                <w:t>Notice of Annual General Meeting and Special Meeting of Shareholders &amp; Management Circular, dated April 24, 2023 (incorporated by reference to Exhibit 99.2 to the Registrant’s Form 6-K filed with the SEC on May 19,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9">
              <w:r>
                <w:rPr>
                  <w:rStyle w:val="InternetLink"/>
                  <w:sz w:val="20"/>
                </w:rPr>
                <w:t>Material Change Report dated January 3, 2023 (incorporated by reference to Exhibit 99.1 to the Registrant’s Form 6-K filed with the SEC on January 3,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10">
              <w:r>
                <w:rPr>
                  <w:rStyle w:val="InternetLink"/>
                  <w:sz w:val="20"/>
                </w:rPr>
                <w:t>Material Change Report dated January 13, 2023 (incorporated by reference to Exhibit 99.1 to the Registrant’s Form 6-K filed with the SEC on January 13,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11">
              <w:r>
                <w:rPr>
                  <w:rStyle w:val="InternetLink"/>
                  <w:sz w:val="20"/>
                </w:rPr>
                <w:t>Material Change Report dated February 1, 2023 (incorporated by reference to Exhibit 99.1 to the Registrant’s Form 6-K filed with the SEC on February 1,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12">
              <w:r>
                <w:rPr>
                  <w:rStyle w:val="InternetLink"/>
                  <w:sz w:val="20"/>
                </w:rPr>
                <w:t>Material Change Report dated February 9, 2023 (incorporated by reference to Exhibit 99.1 to the Registrant’s Form 6-K filed with the SEC on February 9,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13">
              <w:r>
                <w:rPr>
                  <w:rStyle w:val="InternetLink"/>
                  <w:sz w:val="20"/>
                </w:rPr>
                <w:t>Material Change Report dated March 1, 2023 (incorporated by reference to Exhibit 99.1 to the Registrant’s Form 6-K filed with the SEC on March 1,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14">
              <w:r>
                <w:rPr>
                  <w:rStyle w:val="InternetLink"/>
                  <w:sz w:val="20"/>
                </w:rPr>
                <w:t>Material Change Report dated March 21, 2023 (incorporated by reference to Exhibit 99.1 to the Registrant’s Form 6-K filed with the SEC on March 21,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15">
              <w:r>
                <w:rPr>
                  <w:rStyle w:val="InternetLink"/>
                  <w:sz w:val="20"/>
                </w:rPr>
                <w:t>Material Change Report dated April 3, 2023 (incorporated by reference to Exhibit 99.1 to the Registrant’s Form 6-K filed with the SEC on April 3,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16">
              <w:r>
                <w:rPr>
                  <w:rStyle w:val="InternetLink"/>
                  <w:sz w:val="20"/>
                </w:rPr>
                <w:t>Material Change Report dated April 11, 2023 (incorporated by reference to Exhibit 99.1 to the Registrant’s Form 6-K filed with the SEC on April 11,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17">
              <w:r>
                <w:rPr>
                  <w:rStyle w:val="InternetLink"/>
                  <w:sz w:val="20"/>
                </w:rPr>
                <w:t>Material Change Report dated April 24, 2023 (incorporated by reference to Exhibit 99.1 to the Registrant’s Form 6-K filed with the SEC on April 24,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18">
              <w:r>
                <w:rPr>
                  <w:rStyle w:val="InternetLink"/>
                  <w:sz w:val="20"/>
                </w:rPr>
                <w:t>Material Change Report dated April 28, 2023 (incorporated by reference to Exhibit 99.1 to the Registrant’s Form 6-K filed with the SEC on April 28,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19">
              <w:r>
                <w:rPr>
                  <w:rStyle w:val="InternetLink"/>
                  <w:sz w:val="20"/>
                </w:rPr>
                <w:t>Material Change Report dated May 1, 2023 (incorporated by reference to Exhibit 99.1 to the Registrant’s Form 6-K filed with the SEC on May 1,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20">
              <w:r>
                <w:rPr>
                  <w:rStyle w:val="InternetLink"/>
                  <w:sz w:val="20"/>
                </w:rPr>
                <w:t>Material Change Report dated May 1, 2023 (incorporated by reference to Exhibit 99.2 to the Registrant’s Form 6-K filed with the SEC on May 1,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21">
              <w:r>
                <w:rPr>
                  <w:rStyle w:val="InternetLink"/>
                  <w:sz w:val="20"/>
                </w:rPr>
                <w:t>Material Change Report dated May 8, 2023 (incorporated by reference to Exhibit 99.1 to the Registrant’s Form 6-K filed with the SEC on May 8,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22">
              <w:r>
                <w:rPr>
                  <w:rStyle w:val="InternetLink"/>
                  <w:sz w:val="20"/>
                </w:rPr>
                <w:t>Press Release dated May 15, 2023 (incorporated by reference to Exhibit 99.5 to the Registrant’s Form 6-K filed with the SEC on May 15,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23">
              <w:r>
                <w:rPr>
                  <w:rStyle w:val="InternetLink"/>
                  <w:sz w:val="20"/>
                </w:rPr>
                <w:t>Material Change Report dated June 1, 2023 (incorporated by reference to Exhibit 99.1 to the Registrant’s Form 6-K filed with the SEC on June 1,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24">
              <w:r>
                <w:rPr>
                  <w:rStyle w:val="InternetLink"/>
                  <w:sz w:val="20"/>
                </w:rPr>
                <w:t>Material Change Report dated June 7, 2023 (incorporated by reference to Exhibit 99.1 to the Registrant’s Form 6-K filed with the SEC on June 8 2023 (File No. 001-40370)).</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25">
              <w:r>
                <w:rPr>
                  <w:rStyle w:val="InternetLink"/>
                  <w:sz w:val="20"/>
                </w:rPr>
                <w:t>Material Change Report dated June 12, 2023 (incorporated by reference to Exhibit 99.1 to the Registrant’s Form 6-K filed with the SEC on June 8 2023 (File No. 001-40370)).</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 xml:space="preserve">5.1*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a180981ex5-1_bitfarmsltd.htm">
              <w:r>
                <w:rPr>
                  <w:rStyle w:val="InternetLink"/>
                  <w:sz w:val="20"/>
                </w:rPr>
                <w:t>Consent of PricewaterhouseCoopers LLP.</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B_001">
              <w:r>
                <w:rPr>
                  <w:rStyle w:val="InternetLink"/>
                  <w:sz w:val="20"/>
                </w:rPr>
                <w:t>Power of Attorney (included on the signature page of this Registration Statement).</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26">
              <w:r>
                <w:rPr>
                  <w:rStyle w:val="InternetLink"/>
                  <w:sz w:val="20"/>
                </w:rPr>
                <w:t>Form of Senior Indenture (incorporated by reference to Exhibit 7.1 to the Registrant’s Form F-10 filed with the SEC on August 13, 2021 (File No. 333-258788).</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27">
              <w:r>
                <w:rPr>
                  <w:rStyle w:val="InternetLink"/>
                  <w:sz w:val="20"/>
                </w:rPr>
                <w:t>Form of Subordinated Indenture (incorporated by reference to Exhibit 7.2 to the Registrant’s Form F-10 filed with the SEC on August 13, 2021 (File No. 333-258788).</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a180981ex-fee_bitfarms.htm">
              <w:r>
                <w:rPr>
                  <w:rStyle w:val="InternetLink"/>
                  <w:sz w:val="20"/>
                </w:rPr>
                <w:t>Calculation of Filing Fee Table.</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b/>
              </w:rPr>
            </w:pPr>
            <w:r>
              <w:rPr>
                <w:b/>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 AND CONSENT TO SERVICE OF PROCESS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Undertaking.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undertakes to make available, in person or by telephone, representatives to respond to inquiries made by the SEC staff, and to furnish promptly, when requested to do so by the SEC staff, information relating to the securities registered pursuant to this Form F-10 or to transactions in said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Consent to Service of Process.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(a)</w:t>
            </w:r>
          </w:p>
        </w:tc>
        <w:tc>
          <w:tcPr>
            <w:tcW w:w="9954" w:type="dxa"/>
            <w:tcBorders/>
            <w:vAlign w:val="center"/>
          </w:tcPr>
          <w:p>
            <w:pPr>
              <w:pStyle w:val="TableContents"/>
              <w:bidi w:val="0"/>
              <w:spacing w:before="0" w:after="283"/>
              <w:jc w:val="both"/>
              <w:rPr>
                <w:sz w:val="20"/>
              </w:rPr>
            </w:pPr>
            <w:r>
              <w:rPr>
                <w:sz w:val="20"/>
              </w:rPr>
              <w:t>Concurrently with the initial filing of this Registration Statement, the Registrant filed with the SEC a written irrevocable consent and power of attorney on Form F-X.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20"/>
              </w:rPr>
            </w:pPr>
            <w:r>
              <w:rPr>
                <w:sz w:val="20"/>
              </w:rPr>
              <w:t>(b)</w:t>
            </w:r>
          </w:p>
        </w:tc>
        <w:tc>
          <w:tcPr>
            <w:tcW w:w="9948" w:type="dxa"/>
            <w:tcBorders/>
            <w:vAlign w:val="center"/>
          </w:tcPr>
          <w:p>
            <w:pPr>
              <w:pStyle w:val="TableContents"/>
              <w:bidi w:val="0"/>
              <w:spacing w:before="0" w:after="283"/>
              <w:jc w:val="both"/>
              <w:rPr>
                <w:sz w:val="20"/>
              </w:rPr>
            </w:pPr>
            <w:r>
              <w:rPr>
                <w:sz w:val="20"/>
              </w:rPr>
              <w:t>Any change to the name or address of the Registrant’s agent for service shall be communicated promptly to the SEC by amendment to Form F-X referencing the file number of this Registration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B_001"/>
      <w:bookmarkEnd w:id="29"/>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F-10 and has duly caused this Registration Statement to be signed on its behalf by the undersigned, thereunto duly authorized, in the City of Toronto, Province of Ontario, Canada, on June 28, 2023.</w:t>
      </w:r>
    </w:p>
    <w:p>
      <w:pPr>
        <w:pStyle w:val="TextBody"/>
        <w:bidi w:val="0"/>
        <w:spacing w:before="0" w:after="0"/>
        <w:ind w:left="0" w:right="0" w:firstLine="36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635"/>
        <w:gridCol w:w="3095"/>
      </w:tblGrid>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b/>
                <w:sz w:val="20"/>
              </w:rPr>
            </w:pPr>
            <w:r>
              <w:rPr>
                <w:b/>
                <w:sz w:val="20"/>
              </w:rPr>
              <w:t>BITFARMS LTD.</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 Geoffrey Morphy</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L. Geoffrey Morphy</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L. Geoffrey Morphy and Jeffrey Lucas, or either of them, his true and lawful attorneys-in-fact and agents, each of whom may act alone, with full power of substitution and resubstitution, for him and in his name, place and stead, in any and all capacities, to sign any or all amendments to this Registration Statement, including post-effective amendments, and any and all additional registration statements (including amendments and post-effective amendments thereto) in connection with any increase in the amount of securities registered with the SEC, and to file the same, with all exhibits thereto, and other documents and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said attorneys-in-fact and agents or any of them or his substitute or substitutes may lawfully do or cause to be done by virtue hereof. This Power of Attorney may be executed in multiple counterparts, each of which shall be deemed an original, but which taken together shall constitute one instrument.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or on behalf of the following persons in the capacities indicated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2165"/>
        <w:gridCol w:w="60"/>
        <w:gridCol w:w="4475"/>
        <w:gridCol w:w="60"/>
        <w:gridCol w:w="1175"/>
      </w:tblGrid>
      <w:tr>
        <w:trPr/>
        <w:tc>
          <w:tcPr>
            <w:tcW w:w="2165" w:type="dxa"/>
            <w:tcBorders>
              <w:bottom w:val="single" w:sz="12"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12"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12" w:space="0" w:color="000000"/>
            </w:tcBorders>
            <w:vAlign w:val="center"/>
          </w:tcPr>
          <w:p>
            <w:pPr>
              <w:pStyle w:val="TableContents"/>
              <w:bidi w:val="0"/>
              <w:spacing w:before="0" w:after="283"/>
              <w:jc w:val="left"/>
              <w:rPr>
                <w:sz w:val="20"/>
              </w:rPr>
            </w:pPr>
            <w:r>
              <w:rPr>
                <w:sz w:val="20"/>
              </w:rPr>
              <w:t>/s/ L. Geoffrey Morphy</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20"/>
              </w:rPr>
            </w:pPr>
            <w:r>
              <w:rPr>
                <w:sz w:val="20"/>
              </w:rPr>
              <w:t>Chief Executive Officer (Principal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28, 2023</w:t>
            </w:r>
          </w:p>
        </w:tc>
      </w:tr>
      <w:tr>
        <w:trPr/>
        <w:tc>
          <w:tcPr>
            <w:tcW w:w="2165" w:type="dxa"/>
            <w:tcBorders/>
            <w:tcMar>
              <w:bottom w:w="0" w:type="dxa"/>
            </w:tcMar>
            <w:vAlign w:val="center"/>
          </w:tcPr>
          <w:p>
            <w:pPr>
              <w:pStyle w:val="TableContents"/>
              <w:bidi w:val="0"/>
              <w:spacing w:before="0" w:after="283"/>
              <w:jc w:val="left"/>
              <w:rPr>
                <w:sz w:val="20"/>
              </w:rPr>
            </w:pPr>
            <w:r>
              <w:rPr>
                <w:sz w:val="20"/>
              </w:rPr>
              <w:t>L. Geoffrey Morphy</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20"/>
              </w:rPr>
            </w:pPr>
            <w:r>
              <w:rPr>
                <w:sz w:val="20"/>
              </w:rPr>
              <w:t>President and 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12" w:space="0" w:color="000000"/>
            </w:tcBorders>
            <w:vAlign w:val="center"/>
          </w:tcPr>
          <w:p>
            <w:pPr>
              <w:pStyle w:val="TableContents"/>
              <w:bidi w:val="0"/>
              <w:spacing w:before="0" w:after="283"/>
              <w:jc w:val="left"/>
              <w:rPr>
                <w:sz w:val="20"/>
              </w:rPr>
            </w:pPr>
            <w:r>
              <w:rPr>
                <w:sz w:val="20"/>
              </w:rPr>
              <w:t>/s/ Jeffrey P. Lucas</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20"/>
              </w:rPr>
            </w:pPr>
            <w:r>
              <w:rPr>
                <w:sz w:val="20"/>
              </w:rPr>
              <w:t>Chief Financial Officer (Principal Financial Officer and</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28, 2023</w:t>
            </w:r>
          </w:p>
        </w:tc>
      </w:tr>
      <w:tr>
        <w:trPr/>
        <w:tc>
          <w:tcPr>
            <w:tcW w:w="2165" w:type="dxa"/>
            <w:tcBorders/>
            <w:tcMar>
              <w:bottom w:w="0" w:type="dxa"/>
            </w:tcMar>
            <w:vAlign w:val="center"/>
          </w:tcPr>
          <w:p>
            <w:pPr>
              <w:pStyle w:val="TableContents"/>
              <w:bidi w:val="0"/>
              <w:spacing w:before="0" w:after="283"/>
              <w:jc w:val="left"/>
              <w:rPr>
                <w:sz w:val="20"/>
              </w:rPr>
            </w:pPr>
            <w:r>
              <w:rPr>
                <w:sz w:val="20"/>
              </w:rPr>
              <w:t>Jeffrey P. Lucas</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20"/>
              </w:rPr>
            </w:pPr>
            <w:r>
              <w:rPr>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12" w:space="0" w:color="000000"/>
            </w:tcBorders>
            <w:vAlign w:val="center"/>
          </w:tcPr>
          <w:p>
            <w:pPr>
              <w:pStyle w:val="TableContents"/>
              <w:bidi w:val="0"/>
              <w:spacing w:before="0" w:after="283"/>
              <w:jc w:val="left"/>
              <w:rPr>
                <w:sz w:val="20"/>
              </w:rPr>
            </w:pPr>
            <w:r>
              <w:rPr>
                <w:sz w:val="20"/>
              </w:rPr>
              <w:t>/s/ Nicolas Bonta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20"/>
              </w:rPr>
            </w:pPr>
            <w:r>
              <w:rPr>
                <w:sz w:val="20"/>
              </w:rPr>
              <w:t>Chairman of the Board and Founder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28, 2023</w:t>
            </w:r>
          </w:p>
        </w:tc>
      </w:tr>
      <w:tr>
        <w:trPr/>
        <w:tc>
          <w:tcPr>
            <w:tcW w:w="2165" w:type="dxa"/>
            <w:tcBorders/>
            <w:tcMar>
              <w:bottom w:w="0" w:type="dxa"/>
            </w:tcMar>
            <w:vAlign w:val="center"/>
          </w:tcPr>
          <w:p>
            <w:pPr>
              <w:pStyle w:val="TableContents"/>
              <w:bidi w:val="0"/>
              <w:spacing w:before="0" w:after="283"/>
              <w:jc w:val="left"/>
              <w:rPr/>
            </w:pPr>
            <w:r>
              <w:rPr/>
              <w:t>Nicolas Bonta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12" w:space="0" w:color="000000"/>
            </w:tcBorders>
            <w:vAlign w:val="center"/>
          </w:tcPr>
          <w:p>
            <w:pPr>
              <w:pStyle w:val="TableContents"/>
              <w:bidi w:val="0"/>
              <w:spacing w:before="0" w:after="283"/>
              <w:jc w:val="left"/>
              <w:rPr>
                <w:sz w:val="20"/>
              </w:rPr>
            </w:pPr>
            <w:r>
              <w:rPr>
                <w:sz w:val="20"/>
              </w:rPr>
              <w:t>/s/ Emiliano Joel Grodzki</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20"/>
              </w:rPr>
            </w:pPr>
            <w:r>
              <w:rPr>
                <w:sz w:val="20"/>
              </w:rPr>
              <w:t>Director and Founder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28, 2023</w:t>
            </w:r>
          </w:p>
        </w:tc>
      </w:tr>
      <w:tr>
        <w:trPr/>
        <w:tc>
          <w:tcPr>
            <w:tcW w:w="2165" w:type="dxa"/>
            <w:tcBorders/>
            <w:tcMar>
              <w:bottom w:w="0" w:type="dxa"/>
            </w:tcMar>
            <w:vAlign w:val="center"/>
          </w:tcPr>
          <w:p>
            <w:pPr>
              <w:pStyle w:val="TableContents"/>
              <w:bidi w:val="0"/>
              <w:spacing w:before="0" w:after="283"/>
              <w:jc w:val="left"/>
              <w:rPr/>
            </w:pPr>
            <w:r>
              <w:rPr/>
              <w:t>Emiliano Joel Grodzki</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12" w:space="0" w:color="000000"/>
            </w:tcBorders>
            <w:vAlign w:val="center"/>
          </w:tcPr>
          <w:p>
            <w:pPr>
              <w:pStyle w:val="TableContents"/>
              <w:bidi w:val="0"/>
              <w:spacing w:before="0" w:after="283"/>
              <w:jc w:val="left"/>
              <w:rPr>
                <w:sz w:val="20"/>
              </w:rPr>
            </w:pPr>
            <w:r>
              <w:rPr>
                <w:sz w:val="20"/>
              </w:rPr>
              <w:t>/s/ Brian Howlett</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20"/>
              </w:rPr>
            </w:pPr>
            <w:r>
              <w:rPr>
                <w:sz w:val="20"/>
              </w:rPr>
              <w:t>Lead 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28, 2023</w:t>
            </w:r>
          </w:p>
        </w:tc>
      </w:tr>
      <w:tr>
        <w:trPr/>
        <w:tc>
          <w:tcPr>
            <w:tcW w:w="2165" w:type="dxa"/>
            <w:tcBorders/>
            <w:tcMar>
              <w:bottom w:w="0" w:type="dxa"/>
            </w:tcMar>
            <w:vAlign w:val="center"/>
          </w:tcPr>
          <w:p>
            <w:pPr>
              <w:pStyle w:val="TableContents"/>
              <w:bidi w:val="0"/>
              <w:spacing w:before="0" w:after="283"/>
              <w:jc w:val="left"/>
              <w:rPr>
                <w:sz w:val="20"/>
              </w:rPr>
            </w:pPr>
            <w:r>
              <w:rPr>
                <w:sz w:val="20"/>
              </w:rPr>
              <w:t>Brian Howlett</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12" w:space="0" w:color="000000"/>
            </w:tcBorders>
            <w:vAlign w:val="center"/>
          </w:tcPr>
          <w:p>
            <w:pPr>
              <w:pStyle w:val="TableContents"/>
              <w:bidi w:val="0"/>
              <w:spacing w:before="0" w:after="283"/>
              <w:jc w:val="left"/>
              <w:rPr>
                <w:sz w:val="20"/>
              </w:rPr>
            </w:pPr>
            <w:r>
              <w:rPr>
                <w:sz w:val="20"/>
              </w:rPr>
              <w:t>/s/ Andrés Finkielsztain</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28, 2023</w:t>
            </w:r>
          </w:p>
        </w:tc>
      </w:tr>
      <w:tr>
        <w:trPr/>
        <w:tc>
          <w:tcPr>
            <w:tcW w:w="2165" w:type="dxa"/>
            <w:tcBorders/>
            <w:tcMar>
              <w:bottom w:w="0" w:type="dxa"/>
            </w:tcMar>
            <w:vAlign w:val="center"/>
          </w:tcPr>
          <w:p>
            <w:pPr>
              <w:pStyle w:val="TableContents"/>
              <w:bidi w:val="0"/>
              <w:spacing w:before="0" w:after="283"/>
              <w:jc w:val="left"/>
              <w:rPr>
                <w:sz w:val="20"/>
              </w:rPr>
            </w:pPr>
            <w:r>
              <w:rPr>
                <w:sz w:val="20"/>
              </w:rPr>
              <w:t>Andrés Finkielsztain</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12" w:space="0" w:color="000000"/>
            </w:tcBorders>
            <w:vAlign w:val="center"/>
          </w:tcPr>
          <w:p>
            <w:pPr>
              <w:pStyle w:val="TableContents"/>
              <w:bidi w:val="0"/>
              <w:spacing w:before="0" w:after="283"/>
              <w:jc w:val="left"/>
              <w:rPr>
                <w:sz w:val="20"/>
              </w:rPr>
            </w:pPr>
            <w:r>
              <w:rPr>
                <w:sz w:val="20"/>
              </w:rPr>
              <w:t>/s/ Edith M. Hofmeister</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sz w:val="20"/>
              </w:rPr>
            </w:pPr>
            <w:r>
              <w:rPr>
                <w:sz w:val="20"/>
              </w:rPr>
              <w:t>June 28, 2023</w:t>
            </w:r>
          </w:p>
        </w:tc>
      </w:tr>
      <w:tr>
        <w:trPr/>
        <w:tc>
          <w:tcPr>
            <w:tcW w:w="2165" w:type="dxa"/>
            <w:tcBorders/>
            <w:tcMar>
              <w:bottom w:w="0" w:type="dxa"/>
            </w:tcMar>
            <w:vAlign w:val="center"/>
          </w:tcPr>
          <w:p>
            <w:pPr>
              <w:pStyle w:val="TableContents"/>
              <w:bidi w:val="0"/>
              <w:spacing w:before="0" w:after="283"/>
              <w:jc w:val="left"/>
              <w:rPr>
                <w:sz w:val="20"/>
              </w:rPr>
            </w:pPr>
            <w:r>
              <w:rPr>
                <w:sz w:val="20"/>
              </w:rPr>
              <w:t>Edith M. Hofmeister</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6(a) of the Securities Act of 1933, the undersigned has signed this Registration Statement, in the capacity of the duly authorized representative of the Registrant in the United States, on June 28, 2023.</w:t>
      </w:r>
    </w:p>
    <w:p>
      <w:pPr>
        <w:pStyle w:val="TextBody"/>
        <w:bidi w:val="0"/>
        <w:spacing w:before="0" w:after="0"/>
        <w:ind w:left="0" w:right="0" w:firstLine="360"/>
        <w:jc w:val="both"/>
        <w:rPr>
          <w:caps w:val="false"/>
          <w:smallCaps w:val="false"/>
        </w:rPr>
      </w:pPr>
      <w:r>
        <w:rPr>
          <w:caps w:val="false"/>
          <w:smallCaps w:val="false"/>
        </w:rPr>
        <w:t> </w:t>
      </w:r>
    </w:p>
    <w:tbl>
      <w:tblPr>
        <w:tblW w:w="3754" w:type="dxa"/>
        <w:jc w:val="left"/>
        <w:tblInd w:w="0" w:type="dxa"/>
        <w:tblLayout w:type="fixed"/>
        <w:tblCellMar>
          <w:top w:w="0" w:type="dxa"/>
          <w:left w:w="0" w:type="dxa"/>
          <w:bottom w:w="0" w:type="dxa"/>
          <w:right w:w="0" w:type="dxa"/>
        </w:tblCellMar>
      </w:tblPr>
      <w:tblGrid>
        <w:gridCol w:w="75"/>
        <w:gridCol w:w="338"/>
        <w:gridCol w:w="671"/>
        <w:gridCol w:w="2670"/>
      </w:tblGrid>
      <w:tr>
        <w:trPr/>
        <w:tc>
          <w:tcPr>
            <w:tcW w:w="75"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283"/>
              <w:jc w:val="left"/>
              <w:rPr>
                <w:b/>
                <w:sz w:val="20"/>
              </w:rPr>
            </w:pPr>
            <w:r>
              <w:rPr>
                <w:b/>
                <w:sz w:val="20"/>
              </w:rPr>
              <w:t>Cogency Global Inc.</w:t>
            </w:r>
          </w:p>
        </w:tc>
      </w:tr>
      <w:tr>
        <w:trPr/>
        <w:tc>
          <w:tcPr>
            <w:tcW w:w="75"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283"/>
              <w:jc w:val="left"/>
              <w:rPr>
                <w:sz w:val="20"/>
              </w:rPr>
            </w:pPr>
            <w:r>
              <w:rPr>
                <w:sz w:val="20"/>
              </w:rPr>
              <w:t>as authorized representative for Bitfarms Ltd.</w:t>
            </w:r>
          </w:p>
        </w:tc>
      </w:tr>
      <w:tr>
        <w:trPr/>
        <w:tc>
          <w:tcPr>
            <w:tcW w:w="75"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20"/>
              </w:rPr>
            </w:pPr>
            <w:r>
              <w:rPr>
                <w:sz w:val="20"/>
              </w:rPr>
              <w:t>By:</w:t>
            </w:r>
          </w:p>
        </w:tc>
        <w:tc>
          <w:tcPr>
            <w:tcW w:w="3341"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Colleen A. De Vries</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sz w:val="20"/>
              </w:rPr>
            </w:pPr>
            <w:r>
              <w:rPr>
                <w:sz w:val="20"/>
              </w:rPr>
              <w:t xml:space="preserve">Name:  </w:t>
            </w:r>
          </w:p>
        </w:tc>
        <w:tc>
          <w:tcPr>
            <w:tcW w:w="2670" w:type="dxa"/>
            <w:tcBorders/>
            <w:vAlign w:val="center"/>
          </w:tcPr>
          <w:p>
            <w:pPr>
              <w:pStyle w:val="TableContents"/>
              <w:bidi w:val="0"/>
              <w:spacing w:before="0" w:after="283"/>
              <w:jc w:val="left"/>
              <w:rPr>
                <w:sz w:val="20"/>
              </w:rPr>
            </w:pPr>
            <w:r>
              <w:rPr>
                <w:sz w:val="20"/>
              </w:rPr>
              <w:t>Colleen A. De Vries</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sz w:val="20"/>
              </w:rPr>
            </w:pPr>
            <w:r>
              <w:rPr>
                <w:sz w:val="20"/>
              </w:rPr>
              <w:t>Title:</w:t>
            </w:r>
          </w:p>
        </w:tc>
        <w:tc>
          <w:tcPr>
            <w:tcW w:w="2670" w:type="dxa"/>
            <w:tcBorders/>
            <w:vAlign w:val="center"/>
          </w:tcPr>
          <w:p>
            <w:pPr>
              <w:pStyle w:val="TableContents"/>
              <w:bidi w:val="0"/>
              <w:spacing w:before="0" w:after="283"/>
              <w:jc w:val="left"/>
              <w:rPr>
                <w:sz w:val="20"/>
              </w:rPr>
            </w:pPr>
            <w:r>
              <w:rPr>
                <w:sz w:val="20"/>
              </w:rPr>
              <w:t xml:space="preserve">Sr. Vice President on behalf of </w:t>
              <w:br/>
              <w:t>Cogency Global Inc.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30" w:name="ea180981ex5-1_bitfarmsltd.htm"/>
      <w:bookmarkStart w:id="31" w:name="ksea180981ex51_bitfarmsltd"/>
      <w:bookmarkEnd w:id="30"/>
      <w:bookmarkEnd w:id="31"/>
      <w:r>
        <w:rPr/>
        <w:t> </w:t>
      </w:r>
      <w:r>
        <w:br w:type="page"/>
      </w:r>
    </w:p>
    <w:p>
      <w:pPr>
        <w:pStyle w:val="TextBody"/>
        <w:bidi w:val="0"/>
        <w:jc w:val="right"/>
        <w:rPr>
          <w:b/>
        </w:rPr>
      </w:pPr>
      <w:r>
        <w:rPr>
          <w:b/>
        </w:rPr>
        <w:t>Exhibit 5.1</w:t>
      </w:r>
    </w:p>
    <w:p>
      <w:pPr>
        <w:pStyle w:val="TextBody"/>
        <w:bidi w:val="0"/>
        <w:jc w:val="right"/>
        <w:rPr/>
      </w:pPr>
      <w:r>
        <w:rPr/>
        <w:t> </w:t>
      </w:r>
    </w:p>
    <w:p>
      <w:pPr>
        <w:pStyle w:val="TextBody"/>
        <w:bidi w:val="0"/>
        <w:jc w:val="left"/>
        <w:rPr/>
      </w:pPr>
      <w:r>
        <w:rPr/>
        <w:drawing>
          <wp:inline distT="0" distB="0" distL="0" distR="0">
            <wp:extent cx="971550"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971550" cy="733425"/>
                    </a:xfrm>
                    <a:prstGeom prst="rect">
                      <a:avLst/>
                    </a:prstGeom>
                  </pic:spPr>
                </pic:pic>
              </a:graphicData>
            </a:graphic>
          </wp:inline>
        </w:drawing>
      </w:r>
    </w:p>
    <w:p>
      <w:pPr>
        <w:pStyle w:val="TextBody"/>
        <w:bidi w:val="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F-10 of Bitfarms Ltd. (the Company) of our report dated March 20, 2023, relating to the consolidated financial statements, which appears in Exhibit 99.2 to the Company’s Annual Report on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reference to us under the heading “Experts,” which appears in the Annual Information Form included in Exhibit 99.1 of the Company’s Annual Report on Form 40-F, which is incorporated by reference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212121"/>
          <w:sz w:val="20"/>
        </w:rPr>
      </w:pPr>
      <w:r>
        <w:rPr>
          <w:rFonts w:ascii="Times New Roman;Times;Serif" w:hAnsi="Times New Roman;Times;Serif"/>
          <w:b/>
          <w:i w:val="false"/>
          <w:caps w:val="false"/>
          <w:smallCaps w:val="false"/>
          <w:color w:val="212121"/>
          <w:sz w:val="20"/>
        </w:rPr>
        <w:t>/s/PricewaterhouseCoopers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283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0" w:right="2837" w:hanging="0"/>
        <w:jc w:val="left"/>
        <w:rPr>
          <w:caps w:val="false"/>
          <w:smallCaps w:val="false"/>
        </w:rPr>
      </w:pPr>
      <w:r>
        <w:rPr>
          <w:caps w:val="false"/>
          <w:smallCaps w:val="false"/>
        </w:rPr>
        <w:t> </w:t>
      </w:r>
    </w:p>
    <w:p>
      <w:pPr>
        <w:pStyle w:val="TextBody"/>
        <w:bidi w:val="0"/>
        <w:spacing w:before="0" w:after="0"/>
        <w:ind w:left="0" w:right="283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Oakville, Canada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28,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PricewaterhouseCoopers LLP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PwC Centre, 354 Davis Road, Suite 600, Oakville, Ontario, Canada L6J 0C5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+1 905 815 6300, F: +1 905 815 6499, ca_oakville_main_fax@pwc.com, www.pwc.com/ca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r>
        <w:rPr/>
        <w:t> </w:t>
      </w:r>
    </w:p>
    <w:p>
      <w:pPr>
        <w:pStyle w:val="TextBody"/>
        <w:bidi w:val="0"/>
        <w:spacing w:before="0" w:after="0"/>
        <w:jc w:val="right"/>
        <w:rPr>
          <w:rFonts w:ascii="Times New Roman;Times;Serif" w:hAnsi="Times New Roman;Times;Serif"/>
          <w:b/>
          <w:i w:val="false"/>
          <w:caps w:val="false"/>
          <w:smallCaps w:val="false"/>
          <w:sz w:val="20"/>
        </w:rPr>
      </w:pPr>
      <w:bookmarkStart w:id="32" w:name="ea180981ex-fee_bitfarms.htm"/>
      <w:bookmarkStart w:id="33" w:name="ksea180981exfee_bitfarms"/>
      <w:bookmarkEnd w:id="32"/>
      <w:bookmarkEnd w:id="33"/>
      <w:r>
        <w:rPr>
          <w:rFonts w:ascii="Times New Roman;Times;Serif" w:hAnsi="Times New Roman;Times;Serif"/>
          <w:b/>
          <w:i w:val="false"/>
          <w:caps w:val="false"/>
          <w:smallCaps w:val="false"/>
          <w:sz w:val="20"/>
        </w:rPr>
        <w:t>Exhibit 107</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and Carry Forward Securities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3"/>
        <w:gridCol w:w="60"/>
        <w:gridCol w:w="1225"/>
        <w:gridCol w:w="60"/>
        <w:gridCol w:w="1158"/>
        <w:gridCol w:w="60"/>
        <w:gridCol w:w="1026"/>
        <w:gridCol w:w="60"/>
        <w:gridCol w:w="110"/>
        <w:gridCol w:w="920"/>
        <w:gridCol w:w="153"/>
        <w:gridCol w:w="60"/>
        <w:gridCol w:w="73"/>
        <w:gridCol w:w="682"/>
        <w:gridCol w:w="153"/>
        <w:gridCol w:w="60"/>
        <w:gridCol w:w="111"/>
        <w:gridCol w:w="930"/>
        <w:gridCol w:w="153"/>
        <w:gridCol w:w="60"/>
        <w:gridCol w:w="110"/>
        <w:gridCol w:w="785"/>
        <w:gridCol w:w="60"/>
        <w:gridCol w:w="60"/>
        <w:gridCol w:w="130"/>
        <w:gridCol w:w="881"/>
        <w:gridCol w:w="82"/>
      </w:tblGrid>
      <w:tr>
        <w:trPr/>
        <w:tc>
          <w:tcPr>
            <w:tcW w:w="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Security Type</w:t>
            </w:r>
          </w:p>
        </w:tc>
        <w:tc>
          <w:tcPr>
            <w:tcW w:w="60" w:type="dxa"/>
            <w:tcBorders/>
            <w:vAlign w:val="center"/>
          </w:tcPr>
          <w:p>
            <w:pPr>
              <w:pStyle w:val="TableContents"/>
              <w:bidi w:val="0"/>
              <w:spacing w:before="0" w:after="283"/>
              <w:jc w:val="left"/>
              <w:rPr/>
            </w:pPr>
            <w:r>
              <w:rPr/>
              <w:t> </w:t>
            </w:r>
          </w:p>
        </w:tc>
        <w:tc>
          <w:tcPr>
            <w:tcW w:w="115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Security Class</w:t>
              <w:br/>
              <w:t>Title</w:t>
            </w:r>
          </w:p>
        </w:tc>
        <w:tc>
          <w:tcPr>
            <w:tcW w:w="60" w:type="dxa"/>
            <w:tcBorders/>
            <w:vAlign w:val="center"/>
          </w:tcPr>
          <w:p>
            <w:pPr>
              <w:pStyle w:val="TableContents"/>
              <w:bidi w:val="0"/>
              <w:spacing w:before="0" w:after="283"/>
              <w:jc w:val="left"/>
              <w:rPr/>
            </w:pPr>
            <w:r>
              <w:rPr/>
              <w:t> </w:t>
            </w:r>
          </w:p>
        </w:tc>
        <w:tc>
          <w:tcPr>
            <w:tcW w:w="102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Fee</w:t>
              <w:br/>
              <w:t>Calculation</w:t>
              <w:br/>
              <w:t>Rule or Instruction</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br/>
              <w:t>Registered</w:t>
            </w:r>
          </w:p>
        </w:tc>
        <w:tc>
          <w:tcPr>
            <w:tcW w:w="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Proposed</w:t>
              <w:br/>
              <w:t>Maximum</w:t>
              <w:br/>
              <w:t>Offering</w:t>
              <w:br/>
              <w:t>Price</w:t>
              <w:br/>
              <w:t>Per Unit</w:t>
            </w:r>
          </w:p>
        </w:tc>
        <w:tc>
          <w:tcPr>
            <w:tcW w:w="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Maximum</w:t>
              <w:br/>
              <w:t>Aggregate</w:t>
              <w:br/>
              <w:t>Offering Price</w:t>
            </w:r>
          </w:p>
        </w:tc>
        <w:tc>
          <w:tcPr>
            <w:tcW w:w="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Fee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 of</w:t>
              <w:br/>
              <w:t>Registration Fee</w:t>
            </w:r>
          </w:p>
        </w:tc>
        <w:tc>
          <w:tcPr>
            <w:tcW w:w="82" w:type="dxa"/>
            <w:tcBorders/>
            <w:vAlign w:val="center"/>
          </w:tcPr>
          <w:p>
            <w:pPr>
              <w:pStyle w:val="TableContents"/>
              <w:bidi w:val="0"/>
              <w:spacing w:before="0" w:after="283"/>
              <w:jc w:val="left"/>
              <w:rPr/>
            </w:pPr>
            <w:r>
              <w:rPr/>
              <w:t> </w:t>
            </w:r>
          </w:p>
        </w:tc>
      </w:tr>
      <w:tr>
        <w:trPr/>
        <w:tc>
          <w:tcPr>
            <w:tcW w:w="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0" w:type="dxa"/>
            <w:gridSpan w:val="2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Newly Registered Securities</w:t>
            </w:r>
          </w:p>
        </w:tc>
        <w:tc>
          <w:tcPr>
            <w:tcW w:w="82" w:type="dxa"/>
            <w:tcBorders/>
            <w:vAlign w:val="center"/>
          </w:tcPr>
          <w:p>
            <w:pPr>
              <w:pStyle w:val="TableContents"/>
              <w:bidi w:val="0"/>
              <w:spacing w:before="0" w:after="283"/>
              <w:jc w:val="left"/>
              <w:rPr/>
            </w:pPr>
            <w:r>
              <w:rPr/>
              <w:t> </w:t>
            </w:r>
          </w:p>
        </w:tc>
      </w:tr>
      <w:tr>
        <w:trPr/>
        <w:tc>
          <w:tcPr>
            <w:tcW w:w="9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to be paid</w:t>
            </w:r>
          </w:p>
        </w:tc>
        <w:tc>
          <w:tcPr>
            <w:tcW w:w="6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6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Common Shares</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Rule 457(o)</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2" w:type="dxa"/>
            <w:tcBorders/>
            <w:shd w:fill="CCEEFF" w:val="clear"/>
            <w:vAlign w:val="center"/>
          </w:tcPr>
          <w:p>
            <w:pPr>
              <w:pStyle w:val="TableContents"/>
              <w:bidi w:val="0"/>
              <w:spacing w:before="0" w:after="283"/>
              <w:jc w:val="left"/>
              <w:rPr/>
            </w:pPr>
            <w:r>
              <w:rPr/>
              <w:t> </w:t>
            </w:r>
          </w:p>
        </w:tc>
      </w:tr>
      <w:tr>
        <w:trPr/>
        <w:tc>
          <w:tcPr>
            <w:tcW w:w="9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to be paid</w:t>
            </w:r>
          </w:p>
        </w:tc>
        <w:tc>
          <w:tcPr>
            <w:tcW w:w="6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Debt</w:t>
            </w:r>
          </w:p>
        </w:tc>
        <w:tc>
          <w:tcPr>
            <w:tcW w:w="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Debt Securities</w:t>
            </w:r>
          </w:p>
        </w:tc>
        <w:tc>
          <w:tcPr>
            <w:tcW w:w="6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Rule 457(o)</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r>
      <w:tr>
        <w:trPr/>
        <w:tc>
          <w:tcPr>
            <w:tcW w:w="9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to be paid</w:t>
            </w:r>
          </w:p>
        </w:tc>
        <w:tc>
          <w:tcPr>
            <w:tcW w:w="6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Other</w:t>
            </w:r>
          </w:p>
        </w:tc>
        <w:tc>
          <w:tcPr>
            <w:tcW w:w="6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Warrants</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Rule 457(o)</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2" w:type="dxa"/>
            <w:tcBorders/>
            <w:shd w:fill="CCEEFF" w:val="clear"/>
            <w:vAlign w:val="center"/>
          </w:tcPr>
          <w:p>
            <w:pPr>
              <w:pStyle w:val="TableContents"/>
              <w:bidi w:val="0"/>
              <w:spacing w:before="0" w:after="283"/>
              <w:jc w:val="left"/>
              <w:rPr/>
            </w:pPr>
            <w:r>
              <w:rPr/>
              <w:t> </w:t>
            </w:r>
          </w:p>
        </w:tc>
      </w:tr>
      <w:tr>
        <w:trPr/>
        <w:tc>
          <w:tcPr>
            <w:tcW w:w="9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to be paid</w:t>
            </w:r>
          </w:p>
        </w:tc>
        <w:tc>
          <w:tcPr>
            <w:tcW w:w="6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Other</w:t>
            </w:r>
          </w:p>
        </w:tc>
        <w:tc>
          <w:tcPr>
            <w:tcW w:w="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Units</w:t>
            </w:r>
          </w:p>
        </w:tc>
        <w:tc>
          <w:tcPr>
            <w:tcW w:w="6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Rule 457(o)</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r>
      <w:tr>
        <w:trPr/>
        <w:tc>
          <w:tcPr>
            <w:tcW w:w="9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to be paid</w:t>
            </w:r>
          </w:p>
        </w:tc>
        <w:tc>
          <w:tcPr>
            <w:tcW w:w="6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Other</w:t>
            </w:r>
          </w:p>
        </w:tc>
        <w:tc>
          <w:tcPr>
            <w:tcW w:w="6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Share Purchase Contracts</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Rule 457(o)</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2" w:type="dxa"/>
            <w:tcBorders/>
            <w:shd w:fill="CCEEFF" w:val="clear"/>
            <w:vAlign w:val="center"/>
          </w:tcPr>
          <w:p>
            <w:pPr>
              <w:pStyle w:val="TableContents"/>
              <w:bidi w:val="0"/>
              <w:spacing w:before="0" w:after="283"/>
              <w:jc w:val="left"/>
              <w:rPr/>
            </w:pPr>
            <w:r>
              <w:rPr/>
              <w:t> </w:t>
            </w:r>
          </w:p>
        </w:tc>
      </w:tr>
      <w:tr>
        <w:trPr/>
        <w:tc>
          <w:tcPr>
            <w:tcW w:w="9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to be paid</w:t>
            </w:r>
          </w:p>
        </w:tc>
        <w:tc>
          <w:tcPr>
            <w:tcW w:w="6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Other</w:t>
            </w:r>
          </w:p>
        </w:tc>
        <w:tc>
          <w:tcPr>
            <w:tcW w:w="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Subscription Receipts</w:t>
            </w:r>
          </w:p>
        </w:tc>
        <w:tc>
          <w:tcPr>
            <w:tcW w:w="6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Rule 457(o)</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r>
      <w:tr>
        <w:trPr/>
        <w:tc>
          <w:tcPr>
            <w:tcW w:w="98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to be Paid</w:t>
            </w:r>
          </w:p>
        </w:tc>
        <w:tc>
          <w:tcPr>
            <w:tcW w:w="6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Unallocated (Universal) Shelf</w:t>
            </w:r>
          </w:p>
        </w:tc>
        <w:tc>
          <w:tcPr>
            <w:tcW w:w="6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Rule 457(o)</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375,000,000</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375,000,000</w:t>
            </w:r>
          </w:p>
        </w:tc>
        <w:tc>
          <w:tcPr>
            <w:tcW w:w="153" w:type="dxa"/>
            <w:tcBorders/>
            <w:shd w:fill="CCEEFF" w:val="clear"/>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0.0001102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8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41,325</w:t>
            </w:r>
          </w:p>
        </w:tc>
        <w:tc>
          <w:tcPr>
            <w:tcW w:w="82" w:type="dxa"/>
            <w:tcBorders/>
            <w:shd w:fill="CCEEFF" w:val="clear"/>
            <w:vAlign w:val="center"/>
          </w:tcPr>
          <w:p>
            <w:pPr>
              <w:pStyle w:val="TableContents"/>
              <w:bidi w:val="0"/>
              <w:spacing w:before="0" w:after="283"/>
              <w:jc w:val="left"/>
              <w:rPr/>
            </w:pPr>
            <w:r>
              <w:rPr/>
              <w:t> </w:t>
            </w:r>
          </w:p>
        </w:tc>
      </w:tr>
      <w:tr>
        <w:trPr/>
        <w:tc>
          <w:tcPr>
            <w:tcW w:w="98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Previously Paid</w:t>
            </w:r>
          </w:p>
        </w:tc>
        <w:tc>
          <w:tcPr>
            <w:tcW w:w="60"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r>
              <w:rPr>
                <w:rFonts w:ascii="Times New Roman;Times;Serif" w:hAnsi="Times New Roman;Times;Serif"/>
                <w:sz w:val="16"/>
              </w:rPr>
              <w:t>-</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3"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r>
      <w:tr>
        <w:trPr/>
        <w:tc>
          <w:tcPr>
            <w:tcW w:w="9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619" w:type="dxa"/>
            <w:gridSpan w:val="8"/>
            <w:tcBorders/>
            <w:shd w:fill="CCEE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Offering Amounts</w:t>
            </w:r>
          </w:p>
        </w:tc>
        <w:tc>
          <w:tcPr>
            <w:tcW w:w="15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3" w:type="dxa"/>
            <w:tcBorders/>
            <w:shd w:fill="CCEEFF" w:val="clear"/>
            <w:vAlign w:val="center"/>
          </w:tcPr>
          <w:p>
            <w:pPr>
              <w:pStyle w:val="TableContents"/>
              <w:bidi w:val="0"/>
              <w:spacing w:before="0" w:after="283"/>
              <w:jc w:val="center"/>
              <w:rPr/>
            </w:pPr>
            <w:r>
              <w:rPr/>
              <w:t> </w:t>
            </w:r>
          </w:p>
        </w:tc>
        <w:tc>
          <w:tcPr>
            <w:tcW w:w="682" w:type="dxa"/>
            <w:tcBorders/>
            <w:shd w:fill="CCEEFF" w:val="clear"/>
            <w:vAlign w:val="center"/>
          </w:tcPr>
          <w:p>
            <w:pPr>
              <w:pStyle w:val="TableContents"/>
              <w:bidi w:val="0"/>
              <w:spacing w:before="0" w:after="283"/>
              <w:jc w:val="center"/>
              <w:rPr/>
            </w:pPr>
            <w:r>
              <w:rPr/>
              <w:t> </w:t>
            </w:r>
          </w:p>
        </w:tc>
        <w:tc>
          <w:tcPr>
            <w:tcW w:w="15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375,000,000</w:t>
            </w:r>
          </w:p>
        </w:tc>
        <w:tc>
          <w:tcPr>
            <w:tcW w:w="153" w:type="dxa"/>
            <w:tcBorders/>
            <w:shd w:fill="CCEEFF" w:val="clear"/>
            <w:vAlign w:val="center"/>
          </w:tcPr>
          <w:p>
            <w:pPr>
              <w:pStyle w:val="TableContents"/>
              <w:bidi w:val="0"/>
              <w:spacing w:before="0" w:after="283"/>
              <w:jc w:val="center"/>
              <w:rPr>
                <w:position w:val="8"/>
                <w:sz w:val="19"/>
              </w:rPr>
            </w:pPr>
            <w:r>
              <w:rPr>
                <w:position w:val="8"/>
                <w:sz w:val="19"/>
              </w:rPr>
              <w:t> </w:t>
            </w:r>
          </w:p>
        </w:tc>
        <w:tc>
          <w:tcPr>
            <w:tcW w:w="60" w:type="dxa"/>
            <w:tcBorders/>
            <w:shd w:fill="CCEEFF" w:val="clear"/>
            <w:vAlign w:val="center"/>
          </w:tcPr>
          <w:p>
            <w:pPr>
              <w:pStyle w:val="TableContents"/>
              <w:bidi w:val="0"/>
              <w:spacing w:before="0" w:after="283"/>
              <w:jc w:val="center"/>
              <w:rPr/>
            </w:pPr>
            <w:r>
              <w:rPr/>
              <w:t> </w:t>
            </w:r>
          </w:p>
        </w:tc>
        <w:tc>
          <w:tcPr>
            <w:tcW w:w="110" w:type="dxa"/>
            <w:tcBorders/>
            <w:shd w:fill="CCEEFF" w:val="clear"/>
            <w:vAlign w:val="center"/>
          </w:tcPr>
          <w:p>
            <w:pPr>
              <w:pStyle w:val="TableContents"/>
              <w:bidi w:val="0"/>
              <w:spacing w:before="0" w:after="283"/>
              <w:jc w:val="center"/>
              <w:rPr/>
            </w:pPr>
            <w:r>
              <w:rPr/>
              <w:t> </w:t>
            </w:r>
          </w:p>
        </w:tc>
        <w:tc>
          <w:tcPr>
            <w:tcW w:w="7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41,325</w:t>
            </w:r>
          </w:p>
        </w:tc>
        <w:tc>
          <w:tcPr>
            <w:tcW w:w="82" w:type="dxa"/>
            <w:tcBorders/>
            <w:shd w:fill="CCEEFF" w:val="clear"/>
            <w:vAlign w:val="center"/>
          </w:tcPr>
          <w:p>
            <w:pPr>
              <w:pStyle w:val="TableContents"/>
              <w:bidi w:val="0"/>
              <w:spacing w:before="0" w:after="283"/>
              <w:jc w:val="center"/>
              <w:rPr/>
            </w:pPr>
            <w:r>
              <w:rPr/>
              <w:t> </w:t>
            </w:r>
          </w:p>
        </w:tc>
      </w:tr>
      <w:tr>
        <w:trPr/>
        <w:tc>
          <w:tcPr>
            <w:tcW w:w="9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619" w:type="dxa"/>
            <w:gridSpan w:val="8"/>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Fees Previously Paid</w:t>
            </w:r>
          </w:p>
        </w:tc>
        <w:tc>
          <w:tcPr>
            <w:tcW w:w="1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3" w:type="dxa"/>
            <w:tcBorders/>
            <w:shd w:fill="FFFFFF" w:val="clear"/>
            <w:vAlign w:val="center"/>
          </w:tcPr>
          <w:p>
            <w:pPr>
              <w:pStyle w:val="TableContents"/>
              <w:bidi w:val="0"/>
              <w:spacing w:before="0" w:after="283"/>
              <w:jc w:val="center"/>
              <w:rPr/>
            </w:pPr>
            <w:r>
              <w:rPr/>
              <w:t> </w:t>
            </w:r>
          </w:p>
        </w:tc>
        <w:tc>
          <w:tcPr>
            <w:tcW w:w="682"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1" w:type="dxa"/>
            <w:tcBorders/>
            <w:shd w:fill="FFFFFF" w:val="clear"/>
            <w:vAlign w:val="center"/>
          </w:tcPr>
          <w:p>
            <w:pPr>
              <w:pStyle w:val="TableContents"/>
              <w:bidi w:val="0"/>
              <w:spacing w:before="0" w:after="283"/>
              <w:jc w:val="center"/>
              <w:rPr/>
            </w:pPr>
            <w:r>
              <w:rPr/>
              <w:t> </w:t>
            </w:r>
          </w:p>
        </w:tc>
        <w:tc>
          <w:tcPr>
            <w:tcW w:w="930"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7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8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center"/>
              <w:rPr/>
            </w:pPr>
            <w:r>
              <w:rPr/>
              <w:t> </w:t>
            </w:r>
          </w:p>
        </w:tc>
      </w:tr>
      <w:tr>
        <w:trPr/>
        <w:tc>
          <w:tcPr>
            <w:tcW w:w="9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619" w:type="dxa"/>
            <w:gridSpan w:val="8"/>
            <w:tcBorders/>
            <w:shd w:fill="CCEE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Fee Offsets</w:t>
            </w:r>
          </w:p>
        </w:tc>
        <w:tc>
          <w:tcPr>
            <w:tcW w:w="15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3" w:type="dxa"/>
            <w:tcBorders/>
            <w:shd w:fill="CCEEFF" w:val="clear"/>
            <w:vAlign w:val="center"/>
          </w:tcPr>
          <w:p>
            <w:pPr>
              <w:pStyle w:val="TableContents"/>
              <w:bidi w:val="0"/>
              <w:spacing w:before="0" w:after="283"/>
              <w:jc w:val="center"/>
              <w:rPr/>
            </w:pPr>
            <w:r>
              <w:rPr/>
              <w:t> </w:t>
            </w:r>
          </w:p>
        </w:tc>
        <w:tc>
          <w:tcPr>
            <w:tcW w:w="682" w:type="dxa"/>
            <w:tcBorders/>
            <w:shd w:fill="CCEEFF" w:val="clear"/>
            <w:vAlign w:val="center"/>
          </w:tcPr>
          <w:p>
            <w:pPr>
              <w:pStyle w:val="TableContents"/>
              <w:bidi w:val="0"/>
              <w:spacing w:before="0" w:after="283"/>
              <w:jc w:val="center"/>
              <w:rPr/>
            </w:pPr>
            <w:r>
              <w:rPr/>
              <w:t> </w:t>
            </w:r>
          </w:p>
        </w:tc>
        <w:tc>
          <w:tcPr>
            <w:tcW w:w="15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1" w:type="dxa"/>
            <w:tcBorders/>
            <w:shd w:fill="CCEEFF" w:val="clear"/>
            <w:vAlign w:val="center"/>
          </w:tcPr>
          <w:p>
            <w:pPr>
              <w:pStyle w:val="TableContents"/>
              <w:bidi w:val="0"/>
              <w:spacing w:before="0" w:after="283"/>
              <w:jc w:val="center"/>
              <w:rPr/>
            </w:pPr>
            <w:r>
              <w:rPr/>
              <w:t> </w:t>
            </w:r>
          </w:p>
        </w:tc>
        <w:tc>
          <w:tcPr>
            <w:tcW w:w="930" w:type="dxa"/>
            <w:tcBorders/>
            <w:shd w:fill="CCEEFF" w:val="clear"/>
            <w:vAlign w:val="center"/>
          </w:tcPr>
          <w:p>
            <w:pPr>
              <w:pStyle w:val="TableContents"/>
              <w:bidi w:val="0"/>
              <w:spacing w:before="0" w:after="283"/>
              <w:jc w:val="center"/>
              <w:rPr/>
            </w:pPr>
            <w:r>
              <w:rPr/>
              <w:t> </w:t>
            </w:r>
          </w:p>
        </w:tc>
        <w:tc>
          <w:tcPr>
            <w:tcW w:w="15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0" w:type="dxa"/>
            <w:tcBorders/>
            <w:shd w:fill="CCEEFF" w:val="clear"/>
            <w:vAlign w:val="center"/>
          </w:tcPr>
          <w:p>
            <w:pPr>
              <w:pStyle w:val="TableContents"/>
              <w:bidi w:val="0"/>
              <w:spacing w:before="0" w:after="283"/>
              <w:jc w:val="center"/>
              <w:rPr/>
            </w:pPr>
            <w:r>
              <w:rPr/>
              <w:t> </w:t>
            </w:r>
          </w:p>
        </w:tc>
        <w:tc>
          <w:tcPr>
            <w:tcW w:w="7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27,907.18</w:t>
            </w:r>
          </w:p>
        </w:tc>
        <w:tc>
          <w:tcPr>
            <w:tcW w:w="82" w:type="dxa"/>
            <w:tcBorders/>
            <w:shd w:fill="CCEEFF" w:val="clear"/>
            <w:vAlign w:val="center"/>
          </w:tcPr>
          <w:p>
            <w:pPr>
              <w:pStyle w:val="TableContents"/>
              <w:bidi w:val="0"/>
              <w:spacing w:before="0" w:after="283"/>
              <w:jc w:val="center"/>
              <w:rPr/>
            </w:pPr>
            <w:r>
              <w:rPr/>
              <w:t> </w:t>
            </w:r>
          </w:p>
        </w:tc>
      </w:tr>
      <w:tr>
        <w:trPr/>
        <w:tc>
          <w:tcPr>
            <w:tcW w:w="9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619" w:type="dxa"/>
            <w:gridSpan w:val="8"/>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Net Fee Due</w:t>
            </w:r>
          </w:p>
        </w:tc>
        <w:tc>
          <w:tcPr>
            <w:tcW w:w="1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3" w:type="dxa"/>
            <w:tcBorders/>
            <w:shd w:fill="FFFFFF" w:val="clear"/>
            <w:vAlign w:val="center"/>
          </w:tcPr>
          <w:p>
            <w:pPr>
              <w:pStyle w:val="TableContents"/>
              <w:bidi w:val="0"/>
              <w:spacing w:before="0" w:after="283"/>
              <w:jc w:val="center"/>
              <w:rPr/>
            </w:pPr>
            <w:r>
              <w:rPr/>
              <w:t> </w:t>
            </w:r>
          </w:p>
        </w:tc>
        <w:tc>
          <w:tcPr>
            <w:tcW w:w="682"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1" w:type="dxa"/>
            <w:tcBorders/>
            <w:shd w:fill="FFFFFF" w:val="clear"/>
            <w:vAlign w:val="center"/>
          </w:tcPr>
          <w:p>
            <w:pPr>
              <w:pStyle w:val="TableContents"/>
              <w:bidi w:val="0"/>
              <w:spacing w:before="0" w:after="283"/>
              <w:jc w:val="center"/>
              <w:rPr/>
            </w:pPr>
            <w:r>
              <w:rPr/>
              <w:t> </w:t>
            </w:r>
          </w:p>
        </w:tc>
        <w:tc>
          <w:tcPr>
            <w:tcW w:w="930"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7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8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13,417.82</w:t>
            </w:r>
          </w:p>
        </w:tc>
        <w:tc>
          <w:tcPr>
            <w:tcW w:w="82" w:type="dxa"/>
            <w:tcBorders/>
            <w:shd w:fill="FFFFFF" w:val="cle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2: Fee Offset Claims and Sources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w:t>
      </w:r>
    </w:p>
    <w:p>
      <w:pPr>
        <w:pStyle w:val="TextBody"/>
        <w:bidi w:val="0"/>
        <w:spacing w:before="0" w:after="0"/>
        <w:ind w:left="0" w:right="0" w:hanging="0"/>
        <w:jc w:val="center"/>
        <w:rPr>
          <w:caps w:val="false"/>
          <w:smallCaps w:val="false"/>
        </w:rPr>
      </w:pPr>
      <w:r>
        <w:rPr>
          <w:caps w:val="false"/>
          <w:smallCaps w:val="false"/>
        </w:rPr>
        <w:t> </w:t>
      </w:r>
    </w:p>
    <w:tbl>
      <w:tblPr>
        <w:tblW w:w="12535" w:type="dxa"/>
        <w:jc w:val="left"/>
        <w:tblInd w:w="0" w:type="dxa"/>
        <w:tblLayout w:type="fixed"/>
        <w:tblCellMar>
          <w:top w:w="0" w:type="dxa"/>
          <w:left w:w="0" w:type="dxa"/>
          <w:bottom w:w="0" w:type="dxa"/>
          <w:right w:w="0" w:type="dxa"/>
        </w:tblCellMar>
      </w:tblPr>
      <w:tblGrid>
        <w:gridCol w:w="1310"/>
        <w:gridCol w:w="60"/>
        <w:gridCol w:w="935"/>
        <w:gridCol w:w="60"/>
        <w:gridCol w:w="485"/>
        <w:gridCol w:w="60"/>
        <w:gridCol w:w="605"/>
        <w:gridCol w:w="60"/>
        <w:gridCol w:w="1190"/>
        <w:gridCol w:w="60"/>
        <w:gridCol w:w="188"/>
        <w:gridCol w:w="252"/>
        <w:gridCol w:w="60"/>
        <w:gridCol w:w="60"/>
        <w:gridCol w:w="110"/>
        <w:gridCol w:w="740"/>
        <w:gridCol w:w="170"/>
        <w:gridCol w:w="60"/>
        <w:gridCol w:w="2015"/>
        <w:gridCol w:w="60"/>
        <w:gridCol w:w="98"/>
        <w:gridCol w:w="687"/>
        <w:gridCol w:w="170"/>
        <w:gridCol w:w="60"/>
        <w:gridCol w:w="98"/>
        <w:gridCol w:w="687"/>
        <w:gridCol w:w="170"/>
        <w:gridCol w:w="60"/>
        <w:gridCol w:w="110"/>
        <w:gridCol w:w="1145"/>
        <w:gridCol w:w="60"/>
        <w:gridCol w:w="60"/>
        <w:gridCol w:w="220"/>
        <w:gridCol w:w="295"/>
        <w:gridCol w:w="75"/>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Registrant</w:t>
              <w:br/>
              <w:t>or Filer</w:t>
              <w:br/>
              <w:t>Name</w:t>
            </w:r>
          </w:p>
        </w:tc>
        <w:tc>
          <w:tcPr>
            <w:tcW w:w="60" w:type="dxa"/>
            <w:tcBorders/>
            <w:vAlign w:val="center"/>
          </w:tcPr>
          <w:p>
            <w:pPr>
              <w:pStyle w:val="TableContents"/>
              <w:bidi w:val="0"/>
              <w:spacing w:before="0" w:after="283"/>
              <w:jc w:val="center"/>
              <w:rPr/>
            </w:pPr>
            <w:r>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Forms or</w:t>
              <w:br/>
              <w:t>Filing</w:t>
              <w:br/>
              <w:t>Type</w:t>
            </w:r>
          </w:p>
        </w:tc>
        <w:tc>
          <w:tcPr>
            <w:tcW w:w="60" w:type="dxa"/>
            <w:tcBorders/>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File</w:t>
              <w:br/>
              <w:t>Number</w:t>
            </w:r>
          </w:p>
        </w:tc>
        <w:tc>
          <w:tcPr>
            <w:tcW w:w="60" w:type="dxa"/>
            <w:tcBorders/>
            <w:vAlign w:val="center"/>
          </w:tcPr>
          <w:p>
            <w:pPr>
              <w:pStyle w:val="TableContents"/>
              <w:bidi w:val="0"/>
              <w:spacing w:before="0" w:after="283"/>
              <w:jc w:val="center"/>
              <w:rPr/>
            </w:pPr>
            <w:r>
              <w:rPr/>
              <w:t> </w:t>
            </w:r>
          </w:p>
        </w:tc>
        <w:tc>
          <w:tcPr>
            <w:tcW w:w="11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Initial</w:t>
              <w:br/>
              <w:t>Filing</w:t>
              <w:br/>
              <w:t>Date</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Filing</w:t>
              <w:br/>
              <w:t>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Fee Offset</w:t>
              <w:br/>
              <w:t>Claimed</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Security Type</w:t>
              <w:br/>
              <w:t>Associated</w:t>
              <w:br/>
              <w:t>with Fee</w:t>
              <w:br/>
              <w:t>Offset</w:t>
              <w:br/>
              <w:t>Claimed</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Security</w:t>
              <w:br/>
              <w:t>Title</w:t>
              <w:br/>
              <w:t>Associated</w:t>
              <w:br/>
              <w:t>with Fee</w:t>
              <w:br/>
              <w:t>Offset</w:t>
              <w:br/>
              <w:t>Claimed</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Unsold</w:t>
              <w:br/>
              <w:t>Securities</w:t>
              <w:br/>
              <w:t>Associated</w:t>
              <w:br/>
              <w:t>with Fee</w:t>
              <w:br/>
              <w:t>Offset</w:t>
              <w:br/>
              <w:t>Claimed</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Unsold</w:t>
              <w:br/>
              <w:t>Offering</w:t>
              <w:br/>
              <w:t>Amount</w:t>
              <w:br/>
              <w:t>Associated</w:t>
              <w:br/>
              <w:t>with Fee</w:t>
              <w:br/>
              <w:t>Offset</w:t>
              <w:br/>
              <w:t>Claimed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Fee Paid</w:t>
              <w:br/>
              <w:t>with Fee</w:t>
              <w:br/>
              <w:t>Offset</w:t>
              <w:br/>
              <w:t>Source</w:t>
            </w:r>
          </w:p>
        </w:tc>
        <w:tc>
          <w:tcPr>
            <w:tcW w:w="7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Offset Claims</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Bitfarms Ltd.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F-10</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333-258788</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August 13, 2021</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27,907.18</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Unallocated (Universal Shelf)</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255,794,511.22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being registered under this Registration Statement such indeterminate number of common shares, warrants, subscription receipts, units, debt securities and share purchase contracts of the Registrant, and a combination of such securities, separately or as units, as may be sold by the registrant from time to time, which collectively shall have an aggregate offering price not to exceed $375,000,000. The securities registered hereunder also include such indeterminate number of each class of identified securities as may be issued upon conversion, exercise or exchange of any other securities that provide for such conversion into, exercise for or exchange into such securities. Separate consideration may or may not be received for securities that are issuable on exercise, conversion or exchange of other securities. In addition, pursuant to Rule 416 under the Securities Act of 1933, as amended (the “Securities Act”), the common shares being registered hereunder include such indeterminate number of common shares as may be issuable with respect to the shares being registered hereunder as a result of stock splits, stock dividends, distributions or similar transactions. The proposed offering price per security will be determined, from time to time, by the registrant in connection with the sale of the securities under this Registration Statement.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Securities Act, the Registrant is carrying forward to this Registration Statement $255,794,511.22 in aggregate offering amount of securities previously registered on the Registrant’s registration statement on Form F-10, filed on August 18, 2021 (Registration No. 333-258788) (the “Prior Registration Statement”). Pursuant to Rule 457(o) of the Securities Act, the Registrant is registering an additional $119,205,488.78 in aggregate offering amount of securities of the Registrant. Accordingly, a registration fee of $13,417.82 is being paid in connection with this Registration Statement. To the extent that, after the date hereof and prior to the effectiveness of this Registration Statement, any securities are sold pursuant to the Prior Registration Statement, the Registrant will identify in a pre-effective amendment to this Registration Statement the updated amount of such securities from the Prior Registration Statement to be included on this Registration Statement. In accordance with the Securities Act, the offering of the unsold securities on the Prior Registration Statement will be deemed terminated as of the date of effectiveness of this Registration Statement.</w:t>
            </w:r>
          </w:p>
        </w:tc>
      </w:tr>
    </w:tbl>
    <w:p>
      <w:pPr>
        <w:pStyle w:val="TextBody"/>
        <w:bidi w:val="0"/>
        <w:spacing w:before="0" w:after="283"/>
        <w:ind w:left="720" w:right="0" w:hanging="36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2477/000121390023021559/f40f2022ex99-1_bitfarmsltd.htm" TargetMode="External"/><Relationship Id="rId4" Type="http://schemas.openxmlformats.org/officeDocument/2006/relationships/hyperlink" Target="http://www.sec.gov/ix?doc=/Archives/edgar/data/1812477/000121390023021559/f40f2022ex99-2_bitfarmsltd.htm" TargetMode="External"/><Relationship Id="rId5" Type="http://schemas.openxmlformats.org/officeDocument/2006/relationships/hyperlink" Target="http://www.sec.gov/Archives/edgar/data/1812477/000121390023021559/f40f2022ex99-3_bitfarmsltd.htm" TargetMode="External"/><Relationship Id="rId6" Type="http://schemas.openxmlformats.org/officeDocument/2006/relationships/hyperlink" Target="http://www.sec.gov/Archives/edgar/data/1812477/000121390023039295/ea178185ex99-1_bitfarms.htm" TargetMode="External"/><Relationship Id="rId7" Type="http://schemas.openxmlformats.org/officeDocument/2006/relationships/hyperlink" Target="http://www.sec.gov/Archives/edgar/data/1812477/000121390023039295/ea178185ex99-2_bitfarms.htm" TargetMode="External"/><Relationship Id="rId8" Type="http://schemas.openxmlformats.org/officeDocument/2006/relationships/hyperlink" Target="http://www.sec.gov/Archives/edgar/data/1812477/000121390023041512/ea178934ex99-2_bitfarms.htm" TargetMode="External"/><Relationship Id="rId9" Type="http://schemas.openxmlformats.org/officeDocument/2006/relationships/hyperlink" Target="http://www.sec.gov/Archives/edgar/data/1812477/000121390023000403/ea171151ex99-1_bitfarms.htm" TargetMode="External"/><Relationship Id="rId10" Type="http://schemas.openxmlformats.org/officeDocument/2006/relationships/hyperlink" Target="http://www.sec.gov/Archives/edgar/data/1812477/000121390023002773/ea171687ex99-1_bitfarms.htm" TargetMode="External"/><Relationship Id="rId11" Type="http://schemas.openxmlformats.org/officeDocument/2006/relationships/hyperlink" Target="http://www.sec.gov/Archives/edgar/data/1812477/000121390023006682/ea172528ex99-1_bitfarms.htm" TargetMode="External"/><Relationship Id="rId12" Type="http://schemas.openxmlformats.org/officeDocument/2006/relationships/hyperlink" Target="http://www.sec.gov/Archives/edgar/data/1812477/000121390023009743/ea173112ex99-1_bitfarms.htm" TargetMode="External"/><Relationship Id="rId13" Type="http://schemas.openxmlformats.org/officeDocument/2006/relationships/hyperlink" Target="http://www.sec.gov/Archives/edgar/data/1812477/000121390023016167/ea174493ex99-1_bitfarms.htm" TargetMode="External"/><Relationship Id="rId14" Type="http://schemas.openxmlformats.org/officeDocument/2006/relationships/hyperlink" Target="http://www.sec.gov/Archives/edgar/data/1812477/000121390023021549/ea175465ex99-1_bitfarms.htm" TargetMode="External"/><Relationship Id="rId15" Type="http://schemas.openxmlformats.org/officeDocument/2006/relationships/hyperlink" Target="http://www.sec.gov/Archives/edgar/data/1812477/000121390023026253/ea176357ex99-1_bitfarms.htm" TargetMode="External"/><Relationship Id="rId16" Type="http://schemas.openxmlformats.org/officeDocument/2006/relationships/hyperlink" Target="http://www.sec.gov/Archives/edgar/data/1812477/000121390023028839/ea176792ex99-1_bitfarms.htm" TargetMode="External"/><Relationship Id="rId17" Type="http://schemas.openxmlformats.org/officeDocument/2006/relationships/hyperlink" Target="http://www.sec.gov/Archives/edgar/data/1812477/000121390023032008/ea177381ex99-1_bitfarms.htm" TargetMode="External"/><Relationship Id="rId18" Type="http://schemas.openxmlformats.org/officeDocument/2006/relationships/hyperlink" Target="http://www.sec.gov/Archives/edgar/data/1812477/000121390023033854/ea177658ex99-1_bitfarmsltd.htm" TargetMode="External"/><Relationship Id="rId19" Type="http://schemas.openxmlformats.org/officeDocument/2006/relationships/hyperlink" Target="http://www.sec.gov/Archives/edgar/data/1812477/000121390023034787/ea177812ex99-1_bitfarmsltd.htm" TargetMode="External"/><Relationship Id="rId20" Type="http://schemas.openxmlformats.org/officeDocument/2006/relationships/hyperlink" Target="http://www.sec.gov/Archives/edgar/data/1812477/000121390023034787/ea177812ex99-2_bitfarmsltd.htm" TargetMode="External"/><Relationship Id="rId21" Type="http://schemas.openxmlformats.org/officeDocument/2006/relationships/hyperlink" Target="http://www.sec.gov/Archives/edgar/data/1812477/000121390023037331/ea178160ex99-1_bitfarms.htm" TargetMode="External"/><Relationship Id="rId22" Type="http://schemas.openxmlformats.org/officeDocument/2006/relationships/hyperlink" Target="http://www.sec.gov/Archives/edgar/data/1812477/000121390023039295/ea178185ex99-5_bitfarms.htm" TargetMode="External"/><Relationship Id="rId23" Type="http://schemas.openxmlformats.org/officeDocument/2006/relationships/hyperlink" Target="http://www.sec.gov/Archives/edgar/data/1812477/000121390023044991/ea179638ex99-1_bitfarmsltd.htm" TargetMode="External"/><Relationship Id="rId24" Type="http://schemas.openxmlformats.org/officeDocument/2006/relationships/hyperlink" Target="http://www.sec.gov/Archives/edgar/data/1812477/000121390023047239/ea179957ex99-1_bitfarms.htm" TargetMode="External"/><Relationship Id="rId25" Type="http://schemas.openxmlformats.org/officeDocument/2006/relationships/hyperlink" Target="http://www.sec.gov/Archives/edgar/data/1812477/000121390023048138/ea180173ex99-1_bitfarms.htm" TargetMode="External"/><Relationship Id="rId26" Type="http://schemas.openxmlformats.org/officeDocument/2006/relationships/hyperlink" Target="http://www.sec.gov/Archives/edgar/data/1812477/000121390021042378/ea145070ex7-1_bitfarms.htm" TargetMode="External"/><Relationship Id="rId27" Type="http://schemas.openxmlformats.org/officeDocument/2006/relationships/hyperlink" Target="http://www.sec.gov/Archives/edgar/data/1812477/000121390021042378/ea145070ex7-2_bitfarms.htm" TargetMode="External"/><Relationship Id="rId28" Type="http://schemas.openxmlformats.org/officeDocument/2006/relationships/image" Target="media/image2.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26121</Words>
  <Characters>141806</Characters>
  <CharactersWithSpaces>168020</CharactersWithSpaces>
  <Paragraphs>2396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