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For the month of April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1, 2024, the Registrant filed with the Canadian Securities Regulatory Authorities on the System for Electronic Data Analysis and Retrieval + (SEDAR +)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 110 Yonge Street, Suite 1601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April 1,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Morphy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&amp; Chief Executive Officer 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gmorphy@bitfarms.com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Announces March 2024 Production and Operations Update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Company earns 286 BTC in March 2024 -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Upgrade and expansion plan, targeting 21 EH/s and 21w/TH in 2024, underway with T21 deliveries and installations -</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i w:val="1"/>
          <w:iCs w:val="1"/>
          <w:color w:val="auto"/>
        </w:rPr>
        <w:t>This news release constitutes a “designated news release” for the purposes of the Company’s prospectus supplement dated March 8, 2024, to its short form base shelf prospectus dated November 10, 2023.</w:t>
      </w:r>
    </w:p>
    <w:p>
      <w:pPr>
        <w:spacing w:after="0" w:line="161" w:lineRule="exact"/>
        <w:rPr>
          <w:sz w:val="20"/>
          <w:szCs w:val="20"/>
          <w:color w:val="auto"/>
        </w:rPr>
      </w:pPr>
    </w:p>
    <w:p>
      <w:pPr>
        <w:jc w:val="both"/>
        <w:ind w:hanging="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(April 1, 2024) </w:t>
      </w:r>
      <w:r>
        <w:rPr>
          <w:rFonts w:ascii="Times New Roman" w:cs="Times New Roman" w:eastAsia="Times New Roman" w:hAnsi="Times New Roman"/>
          <w:sz w:val="18"/>
          <w:szCs w:val="18"/>
          <w:color w:val="auto"/>
        </w:rPr>
        <w:t>- Bitfarms Ltd. (NASDAQ/ TSX: BITF), a global vertically integrated Bitcoin 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its monthly production report and update on its fleet upgrade and expansion.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Fleet Upgrade Review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Geoff Morphy, President and Chief Executive Officer said, “In March, we exercised our previously announced purchase option for 28,000 Bitmain T21 miners and purchased an additional 19,280 Bitmain T21 miners along with 3,888 Bitmain S21 miners and 740 Bitmain S21 hydro miners.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“Having confirmed the tremendous performance of our T21 miners currently running, and with Bitcoin prices reaching all-time highs, we acted quickly to secure these miners at attractive prices in advance of anticipated hardware price increases. Together, with our 35,888 Bitmain T21 purchases and farm expansions announced in November, these new 87,796 miners are sufficient to reach 21 EH/s by year-end, with greater operating efficiency.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orders solidify our expansion plan for 2024 and provide the pathway to operating one of the newest and potentially most efficient mining fleets in the industry. Securing these miners is a key part of our strategy to drive rapid and meaningful improvements across three principal operating metrics of hashrate, energy efficiency and operating costs per terahash as we plan to capture greater upside from rising Bitcoin prices and expanding mining margins,” added Morphy.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 Gagnon, Chief Mining Officer, said, “In March, we received 1,650 T21 miners with 6,400 additional miners in transit. The majority of the miners received are installed and online. Garlock installations are now planned for completion in the first week of April. With curtailment in Quebec and Paraguay, as well as power plant maintenance in Argentina, we had fewer miners online than normal, resulting in a month-end hashrate of 6.5 EH/s. We expect to achieve 7 EH/s by mid-April.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enter the Halving, we remain focused on our 2024 transformational fleet upgrade and expansion plan which triples our hashrate to 21 EH/s, increases our targeted operating capacity by 83% to 440 MW, and improves our fleet efficiency by 38% to 21 w/TH. This marks the largest growth in the Company’s history and propels us toward becoming one of the industry leaders in energy efficiency. Bitfarms is well positioned, with a strong balance sheet, to execute on our growth plans and capitalize on opportunities in the upcoming bull market and beyond.”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Mining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March mining operations generated 286 BTC compared to 300 BTC in February. This reflects participation in grid-stabilizing curtailment programs, power plant maintenance in Argentina, downtime associated with facility upgrades resulting in temporary lower average operating EH/s, and a 4.8% increase in network difficulty.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February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2024</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2023</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BTC Sold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March 2024 Select Operating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 EH/s online at March 31, 2024, up 35% Y/Y and unchanged from previous month.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EH/s average online, down 6.6% from the previous month.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BTC/average EH/s, up 2.0% from the previous month.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286 BTC earned, 5% lower than previous month and 33% lower Y/Y.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BTC earned daily on average, equal to ~$647,700 per day based on a BTC price of $70,400 at March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1,656 Bitmain T21 miners received with majority online.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Paraguay,</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At Paso Pe: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MW main transformer received and installed.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3,905 Bitmain T21 miners in transit.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1,920 Bitmain M53S+ Hydro Miners received and ready for installation upon receipt of Hydro Containers in mid-April.</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Yguazu, purchase agreements signed for all long lead-time equipment, including large transformers, cabling, and related interconnects.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Bitfarms’ BTC Monthly Production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2760" w:type="dxa"/>
            <w:vAlign w:val="bottom"/>
            <w:tcBorders>
              <w:top w:val="single" w:sz="8" w:color="auto"/>
            </w:tcBorders>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357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38"/>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YTD Totals</w:t>
            </w:r>
          </w:p>
        </w:tc>
        <w:tc>
          <w:tcPr>
            <w:tcW w:w="13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943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1,297</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March 2024 Financial Update</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284 of the 286 BTC earned as part of the Company’s regular treasury management process for total proceeds of $19.2 million.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BTC held in treasury increased to 806, representing $56.7 million based on a BTC price of $70,400 at March 31,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Synthetic HODL™ of 85 long-dated BTC call options at March 31, 2024, reflecting 50 contracts exercised at maturity prior to month-end.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$66 million in cash, for total liquidity of $123 million, at March 31, 2024.</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Exercised purchase option for 28,000 Bitmain T21 miners and purchased 19,280 Bitmain T21 miners along with 3,888 Bitmain S21 miners and 740 Bitmain S21 hydro miners.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$1.7 million net proceeds from the sale and leaseback of the Garlock facility, as part of the Company’s focus on efficient capital utilization.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Conferences and Events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8-9: DigitalABC’s First Annual Canadian Crypto Asset and Blockchain Policy Conference, Ottawa</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9: Bitcoin Policy Summit, Washington DC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29-30: AIM Summit, London</w:t>
      </w:r>
    </w:p>
    <w:p>
      <w:pPr>
        <w:spacing w:after="0" w:line="2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May 14-15: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Needham Technology, Media &amp; Consumer Conference, New York City</w:t>
      </w:r>
    </w:p>
    <w:p>
      <w:pPr>
        <w:spacing w:after="0" w:line="101"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15: Digital Blockchain Summit, Washington DC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22-23: B. Riley Securities 24th Annual Institutional Investor Conference, Beverly Hills, CA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1783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23430" cy="1783080"/>
                    </a:xfrm>
                    <a:prstGeom prst="rect">
                      <a:avLst/>
                    </a:prstGeom>
                    <a:noFill/>
                  </pic:spPr>
                </pic:pic>
              </a:graphicData>
            </a:graphic>
          </wp:anchor>
        </w:drawing>
      </w:r>
    </w:p>
    <w:p>
      <w:pPr>
        <w:spacing w:after="0" w:line="20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11 operating Bitcoin mining facilities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960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23430" cy="9601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bitcoin equivalent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-953770</wp:posOffset>
            </wp:positionV>
            <wp:extent cx="7132320" cy="960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7" w:lineRule="exact"/>
        <w:rPr>
          <w:sz w:val="20"/>
          <w:szCs w:val="20"/>
          <w:color w:val="auto"/>
        </w:rPr>
      </w:pPr>
    </w:p>
    <w:p>
      <w:pPr>
        <w:jc w:val="both"/>
        <w:ind w:left="20"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-424815</wp:posOffset>
            </wp:positionV>
            <wp:extent cx="712343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920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23430" cy="1920240"/>
                    </a:xfrm>
                    <a:prstGeom prst="rect">
                      <a:avLst/>
                    </a:prstGeom>
                    <a:noFill/>
                  </pic:spPr>
                </pic:pic>
              </a:graphicData>
            </a:graphic>
          </wp:anchor>
        </w:drawing>
        <w:t>Forward-Looking Statements</w:t>
      </w:r>
    </w:p>
    <w:p>
      <w:pPr>
        <w:spacing w:after="0" w:line="227" w:lineRule="exact"/>
        <w:rPr>
          <w:sz w:val="20"/>
          <w:szCs w:val="20"/>
          <w:color w:val="auto"/>
        </w:rPr>
      </w:pPr>
    </w:p>
    <w:p>
      <w:pPr>
        <w:jc w:val="both"/>
        <w:ind w:left="20" w:hanging="8"/>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w:t>
      </w:r>
      <w:r>
        <w:rPr>
          <w:rFonts w:ascii="Times New Roman" w:cs="Times New Roman" w:eastAsia="Times New Roman" w:hAnsi="Times New Roman"/>
          <w:sz w:val="18"/>
          <w:szCs w:val="18"/>
          <w:i w:val="1"/>
          <w:iCs w:val="1"/>
          <w:color w:val="auto"/>
        </w:rPr>
        <w:t xml:space="preserve">securities laws. The statements and information in this release regarding projected growth, target hashrate, opportunities relating to the Company’s geographical diversification and expansion, upgrading and deployment of miners as well as the timing therefor, improved financial performance and </w:t>
      </w:r>
      <w:r>
        <w:rPr>
          <w:rFonts w:ascii="Times New Roman" w:cs="Times New Roman" w:eastAsia="Times New Roman" w:hAnsi="Times New Roman"/>
          <w:sz w:val="18"/>
          <w:szCs w:val="18"/>
          <w:i w:val="1"/>
          <w:iCs w:val="1"/>
          <w:color w:val="auto"/>
          <w:highlight w:val="white"/>
        </w:rPr>
        <w:t xml:space="preserve">balance sheet liquidity, other growth opportunities and prospects, and other statements regarding future growth, plans and objectives of the Company are </w:t>
      </w:r>
      <w:r>
        <w:rPr>
          <w:rFonts w:ascii="Times New Roman" w:cs="Times New Roman" w:eastAsia="Times New Roman" w:hAnsi="Times New Roman"/>
          <w:sz w:val="18"/>
          <w:szCs w:val="18"/>
          <w:i w:val="1"/>
          <w:iCs w:val="1"/>
          <w:color w:val="auto"/>
        </w:rPr>
        <w:t xml:space="preserve">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w:t>
      </w:r>
      <w:r>
        <w:rPr>
          <w:rFonts w:ascii="Times New Roman" w:cs="Times New Roman" w:eastAsia="Times New Roman" w:hAnsi="Times New Roman"/>
          <w:sz w:val="18"/>
          <w:szCs w:val="18"/>
          <w:i w:val="1"/>
          <w:iCs w:val="1"/>
          <w:color w:val="auto"/>
          <w:highlight w:val="white"/>
        </w:rPr>
        <w:t xml:space="preserve">“does not anticipate”, “plans”, “budget”, “scheduled”, “forecasts”, “estimates”, “prospects”, “believes” or “intends” or variations of such words and </w:t>
      </w:r>
      <w:r>
        <w:rPr>
          <w:rFonts w:ascii="Times New Roman" w:cs="Times New Roman" w:eastAsia="Times New Roman" w:hAnsi="Times New Roman"/>
          <w:sz w:val="18"/>
          <w:szCs w:val="18"/>
          <w:i w:val="1"/>
          <w:iCs w:val="1"/>
          <w:color w:val="auto"/>
        </w:rPr>
        <w:t xml:space="preserve">phrases or stating that certain actions, events or results “may” or “could”, “would”, “might” or “will” be taken to occur or be achieved) are not </w:t>
      </w:r>
      <w:r>
        <w:rPr>
          <w:rFonts w:ascii="Times New Roman" w:cs="Times New Roman" w:eastAsia="Times New Roman" w:hAnsi="Times New Roman"/>
          <w:sz w:val="18"/>
          <w:szCs w:val="18"/>
          <w:i w:val="1"/>
          <w:iCs w:val="1"/>
          <w:color w:val="auto"/>
          <w:highlight w:val="white"/>
        </w:rPr>
        <w:t>statements of historical fact and may be forward-looking information and are intended to identify forward-looking information.</w:t>
      </w:r>
    </w:p>
    <w:p>
      <w:pPr>
        <w:spacing w:after="0" w:line="185" w:lineRule="exact"/>
        <w:rPr>
          <w:sz w:val="20"/>
          <w:szCs w:val="20"/>
          <w:color w:val="auto"/>
        </w:rPr>
      </w:pPr>
    </w:p>
    <w:p>
      <w:pPr>
        <w:jc w:val="both"/>
        <w:ind w:left="20" w:hanging="8"/>
        <w:spacing w:after="0" w:line="252" w:lineRule="auto"/>
        <w:rPr>
          <w:sz w:val="20"/>
          <w:szCs w:val="20"/>
          <w:color w:val="auto"/>
        </w:rPr>
      </w:pPr>
      <w:r>
        <w:rPr>
          <w:rFonts w:ascii="Times New Roman" w:cs="Times New Roman" w:eastAsia="Times New Roman" w:hAnsi="Times New Roman"/>
          <w:sz w:val="18"/>
          <w:szCs w:val="18"/>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it may not be possible to profitably liquidate the current digital currency inventory, or at all; the digital currency market may not continue to be accepted by users; digital currency prices are volatile and a decline in digital currency prices may have a significant negative impact on operations; an increase in network difficulty may have a significant negative impact on operations; the anticipated growth and sustainability of hydroelectricity for the purposes of cryptocurrency mining in the applicable jurisdictions may not be achieved; the Company may not be able to maintain reliable and economical sources of power for the Company to operate its cryptocurrency mining assets; there may be increases in the Company’s electricity costs and costs of natural gas, the Company may be impacted by changes in currency exchange rates, energy curtailment or regulatory changes in the energy regimes in the jurisdictions in which the Company operates, which could adversely impact the Company’s profitability; the Company ability to expand will depend upon the completion of current and future financings, including the Company’s ability to utilize the Company’s at-the-market equity offering program (the “ATM Program”) and the prices at which the Company may sell Common Shares in the ATM Program; and the adoption of new, or changes in existing, regulations or laws could prevent the Company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Company’s annual information form for the year-ended December 31, 2022, filed on March 21, 2023.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 (Bitfarms)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 (LHA)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mediarelations@bitfarms.com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Media: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19" Type="http://schemas.openxmlformats.org/officeDocument/2006/relationships/hyperlink" Target="https://www.sec.gov/Archives/edgar/data/1812477/000121390023052498/ea180981-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2024-04-02T06:02:49Z</dcterms:created>
  <dcterms:modified xsi:type="dcterms:W3CDTF">2024-04-02T06:02:49Z</dcterms:modified>
</cp:coreProperties>
</file>