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60250.xml.htm"/>
      <w:bookmarkStart w:id="1" w:name="kswkform4_17872602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LIAM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 BROADWAY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1075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Keel Infrastructure Corp.</w:t>
              </w:r>
            </w:hyperlink>
            <w:r>
              <w:rPr/>
              <w:t xml:space="preserve"> [ </w:t>
            </w:r>
            <w:r>
              <w:rPr>
                <w:rFonts w:ascii="Times;serif" w:hAnsi="Times;serif"/>
                <w:color w:val="0000FF"/>
                <w:sz w:val="24"/>
                <w:shd w:fill="FFFFFF" w:val="clear"/>
              </w:rPr>
              <w:t>KEEL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30,769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100,978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$3.24 to $3.25, inclusive. The Reporting Person undertakes to provide to the Issuer, any security holder of the Issuer or the staff of the Securities Exchange Commission, upon request, full information regarding the number of shares purchased at each separate price within the range set forth in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Lovett,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1031" TargetMode="External"/><Relationship Id="rId5" Type="http://schemas.openxmlformats.org/officeDocument/2006/relationships/hyperlink" Target="http://www.sec.gov/cgi-bin/browse-edgar?action=getcompany&amp;CIK=00018124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3465</Characters>
  <CharactersWithSpaces>4034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