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BITFARMS LTD.</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March 1,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8"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March 1, 2023, by a newswire company in Canada.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Mines 387 BTC in February, Exceeding 20,000 BTC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Deleveraging continues with indebtedness reduced by 86% in 9 months -</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(March 1,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 Bitcoin (BTC) production and mining operations update for February 2023.</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well-positioned for growth in 2023 following our 2022 infrastructure investments, our reduction in cash burn, and our significant deleveraging that began last June,” said Geoff Morphy, CEO of Bitfarms. “In strengthening our balance sheet, we increased our financial flexibility to pursue strategic growth opportunities that we believe are emerging as a result of persistent and challenging industry dynamics. In addition, with $22.4 million in credits for the purchase of miners and 40 MW of built capacity at our Argentina farm, as soon as miners can be imported there, we will require minimal capital outlays to bring on substantial additional production.”</w:t>
      </w:r>
    </w:p>
    <w:p>
      <w:pPr>
        <w:spacing w:after="0" w:line="188" w:lineRule="exact"/>
        <w:rPr>
          <w:sz w:val="20"/>
          <w:szCs w:val="20"/>
          <w:color w:val="auto"/>
        </w:rPr>
      </w:pPr>
    </w:p>
    <w:p>
      <w:pPr>
        <w:jc w:val="both"/>
        <w:ind w:right="240"/>
        <w:spacing w:after="0" w:line="301" w:lineRule="auto"/>
        <w:rPr>
          <w:sz w:val="20"/>
          <w:szCs w:val="20"/>
          <w:color w:val="auto"/>
        </w:rPr>
      </w:pPr>
      <w:r>
        <w:rPr>
          <w:rFonts w:ascii="Arial" w:cs="Arial" w:eastAsia="Arial" w:hAnsi="Arial"/>
          <w:sz w:val="16"/>
          <w:szCs w:val="16"/>
          <w:color w:val="auto"/>
        </w:rPr>
        <w:t>Ben Gagnon, Chief Mining Officer of Bitfarms, said, “In February, we mined 387 BTC, increasing production by 30% year-over-year although lowering the average BTC mined per day to 13.8 month-over-month. February production was primarily impacted by unseasonably cold weather in Quebec as we curtailed over 10,000 MWh during an already short month. Additionally, network difficulty is up 21.7% year to date following another 10% increase on February 24. While this reflects rising confidence in the industry, it also emphasizes the advantage of Bitfarms being a low-cost producer.”</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CFO Jeff Lucas added, “In February, we paid off two miner finance agreements: the $20.6 million facility with BlockFi for $7.75 million and shortly after the $379,000 agreement with Reliz for $118,000. Combined, these actions have materially reduced our total indebtedness and alleviated the Company of $22.3 million in principal and interest payments for just $7.9 million. These and other strategic actions over the last 9 months have reduced our debt 86% from a high of $165 million in June 2022 to just $22.7 million at month end, substantially strengthening our balance sheet and improving cash flows through the reduction of monthly debt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Review</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a normal part of operations during the winter, energy curtailment programs impacted production. As a result of very cold weather in Quebec in early and late February, Bitfarms temporarily curtailed operations there, supporting the community by restoring over 10,000 MWh of power back to the local power grids. The sustained cold weather and higher levels of curtailment in February are not expected to continue into March.</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r>
              <w:rPr>
                <w:rFonts w:ascii="Arial" w:cs="Arial" w:eastAsia="Arial" w:hAnsi="Arial"/>
                <w:sz w:val="18"/>
                <w:szCs w:val="18"/>
                <w:b w:val="1"/>
                <w:bCs w:val="1"/>
                <w:color w:val="auto"/>
              </w:rPr>
              <w:t>Key Performance Indicators</w:t>
            </w: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Feb. 2023</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Jan. 2023</w:t>
            </w: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Feb. 2022</w:t>
            </w:r>
          </w:p>
        </w:tc>
      </w:tr>
      <w:tr>
        <w:trPr>
          <w:trHeight w:val="216"/>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3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387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486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Month End Operating EH/s</w:t>
            </w:r>
          </w:p>
        </w:tc>
        <w:tc>
          <w:tcPr>
            <w:tcW w:w="4420" w:type="dxa"/>
            <w:vAlign w:val="bottom"/>
            <w:gridSpan w:val="3"/>
          </w:tcPr>
          <w:p>
            <w:pPr>
              <w:jc w:val="center"/>
              <w:ind w:left="3310"/>
              <w:spacing w:after="0"/>
              <w:rPr>
                <w:sz w:val="20"/>
                <w:szCs w:val="20"/>
                <w:color w:val="auto"/>
              </w:rPr>
            </w:pPr>
            <w:r>
              <w:rPr>
                <w:rFonts w:ascii="Arial" w:cs="Arial" w:eastAsia="Arial" w:hAnsi="Arial"/>
                <w:sz w:val="18"/>
                <w:szCs w:val="18"/>
                <w:color w:val="auto"/>
                <w:w w:val="87"/>
              </w:rPr>
              <w:t>4.7</w:t>
            </w:r>
          </w:p>
        </w:tc>
        <w:tc>
          <w:tcPr>
            <w:tcW w:w="2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87"/>
              </w:rPr>
              <w:t>4.7</w:t>
            </w:r>
          </w:p>
        </w:tc>
        <w:tc>
          <w:tcPr>
            <w:tcW w:w="22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BTC/ Avg. EH/s</w:t>
            </w:r>
          </w:p>
        </w:tc>
        <w:tc>
          <w:tcPr>
            <w:tcW w:w="4420" w:type="dxa"/>
            <w:vAlign w:val="bottom"/>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89"/>
              </w:rPr>
              <w:t>91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110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131</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Operating Capacity (MW)</w:t>
            </w:r>
          </w:p>
        </w:tc>
        <w:tc>
          <w:tcPr>
            <w:tcW w:w="4420" w:type="dxa"/>
            <w:vAlign w:val="bottom"/>
            <w:gridSpan w:val="3"/>
          </w:tcPr>
          <w:p>
            <w:pPr>
              <w:jc w:val="center"/>
              <w:ind w:left="3310"/>
              <w:spacing w:after="0"/>
              <w:rPr>
                <w:sz w:val="20"/>
                <w:szCs w:val="20"/>
                <w:color w:val="auto"/>
              </w:rPr>
            </w:pPr>
            <w:r>
              <w:rPr>
                <w:rFonts w:ascii="Arial" w:cs="Arial" w:eastAsia="Arial" w:hAnsi="Arial"/>
                <w:sz w:val="18"/>
                <w:szCs w:val="18"/>
                <w:color w:val="auto"/>
                <w:w w:val="86"/>
              </w:rPr>
              <w:t>188</w:t>
            </w:r>
          </w:p>
        </w:tc>
        <w:tc>
          <w:tcPr>
            <w:tcW w:w="2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86"/>
              </w:rPr>
              <w:t>188</w:t>
            </w:r>
          </w:p>
        </w:tc>
        <w:tc>
          <w:tcPr>
            <w:tcW w:w="22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6"/>
              </w:rPr>
              <w:t>116</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Hydropower MW</w:t>
            </w:r>
          </w:p>
        </w:tc>
        <w:tc>
          <w:tcPr>
            <w:tcW w:w="4420" w:type="dxa"/>
            <w:vAlign w:val="bottom"/>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86"/>
              </w:rPr>
              <w:t>178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178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116</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Watts/Terahash Efficiency (w/TH)</w:t>
            </w:r>
          </w:p>
        </w:tc>
        <w:tc>
          <w:tcPr>
            <w:tcW w:w="4420" w:type="dxa"/>
            <w:vAlign w:val="bottom"/>
            <w:gridSpan w:val="3"/>
          </w:tcPr>
          <w:p>
            <w:pPr>
              <w:jc w:val="center"/>
              <w:ind w:left="3310"/>
              <w:spacing w:after="0"/>
              <w:rPr>
                <w:sz w:val="20"/>
                <w:szCs w:val="20"/>
                <w:color w:val="auto"/>
              </w:rPr>
            </w:pPr>
            <w:r>
              <w:rPr>
                <w:rFonts w:ascii="Arial" w:cs="Arial" w:eastAsia="Arial" w:hAnsi="Arial"/>
                <w:sz w:val="18"/>
                <w:szCs w:val="18"/>
                <w:color w:val="auto"/>
                <w:w w:val="89"/>
              </w:rPr>
              <w:t>39</w:t>
            </w:r>
          </w:p>
        </w:tc>
        <w:tc>
          <w:tcPr>
            <w:tcW w:w="2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BTC Sold</w:t>
            </w:r>
          </w:p>
        </w:tc>
        <w:tc>
          <w:tcPr>
            <w:tcW w:w="4420" w:type="dxa"/>
            <w:vAlign w:val="bottom"/>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86"/>
              </w:rPr>
              <w:t>387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486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r>
      <w:tr>
        <w:trPr>
          <w:trHeight w:val="655"/>
        </w:trPr>
        <w:tc>
          <w:tcPr>
            <w:tcW w:w="4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February 2023 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4.7 EH/s online as of February 28, 2023, up 104% from February 28, 2022 and no change compared to January 31,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4.25 EH/s average online, compared to 4.42 EH/s in January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91 BTC/average EH/s, down 17% from 110 in January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387 new BTC mined, up 30% from February 2022 and down 20% from January 2023.</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13.8 BTC mined daily on average, equivalent to about $328,400 per day and approximately $9.2 million for the month based on a BTC price of $23,800 on February 28,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Operations</w:t>
      </w:r>
    </w:p>
    <w:p>
      <w:pPr>
        <w:spacing w:after="0" w:line="20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Mined Bitfarms’ 20,000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BTC with renewable hydropower since the 2017 founding.</w:t>
      </w:r>
    </w:p>
    <w:p>
      <w:pPr>
        <w:spacing w:after="0" w:line="7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Improved efficiency of newly unencumbered Bitmain miners in Washington 16% from 31 w/TH to 26 w/TH with new firmware.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Improved overall fleet efficiency to 39 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Started facility optimizations, repairs and preparation for spring.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BTC Mined</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BTC Mined</w:t>
            </w:r>
          </w:p>
        </w:tc>
      </w:tr>
      <w:tr>
        <w:trPr>
          <w:trHeight w:val="241"/>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Month</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February</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YTD</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873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599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February 2023 Financial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7208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total outstanding indebtedness to $22.7 million as of February 28, 2023:</w:t>
      </w:r>
    </w:p>
    <w:p>
      <w:pPr>
        <w:spacing w:after="0" w:line="252" w:lineRule="exact"/>
        <w:rPr>
          <w:sz w:val="20"/>
          <w:szCs w:val="20"/>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Settled the outstanding principal and interest due to BlockFi, totaling $20.6 million, for a cash payment of $7.75 million.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Paid off the $379,000 financing due to Reliz for a cash payment of $118,000.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Sold 387 BTC, generating total proceeds of $8.3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Held 405 BTC in custody at February 28, 2023, representing a total value of approximately $9.6 million based on a BTC price of $23,800.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Conferences and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plans to attend the following upcoming events:</w:t>
      </w:r>
    </w:p>
    <w:p>
      <w:pPr>
        <w:spacing w:after="0" w:line="20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March 12-14: Roth 35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Annual Conference, Laguna Nigel, California</w:t>
      </w:r>
    </w:p>
    <w:p>
      <w:pPr>
        <w:spacing w:after="0" w:line="7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March 22-23: Sidoti’s March 2023 Small Cap Virtual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2343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057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t>Bitfarms has 10 mining facilities around the world, which are located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-1082040</wp:posOffset>
            </wp:positionV>
            <wp:extent cx="67208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-807720</wp:posOffset>
            </wp:positionV>
            <wp:extent cx="67208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-533400</wp:posOffset>
            </wp:positionV>
            <wp:extent cx="67208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-259080</wp:posOffset>
            </wp:positionV>
            <wp:extent cx="67208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7208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097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financial flexibility, strategic growth opportunities, expansion of production in Argentina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spacing w:after="0" w:line="283" w:lineRule="auto"/>
        <w:rPr>
          <w:sz w:val="20"/>
          <w:szCs w:val="20"/>
          <w:color w:val="auto"/>
        </w:rPr>
      </w:pPr>
      <w:r>
        <w:rPr>
          <w:rFonts w:ascii="Arial" w:cs="Arial" w:eastAsia="Arial" w:hAnsi="Arial"/>
          <w:sz w:val="16"/>
          <w:szCs w:val="16"/>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Company’s outstanding indebtedness (including in respect of any defaults thereunder);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2023-03-01T15:14:41Z</dcterms:created>
  <dcterms:modified xsi:type="dcterms:W3CDTF">2023-03-01T15:14:41Z</dcterms:modified>
</cp:coreProperties>
</file>