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October 16,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w:t>
      </w:r>
      <w:hyperlink r:id="rId19">
        <w:r>
          <w:rPr>
            <w:rFonts w:ascii="Times New Roman" w:cs="Times New Roman" w:eastAsia="Times New Roman" w:hAnsi="Times New Roman"/>
            <w:sz w:val="18"/>
            <w:szCs w:val="18"/>
            <w:color w:val="auto"/>
          </w:rPr>
          <w:t xml:space="preserve">reference into the Registration Statements of Bitfarms Ltd. on Form F-10 (File No. </w:t>
        </w:r>
        <w:r>
          <w:rPr>
            <w:rFonts w:ascii="Times New Roman" w:cs="Times New Roman" w:eastAsia="Times New Roman" w:hAnsi="Times New Roman"/>
            <w:sz w:val="18"/>
            <w:szCs w:val="18"/>
            <w:u w:val="single" w:color="auto"/>
            <w:color w:val="0000EE"/>
          </w:rPr>
          <w:t>333-272989</w:t>
        </w:r>
        <w:r>
          <w:rPr>
            <w:rFonts w:ascii="Times New Roman" w:cs="Times New Roman" w:eastAsia="Times New Roman" w:hAnsi="Times New Roman"/>
            <w:sz w:val="18"/>
            <w:szCs w:val="18"/>
            <w:color w:val="auto"/>
          </w:rPr>
          <w:t xml:space="preserve">) and Form S-8 (File No. </w:t>
        </w:r>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color w:val="auto"/>
          </w:rPr>
          <w:t xml:space="preserve"> and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285894</w:t>
        </w:r>
        <w:r>
          <w:rPr>
            <w:rFonts w:ascii="Times New Roman" w:cs="Times New Roman" w:eastAsia="Times New Roman" w:hAnsi="Times New Roman"/>
            <w:sz w:val="18"/>
            <w:szCs w:val="18"/>
            <w:color w:val="000000"/>
          </w:rPr>
          <w:t>), each as amended or supplemented.</w:t>
        </w:r>
      </w:hyperlink>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October 16,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17,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16, 2025.</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October 16, 2025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154305</wp:posOffset>
            </wp:positionV>
            <wp:extent cx="3677285"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67728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Announces Pricing of Upsized US$500 Million of Convertible Senior Notes</w:t>
      </w:r>
    </w:p>
    <w:p>
      <w:pPr>
        <w:spacing w:after="0" w:line="22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Opportunistic capital raise for general corporate purposes</w:t>
      </w:r>
    </w:p>
    <w:p>
      <w:pPr>
        <w:spacing w:after="0" w:line="252"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Either net proceeds from this offering or cash on hand to be used to purchase cash-settled capped calls to offset economic dilution up to a cap of 125% premium to the last reported sale price of Bitfarms’ common shares on Nasdaq on the date of pricing</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Toronto, Ontario and New York, New York (October 16, 2025) </w:t>
      </w:r>
      <w:r>
        <w:rPr>
          <w:rFonts w:ascii="Times New Roman" w:cs="Times New Roman" w:eastAsia="Times New Roman" w:hAnsi="Times New Roman"/>
          <w:sz w:val="18"/>
          <w:szCs w:val="18"/>
          <w:color w:val="auto"/>
        </w:rPr>
        <w:t>- Bitfarms Ltd. (NASDAQ/TSX: BITF), a North American energy and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company (“Bitfarms” or the “Company”), today announced that it has priced its offering of US$500 million aggregate principal amount of 1.375% convertible senior notes due 2031 (the “Convertible Notes”). Bitfarms has also granted the initial purchasers of the Convertible Notes an option to purchase, for a 13-day period beginning on and including the date on which the Convertible Notes are first issued, up to an additional US$88 million aggregate principal amount of the Convertible Notes. The aggregate principal amount of the offering was increased from the previously announced offering size of $300 million (or $360 million if the initial purchasers exercise their option to purchase the option in full). The offering is expected to close, subject to customary closing conditions (including receipt of Toronto Stock Exchange (“TSX”) approval), on or about October 21,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Convertible Notes will be senior unsecured obligations of the Company and will accrue interest at a rate of 1.375% per annum, payable semi-annually in arrears on January 15 and July 15 of each year, beginning on July 15, 2026. The Convertible Notes will mature on January 15, 2031, unless earlier repurchased, redeemed or converted in accordance with their terms. The Company will have the right to redeem the Convertible Notes in certain circumstances and will be required to offer to repurchase the Convertible Notes upon the occurrence of certain events.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October 15, 2030, the Convertible Notes will be convertible only upon satisfaction of certain conditions and during certain periods, and thereafter, the Convertible Notes will be convertible at the option of holders at any time until the close of business on the business day immediately preceding the maturity date.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Convertible Notes will have an initial conversion rate of 145.6876 common shares per US$1,000 principal amount of Convertible Notes, equivalent to an initial conversion price of approximately US$6.86 per common share. The initial conversion rate represents a premium of approximately 30% to the last reported sale price of US$5.28 per common share on the Nasdaq on October 16, 2025. The conversion rate and conversion price will be subject to adjustment in certain circumstances. In addition, if certain corporate events occur or the Company delivers a notice of redemption, the Company will, in certain circumstances, increase the conversion rate for any Convertible Notes converted in connection with such corporate event or notice or redemption. The Company may settle conversions of the Convertible Notes in cash, common shares or a combination of cash and common shares, at the Company’s election.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for general corporate purposes. Additionally, the Company intends to use either net proceeds from this offering or cash on hand to pay the cost of the capped call transactions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Convertible Notes, the Company entered into privately negotiated cash-settled capped call transactions with one or more of the initial purchasers of the Convertible Notes, their respective affiliates, and/or other financial institutions (the “capped call counterparties”). The capped call transactions will cover, subject to anti-dilution adjustments substantially similar to those applicable to the Convertible Notes, the number of common shares initially underlying the Convertible Notes, assuming the initial purchasers do not exercise their option to purchase additional notes. The cap price of the capped call transactions is initially US$11.88 per common share, which represents a premium of approximately 125% to the last reported sale price of US$5.28 per common share on the Nasdaq on October 16, 2025, and will be subject to customary anti-dilution adjustments under the terms of the capped call transactions. If the initial purchasers of the Convertible Notes exercise their option to purchase additional Convertible Notes, the Company expects to use the net proceeds from the sale of additional Convertible Notes for general corporate purposes and additionally, the Company intends to use the net proceeds from the sale of the additional Convertible Notes or existing cash on hand to fund the cost of entering into additional capped call transactions with the capped call counterparties.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capped call transactions are expected generally to reduce potential economic dilution upon conversion of any Convertible Notes and/or offset any cash payments the Company could be required to make in excess of the principal amount of any converted Convertible Notes upon conversion thereof, as the case may be, with such reduction and/or offset subject to a cap equal to approximately a 125% premium to the last reported sale price of Bitfarms’ common shares on Nasdaq on the date of pricing.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the Company expects the capped call counterparties or their respective affiliates to purchase common shares and/or enter into various derivative transactions with respect to the common shares concurrently with or shortly after the pricing of the Convertible Notes, and such capped call counterparties or their respective affiliates may unwind these various derivative transactions and/or sell common shares in open market transactions. This activity could increase (or reduce the size of any decrease in) the market price of the common shares or the Convertible Notes at that time. In addition, the capped call counterparties or their respective affiliates may modify their hedge positions by entering into or unwinding various derivatives with respect to the common shares and/or purchasing or selling common shares or other securities of the Company in secondary market transactions following the pricing of the Convertible Notes and prior to the maturity of the Convertible Notes (and are likely to do so during any observation period related to a conversion of the Convertible Notes). This activity could also cause or avoid an increase or decrease in the market price of the common shares or the Convertible Notes, which could affect holders of the Convertible Notes’ ability to convert the Convertible Notes and, to the extent the activity occurs during any observation period related to a conversion of the Convertible Notes, it could affect the amount and value of the consideration that holders of the Convertible Notes will receive upon conversion of such Convertible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The Convertible Notes and the common shares issuable upon the conversion thereof have not been and will not be registered under the U.S. Securities Act of 1933, as amended (the “Securities Act”), registered under any state securities laws, or qualified by a prospectus in any province or territory of Canada. The Convertible Notes and the common shares may not be offered, sold or delivered, directly or indirectly, in the United States absent registration under the Securities Act or an applicable exemption from registration under the Securities Act. The Convertible Notes will be offered only to “qualified institutional buyers” (as defined in Rule 144A under the Securities Act). Offers and sales in Canada will be made only pursuant to exemptions from the prospectus requirements of applicable Canadian provincial and territorial securities laws.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relying on the exemption under Section 602.1 of the Toronto Stock Exchange’s Company Manual (the “TSX manual”) available to Eligible Interlisted Issuers (as defined in the TSX manual) in respect of the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is it a solicitation of an offer to buy the Convertible Notes or any other securities and shall not constitute an offer to sell or solicitation of an offer to buy, or a sale of, the Convertible Notes or any other securities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is a North American energy and digital infrastructure company that builds and operates vertically integrated, state-of-the-art data centers and energy infrastructure for high-performance computing and Bitcoin mining.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a focus on U.S. growth, Bitfarms’ 1.3 GW energy pipeline is more than 80% U.S.-based and clustered in data center hotspots with robust access to power and fiber infrastructure.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Bitfarms was founded in 2017 and is a proven leader in digital infrastructure with operations throughout the Americas. Bitfarms is headquartered in New York, NY and Toronto, ON and traded on the Nasdaq and Toronto Stock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anticipated future events and expectations that are not historical facts, such as statements concerning the terms of the Convertible Notes and the capped call transactions, the completion, timing and size of the offering of the Convertible Notes and the capped call transactions, and the anticipated use of proceeds from the offering are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Panther Creek location related milestones which are conditions to loan drawdowns under the Macquarie Group financing facility; an inability to deploy the proceeds of the Macquarie Group financing facility to generate positive returns at the Panther Creek location;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risks relating to lawsuits and other legal proceedings and challenges;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at www.sec.gov), including the Company’s annual information form for the year ended December 31, 2024, management’s discussion and analysis for the year-ended December 31, 2024 and the management’s discussion and analysis for the three and six months ended June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lyonker@bitfarms.com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4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19" Type="http://schemas.openxmlformats.org/officeDocument/2006/relationships/hyperlink" Target="http://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2025-10-17T05:23:14Z</dcterms:created>
  <dcterms:modified xsi:type="dcterms:W3CDTF">2025-10-17T05:23:14Z</dcterms:modified>
</cp:coreProperties>
</file>