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284597-s8_keelinfra.htm"/>
      <w:bookmarkStart w:id="1" w:name="ksea0284597s8_keelinfra"/>
      <w:bookmarkEnd w:id="0"/>
      <w:bookmarkEnd w:id="1"/>
      <w:r>
        <w:rPr>
          <w:b/>
        </w:rPr>
        <w:t>As filed with the Securities and Exchange Commission on April 1, 2026</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Registration No. </w:t>
      </w:r>
      <w:r>
        <w:rPr>
          <w:rFonts w:ascii="Times New Roman;Times;Serif" w:hAnsi="Times New Roman;Times;Serif"/>
          <w:b w:val="false"/>
          <w:i w:val="false"/>
          <w:caps w:val="false"/>
          <w:smallCaps w:val="false"/>
          <w:sz w:val="20"/>
        </w:rPr>
        <w:t>                    </w:t>
      </w:r>
    </w:p>
    <w:p>
      <w:pPr>
        <w:pStyle w:val="TextBody"/>
        <w:bidi w:val="0"/>
        <w:jc w:val="left"/>
        <w:rPr>
          <w:bdr w:val="single" w:sz="16" w:space="1" w:color="000000"/>
        </w:rPr>
      </w:pPr>
      <w:r>
        <w:rPr>
          <w:bdr w:val="single" w:sz="16" w:space="1" w:color="000000"/>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br/>
        <w:t xml:space="preserve">REGISTRATION STATEMENT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KEEL INFRASTRUCTURE CORP.</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395"/>
        <w:gridCol w:w="60"/>
        <w:gridCol w:w="1565"/>
      </w:tblGrid>
      <w:tr>
        <w:trPr/>
        <w:tc>
          <w:tcPr>
            <w:tcW w:w="33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41-4266374</w:t>
            </w:r>
          </w:p>
        </w:tc>
      </w:tr>
      <w:tr>
        <w:trPr/>
        <w:tc>
          <w:tcPr>
            <w:tcW w:w="33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r>
        <w:trPr/>
        <w:tc>
          <w:tcPr>
            <w:tcW w:w="3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pPr>
            <w:r>
              <w:rPr/>
              <w:t> </w:t>
            </w:r>
          </w:p>
        </w:tc>
      </w:tr>
      <w:tr>
        <w:trPr/>
        <w:tc>
          <w:tcPr>
            <w:tcW w:w="33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Broadway, Suite 1075,</w:t>
              <w:br/>
              <w:t>New York, New York</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10004</w:t>
            </w:r>
          </w:p>
        </w:tc>
      </w:tr>
      <w:tr>
        <w:trPr/>
        <w:tc>
          <w:tcPr>
            <w:tcW w:w="339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Keel Infrastructure Corp. Amended and Restated Long Term Performance Incentive Plan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3755"/>
        <w:gridCol w:w="60"/>
        <w:gridCol w:w="2255"/>
      </w:tblGrid>
      <w:tr>
        <w:trPr/>
        <w:tc>
          <w:tcPr>
            <w:tcW w:w="37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Ryan J. Dzierniejko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Skadden, Arps, Slate, Meagher &amp; Flom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Manhattan West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735-3000</w:t>
            </w:r>
          </w:p>
        </w:tc>
        <w:tc>
          <w:tcPr>
            <w:tcW w:w="60" w:type="dxa"/>
            <w:tcBorders/>
            <w:vAlign w:val="center"/>
          </w:tcPr>
          <w:p>
            <w:pPr>
              <w:pStyle w:val="TableContents"/>
              <w:bidi w:val="0"/>
              <w:spacing w:before="0" w:after="283"/>
              <w:jc w:val="center"/>
              <w:rPr/>
            </w:pPr>
            <w:r>
              <w:rPr/>
              <w:t> </w:t>
            </w:r>
          </w:p>
        </w:tc>
        <w:tc>
          <w:tcPr>
            <w:tcW w:w="22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Silverstein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Keel Infrastructure Corp.</w:t>
              <w:br/>
              <w:t>120 Broadway, Suite 1075</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10004</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(929) 264-5151</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both"/>
              <w:rPr/>
            </w:pPr>
            <w:r>
              <w:rPr/>
              <w:t>If an emerging growth company, indicate by check mark if the registrant has elected not to use the extended transition period for complying with any new or revised financial accounting standards provided pursuant to Section 7(a)(2)(B) of the Securities Act. ☐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12:01 a.m. (Eastern Daylight Time) on April 1, 2026, Keel Infrastructure Corp. (“Keel”) became the ultimate parent company of Bitfarms Ltd., a corporation existing under the laws of the Province of Ontario (“Bitfarms”), and its subsidiaries pursuant to a statutory plan of arrangement under Section 182 of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(Ontario) (the “Arrangement”) as part of Bitfarms’ previously announced intention to redomicile from Canada to the United States (the “U.S. Redomiciliation Transaction”). Pursuant to the Arrangement, Keel indirectly acquired all of the issued and outstanding common shares in the capital of Bitfarms, and in exchange, former Bitfarms shareholders received one share of common stock of Keel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U.S. Redomiciliation Transaction, Bitfarms’ Long-Term Incentive Plan was amended and restated as the Keel Infrastructure Corp. Amended and Restated Long-Term Performance Incentive Plan (the “Plan”). This Registration Statement on Form S-8 is being filed by Keel to register shares of Keel Common Stock issuable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Required in the Registration Statement</w:t>
      </w:r>
    </w:p>
    <w:p>
      <w:pPr>
        <w:pStyle w:val="TextBody"/>
        <w:bidi w:val="0"/>
        <w:spacing w:before="0" w:after="0"/>
        <w:ind w:left="0" w:right="0" w:hanging="0"/>
        <w:jc w:val="center"/>
        <w:rPr>
          <w:caps/>
        </w:rPr>
      </w:pPr>
      <w:r>
        <w:rPr>
          <w:caps/>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w:t>
      </w:r>
      <w:r>
        <w:rPr>
          <w:rFonts w:ascii="Times New Roman;Times;Serif" w:hAnsi="Times New Roman;Times;Serif"/>
          <w:b/>
          <w:i w:val="false"/>
          <w:caps w:val="false"/>
          <w:smallCaps w:val="false"/>
          <w:sz w:val="20"/>
          <w:u w:val="single"/>
        </w:rPr>
        <w:t>Incorporation of Documents by Reference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hereby incorporates by reference the following documents previously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(only to the extent “filed” and not “furnished” in accordance with SEC rules):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 xml:space="preserve">Bitfarms’Annual Report on </w:t>
            </w:r>
            <w:hyperlink r:id="rId2">
              <w:r>
                <w:rPr>
                  <w:rStyle w:val="InternetLink"/>
                </w:rPr>
                <w:t>Form 10-K</w:t>
              </w:r>
            </w:hyperlink>
            <w:r>
              <w:rPr/>
              <w:t xml:space="preserve"> for the fiscal year ended December 31, 2025, filed with the SEC on March 31,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all other reports filed pursuant to Section 13(a) or 15(d) of the Exchange Act since December 31, 2025;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 xml:space="preserve">the description of Keel’s common stock which is contained in Keel’s Current Report on </w:t>
            </w:r>
            <w:hyperlink r:id="rId3">
              <w:r>
                <w:rPr>
                  <w:rStyle w:val="InternetLink"/>
                </w:rPr>
                <w:t>Form 8-K</w:t>
              </w:r>
            </w:hyperlink>
            <w:r>
              <w:rPr/>
              <w:t xml:space="preserve"> filed on April 1, 2026 pursuant to Rule 12g-3(a) promulgated under the Exchange Act, including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that Keel subsequently files pursuant to Sections 13(a) and 13(c), 14 and 15(d) of the Exchange Act, after the date of this Registration Statement and prior to the filing of a post-effective amendment to this Registration Statement which indicates that all securities offered hereunder have been sold or which deregisters all such securities then remaining unsold, shall be deemed to be incorporated by reference in this Registration Statement and to be a part hereof from the date of filing of such reports and documents. Unless expressly incorporated in this Registration Statement, a report furnished on Form 8-K shall not be incorporated by reference into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earlier statement. Any statement so modified or superseded shall not be deemed, except as so modified or superseded, to constitute a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w:t>
      </w:r>
      <w:r>
        <w:rPr>
          <w:rFonts w:ascii="Times New Roman;Times;Serif" w:hAnsi="Times New Roman;Times;Serif"/>
          <w:b/>
          <w:i w:val="false"/>
          <w:caps w:val="false"/>
          <w:smallCaps w:val="false"/>
          <w:sz w:val="20"/>
          <w:u w:val="single"/>
        </w:rPr>
        <w:t>Description of Securities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 </w:t>
      </w:r>
      <w:r>
        <w:rPr>
          <w:rFonts w:ascii="Times New Roman;Times;Serif" w:hAnsi="Times New Roman;Times;Serif"/>
          <w:b/>
          <w:i w:val="false"/>
          <w:caps w:val="false"/>
          <w:smallCaps w:val="false"/>
          <w:sz w:val="20"/>
          <w:u w:val="single"/>
        </w:rPr>
        <w:t>Interests of Named Experts and Counsel</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w:t>
      </w:r>
      <w:r>
        <w:rPr>
          <w:rFonts w:ascii="Times New Roman;Times;Serif" w:hAnsi="Times New Roman;Times;Serif"/>
          <w:b/>
          <w:i w:val="false"/>
          <w:caps w:val="false"/>
          <w:smallCaps w:val="false"/>
          <w:sz w:val="20"/>
          <w:u w:val="single"/>
        </w:rPr>
        <w:t>Indemnification of Directors and Officers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145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he acted in good faith and in a manner he reasonably believed to be in or not opposed to the best interests of the corporation and, with respect to any criminal action or proceeding, had no reasonable cause to believe his conduct was unlawful. In the case of an action brought by or in the right of a corporation, the corporation may indemnify any person who was or is a party or is threatened to be made a party to any such threatened, pending or completed action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only against expenses (including attorneys’ fees) actually and reasonably incurred by him in connection with the defense or settlement of such action if he acted in good faith and in a manner 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in which such action or suit was brought determines that, in view of all the circumstances of the case, such person is fairly and reasonably entitled to indemnity for such expenses as the court shall deem proper.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amended and restated certificate of incorporation provides that its current and former directors and officers will be indemnified by Keel to the fullest extent authorized by Delaware law as it now exists or may in the future be amended, against all expenses, liabilities and loss incurred in connection with their service as a director or officer on behalf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the Keel amended and restated certificate of incorporation provides that a director or officer of Keel shall not be personally liable to Keel or its stockholders for monetary damages for breach of fiduciary duty as a director or officer, except for such liability as is expressly not subject to limitation under Section 102(b)(7) of the DGCL. Any amendment to, or repeal of, these provisions will not eliminate or reduce the effect of these provisions in respect of any act, omission or claim that occurred or arose prior to that amendment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Keel’s bylaws provide that Keel will indemnify any person who is or was a party or is threatened to be made a party to any action, suit, or proceeding by reason of the fact that such person is or was one of Keel’s directors or officers or is or was serving at Keel’s request as a director or officer of another corporation, partnership, joint venture, trust, or other enterprise. Keel’s bylaws also provide that Keel must advance expenses incurred by a director or officer in defending any action, suit or proceeding in advance of the final disposition of such action, suit or proceeding (subject to receipt of an undertaking by or on behalf of such director or officer to repay such amount if it is ultimately determined that such person is not entitled to be indemnified by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has also authorized the entry into indemnification agreements with its directors and officers. The indemnification agreements require the Registrant to indemnify, and advance expenses to, such directors and officers to the fullest extent permitted by applicable law, on the terms and conditions set forth therein. Keel believes that these agreements are necessary to retain and attract qualified individuals to serve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145(g) of the DGCL, Keel also maintains a directors’ and officers’ insurance policy which insures the directors and officers of Keel against liability asserted against such persons in such capacity whether or not such directors or officers have the right to indemnification pursuant to the Keel certificate of incorporation, bylaws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 </w:t>
      </w:r>
      <w:r>
        <w:rPr>
          <w:rFonts w:ascii="Times New Roman;Times;Serif" w:hAnsi="Times New Roman;Times;Serif"/>
          <w:b/>
          <w:i w:val="false"/>
          <w:caps w:val="false"/>
          <w:smallCaps w:val="false"/>
          <w:sz w:val="20"/>
          <w:u w:val="single"/>
        </w:rPr>
        <w:t>Exemption from Registration Claimed</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w:t>
      </w: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Index to Exhibits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w:t>
      </w:r>
      <w:r>
        <w:rPr>
          <w:rFonts w:ascii="Times New Roman;Times;Serif" w:hAnsi="Times New Roman;Times;Serif"/>
          <w:b/>
          <w:i w:val="false"/>
          <w:caps w:val="false"/>
          <w:smallCaps w:val="false"/>
          <w:sz w:val="20"/>
          <w:u w:val="single"/>
        </w:rPr>
        <w:t>Undertakings</w:t>
      </w:r>
      <w:r>
        <w:rPr>
          <w:rFonts w:ascii="Times New Roman;Times;Serif" w:hAnsi="Times New Roman;Times;Serif"/>
          <w:b/>
          <w:i w:val="false"/>
          <w:caps w:val="false"/>
          <w:smallCaps w:val="false"/>
          <w:sz w:val="20"/>
        </w:rPr>
        <w: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4"/>
        <w:gridCol w:w="9541"/>
      </w:tblGrid>
      <w:tr>
        <w:trPr/>
        <w:tc>
          <w:tcPr>
            <w:tcW w:w="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(a)</w:t>
            </w:r>
          </w:p>
        </w:tc>
        <w:tc>
          <w:tcPr>
            <w:tcW w:w="9541" w:type="dxa"/>
            <w:tcBorders/>
            <w:vAlign w:val="center"/>
          </w:tcPr>
          <w:p>
            <w:pPr>
              <w:pStyle w:val="TableContents"/>
              <w:bidi w:val="0"/>
              <w:spacing w:before="0" w:after="283"/>
              <w:jc w:val="both"/>
              <w:rPr/>
            </w:pPr>
            <w:r>
              <w:rPr/>
              <w:t>The undersigned Registrant hereby undertakes: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1584" w:right="0" w:hanging="504"/>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0"/>
        <w:gridCol w:w="9844"/>
      </w:tblGrid>
      <w:tr>
        <w:trPr/>
        <w:tc>
          <w:tcPr>
            <w:tcW w:w="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(i)</w:t>
            </w:r>
          </w:p>
        </w:tc>
        <w:tc>
          <w:tcPr>
            <w:tcW w:w="9844"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spacing w:before="0" w:after="0"/>
        <w:ind w:left="1584" w:right="0" w:hanging="504"/>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9"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tc>
      </w:tr>
    </w:tbl>
    <w:p>
      <w:pPr>
        <w:pStyle w:val="TextBody"/>
        <w:bidi w:val="0"/>
        <w:spacing w:before="0" w:after="0"/>
        <w:ind w:left="1584" w:right="0" w:hanging="504"/>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paragraphs (a)(1)(i) and (a)(1)(ii)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i/>
              </w:rPr>
              <w:t xml:space="preserve">bona fide </w:t>
            </w:r>
            <w:r>
              <w:rPr/>
              <w:t>offering thereof.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II-3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28" w:type="dxa"/>
          <w:right w:w="0" w:type="dxa"/>
        </w:tblCellMar>
      </w:tblPr>
      <w:tblGrid>
        <w:gridCol w:w="1070"/>
        <w:gridCol w:w="60"/>
        <w:gridCol w:w="9075"/>
      </w:tblGrid>
      <w:tr>
        <w:trPr/>
        <w:tc>
          <w:tcPr>
            <w:tcW w:w="1070" w:type="dxa"/>
            <w:tcBorders>
              <w:bottom w:val="single" w:sz="12" w:space="0" w:color="000000"/>
            </w:tcBorders>
            <w:vAlign w:val="center"/>
          </w:tcPr>
          <w:p>
            <w:pPr>
              <w:pStyle w:val="TableContents"/>
              <w:bidi w:val="0"/>
              <w:spacing w:before="0" w:after="283"/>
              <w:jc w:val="both"/>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9075" w:type="dxa"/>
            <w:tcBorders/>
            <w:tcMar>
              <w:bottom w:w="0" w:type="dxa"/>
            </w:tcMar>
            <w:vAlign w:val="center"/>
          </w:tcPr>
          <w:p>
            <w:pPr>
              <w:pStyle w:val="TableContents"/>
              <w:bidi w:val="0"/>
              <w:spacing w:before="0" w:after="283"/>
              <w:jc w:val="left"/>
              <w:rPr/>
            </w:pPr>
            <w:r>
              <w:rPr/>
              <w:t> </w:t>
            </w:r>
          </w:p>
        </w:tc>
      </w:tr>
      <w:tr>
        <w:trPr/>
        <w:tc>
          <w:tcPr>
            <w:tcW w:w="1070" w:type="dxa"/>
            <w:tcBorders/>
            <w:shd w:fill="CCEEFF" w:val="clear"/>
            <w:tcMar>
              <w:bottom w:w="0" w:type="dxa"/>
            </w:tcMar>
            <w:vAlign w:val="center"/>
          </w:tcPr>
          <w:p>
            <w:pPr>
              <w:pStyle w:val="TableContents"/>
              <w:bidi w:val="0"/>
              <w:spacing w:before="0" w:after="283"/>
              <w:jc w:val="both"/>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5" w:type="dxa"/>
            <w:tcBorders/>
            <w:shd w:fill="CCEEFF" w:val="clear"/>
            <w:tcMar>
              <w:bottom w:w="0" w:type="dxa"/>
            </w:tcMar>
            <w:vAlign w:val="center"/>
          </w:tcPr>
          <w:p>
            <w:pPr>
              <w:pStyle w:val="TableContents"/>
              <w:bidi w:val="0"/>
              <w:spacing w:before="0" w:after="283"/>
              <w:jc w:val="both"/>
              <w:rPr/>
            </w:pPr>
            <w:hyperlink r:id="rId4">
              <w:r>
                <w:rPr>
                  <w:rStyle w:val="InternetLink"/>
                </w:rPr>
                <w:t>Amended and Restated Certificate of Incorporation of Keel Infrastructure Corp. (incorporated by reference to Exhibit 3.1 of Keel’s Form 8-K filed with the SEC on April 1, 2026)</w:t>
              </w:r>
            </w:hyperlink>
          </w:p>
        </w:tc>
      </w:tr>
      <w:tr>
        <w:trPr/>
        <w:tc>
          <w:tcPr>
            <w:tcW w:w="1070" w:type="dxa"/>
            <w:tcBorders/>
            <w:shd w:fill="FFFFFF" w:val="clear"/>
            <w:tcMar>
              <w:bottom w:w="0" w:type="dxa"/>
            </w:tcMar>
            <w:vAlign w:val="center"/>
          </w:tcPr>
          <w:p>
            <w:pPr>
              <w:pStyle w:val="TableContents"/>
              <w:bidi w:val="0"/>
              <w:spacing w:before="0" w:after="283"/>
              <w:jc w:val="both"/>
              <w:rPr/>
            </w:pPr>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5" w:type="dxa"/>
            <w:tcBorders/>
            <w:shd w:fill="FFFFFF" w:val="clear"/>
            <w:tcMar>
              <w:bottom w:w="0" w:type="dxa"/>
            </w:tcMar>
            <w:vAlign w:val="center"/>
          </w:tcPr>
          <w:p>
            <w:pPr>
              <w:pStyle w:val="TableContents"/>
              <w:bidi w:val="0"/>
              <w:spacing w:before="0" w:after="283"/>
              <w:jc w:val="both"/>
              <w:rPr/>
            </w:pPr>
            <w:hyperlink r:id="rId5">
              <w:r>
                <w:rPr>
                  <w:rStyle w:val="InternetLink"/>
                </w:rPr>
                <w:t>Bylaws of Keel Infrastructure Corp. (incorporated by reference to Exhibit 3.2 of Keel’s Form 8-K filed with the SEC on April 1, 2026)</w:t>
              </w:r>
            </w:hyperlink>
          </w:p>
        </w:tc>
      </w:tr>
      <w:tr>
        <w:trPr/>
        <w:tc>
          <w:tcPr>
            <w:tcW w:w="1070" w:type="dxa"/>
            <w:tcBorders/>
            <w:shd w:fill="CCEEFF" w:val="clear"/>
            <w:tcMar>
              <w:bottom w:w="0" w:type="dxa"/>
            </w:tcMar>
            <w:vAlign w:val="center"/>
          </w:tcPr>
          <w:p>
            <w:pPr>
              <w:pStyle w:val="TableContents"/>
              <w:bidi w:val="0"/>
              <w:spacing w:before="0" w:after="283"/>
              <w:jc w:val="both"/>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5" w:type="dxa"/>
            <w:tcBorders/>
            <w:shd w:fill="CCEEFF" w:val="clear"/>
            <w:tcMar>
              <w:bottom w:w="0" w:type="dxa"/>
            </w:tcMar>
            <w:vAlign w:val="center"/>
          </w:tcPr>
          <w:p>
            <w:pPr>
              <w:pStyle w:val="TableContents"/>
              <w:bidi w:val="0"/>
              <w:spacing w:before="0" w:after="283"/>
              <w:jc w:val="both"/>
              <w:rPr/>
            </w:pPr>
            <w:hyperlink r:id="rId6">
              <w:r>
                <w:rPr>
                  <w:rStyle w:val="InternetLink"/>
                </w:rPr>
                <w:t>Keel Infrastructure Corp. Long Term Incentive Plan (incorporated by reference to Exhibit 10.6 of Keel’s Form 8-K filed with the SEC on April 1, 2026)</w:t>
              </w:r>
            </w:hyperlink>
          </w:p>
        </w:tc>
      </w:tr>
      <w:tr>
        <w:trPr/>
        <w:tc>
          <w:tcPr>
            <w:tcW w:w="1070" w:type="dxa"/>
            <w:tcBorders/>
            <w:shd w:fill="FFFFFF" w:val="clear"/>
            <w:tcMar>
              <w:bottom w:w="0" w:type="dxa"/>
            </w:tcMar>
            <w:vAlign w:val="center"/>
          </w:tcPr>
          <w:p>
            <w:pPr>
              <w:pStyle w:val="TableContents"/>
              <w:bidi w:val="0"/>
              <w:spacing w:before="0" w:after="283"/>
              <w:jc w:val="both"/>
              <w:rPr/>
            </w:pPr>
            <w:r>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5" w:type="dxa"/>
            <w:tcBorders/>
            <w:shd w:fill="FFFFFF" w:val="clear"/>
            <w:tcMar>
              <w:bottom w:w="0" w:type="dxa"/>
            </w:tcMar>
            <w:vAlign w:val="center"/>
          </w:tcPr>
          <w:p>
            <w:pPr>
              <w:pStyle w:val="TableContents"/>
              <w:bidi w:val="0"/>
              <w:spacing w:before="0" w:after="283"/>
              <w:jc w:val="both"/>
              <w:rPr/>
            </w:pPr>
            <w:hyperlink w:anchor="ea028459701ex5-1.htm">
              <w:r>
                <w:rPr>
                  <w:rStyle w:val="InternetLink"/>
                </w:rPr>
                <w:t>Opinion of Skadden, Arps, Slate, Meagher &amp; Flom LLP as to the legality of the securities being registered</w:t>
              </w:r>
            </w:hyperlink>
          </w:p>
        </w:tc>
      </w:tr>
      <w:tr>
        <w:trPr/>
        <w:tc>
          <w:tcPr>
            <w:tcW w:w="1070" w:type="dxa"/>
            <w:tcBorders/>
            <w:shd w:fill="CCEEFF" w:val="clear"/>
            <w:tcMar>
              <w:bottom w:w="0" w:type="dxa"/>
            </w:tcMar>
            <w:vAlign w:val="center"/>
          </w:tcPr>
          <w:p>
            <w:pPr>
              <w:pStyle w:val="TableContents"/>
              <w:bidi w:val="0"/>
              <w:spacing w:before="0" w:after="283"/>
              <w:jc w:val="both"/>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5" w:type="dxa"/>
            <w:tcBorders/>
            <w:shd w:fill="CCEEFF" w:val="clear"/>
            <w:tcMar>
              <w:bottom w:w="0" w:type="dxa"/>
            </w:tcMar>
            <w:vAlign w:val="center"/>
          </w:tcPr>
          <w:p>
            <w:pPr>
              <w:pStyle w:val="TableContents"/>
              <w:bidi w:val="0"/>
              <w:spacing w:before="0" w:after="283"/>
              <w:jc w:val="both"/>
              <w:rPr/>
            </w:pPr>
            <w:hyperlink w:anchor="ea028459701ex5-1.htm">
              <w:r>
                <w:rPr>
                  <w:rStyle w:val="InternetLink"/>
                </w:rPr>
                <w:t>Consent of Skadden, Arps, Slate, Meagher &amp; Flom LLP (included in Exhibit 5.1)</w:t>
              </w:r>
            </w:hyperlink>
          </w:p>
        </w:tc>
      </w:tr>
      <w:tr>
        <w:trPr/>
        <w:tc>
          <w:tcPr>
            <w:tcW w:w="1070" w:type="dxa"/>
            <w:tcBorders/>
            <w:shd w:fill="FFFFFF" w:val="clear"/>
            <w:tcMar>
              <w:bottom w:w="0" w:type="dxa"/>
            </w:tcMar>
            <w:vAlign w:val="center"/>
          </w:tcPr>
          <w:p>
            <w:pPr>
              <w:pStyle w:val="TableContents"/>
              <w:bidi w:val="0"/>
              <w:spacing w:before="0" w:after="283"/>
              <w:jc w:val="both"/>
              <w:rPr/>
            </w:pPr>
            <w:r>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5" w:type="dxa"/>
            <w:tcBorders/>
            <w:shd w:fill="FFFFFF" w:val="clear"/>
            <w:tcMar>
              <w:bottom w:w="0" w:type="dxa"/>
            </w:tcMar>
            <w:vAlign w:val="center"/>
          </w:tcPr>
          <w:p>
            <w:pPr>
              <w:pStyle w:val="TableContents"/>
              <w:bidi w:val="0"/>
              <w:spacing w:before="0" w:after="283"/>
              <w:jc w:val="both"/>
              <w:rPr/>
            </w:pPr>
            <w:hyperlink w:anchor="ea028459701ex23-2.htm">
              <w:r>
                <w:rPr>
                  <w:rStyle w:val="InternetLink"/>
                </w:rPr>
                <w:t>Consent of PricewaterhouseCoopers LLP</w:t>
              </w:r>
            </w:hyperlink>
          </w:p>
        </w:tc>
      </w:tr>
      <w:tr>
        <w:trPr/>
        <w:tc>
          <w:tcPr>
            <w:tcW w:w="1070" w:type="dxa"/>
            <w:tcBorders/>
            <w:shd w:fill="CCEEFF" w:val="clear"/>
            <w:tcMar>
              <w:bottom w:w="0" w:type="dxa"/>
            </w:tcMar>
            <w:vAlign w:val="center"/>
          </w:tcPr>
          <w:p>
            <w:pPr>
              <w:pStyle w:val="TableContents"/>
              <w:bidi w:val="0"/>
              <w:spacing w:before="0" w:after="283"/>
              <w:jc w:val="both"/>
              <w:rPr/>
            </w:pPr>
            <w:r>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5" w:type="dxa"/>
            <w:tcBorders/>
            <w:shd w:fill="CCEEFF" w:val="clear"/>
            <w:tcMar>
              <w:bottom w:w="0" w:type="dxa"/>
            </w:tcMar>
            <w:vAlign w:val="center"/>
          </w:tcPr>
          <w:p>
            <w:pPr>
              <w:pStyle w:val="TableContents"/>
              <w:bidi w:val="0"/>
              <w:spacing w:before="0" w:after="283"/>
              <w:jc w:val="both"/>
              <w:rPr/>
            </w:pPr>
            <w:hyperlink w:anchor="sig_001">
              <w:r>
                <w:rPr>
                  <w:rStyle w:val="InternetLink"/>
                </w:rPr>
                <w:t>Power of Attorney (included on signature page)</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578" w:type="dxa"/>
        <w:jc w:val="left"/>
        <w:tblInd w:w="0" w:type="dxa"/>
        <w:tblLayout w:type="fixed"/>
        <w:tblCellMar>
          <w:top w:w="0" w:type="dxa"/>
          <w:left w:w="0" w:type="dxa"/>
          <w:bottom w:w="0" w:type="dxa"/>
          <w:right w:w="0" w:type="dxa"/>
        </w:tblCellMar>
      </w:tblPr>
      <w:tblGrid>
        <w:gridCol w:w="38"/>
        <w:gridCol w:w="14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sig_001"/>
      <w:bookmarkEnd w:id="2"/>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1st day of April 2026.</w:t>
      </w:r>
    </w:p>
    <w:p>
      <w:pPr>
        <w:pStyle w:val="TextBody"/>
        <w:bidi w:val="0"/>
        <w:spacing w:before="0" w:after="0"/>
        <w:ind w:left="0" w:right="0" w:hanging="0"/>
        <w:jc w:val="both"/>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75"/>
        <w:gridCol w:w="3665"/>
      </w:tblGrid>
      <w:tr>
        <w:trPr/>
        <w:tc>
          <w:tcPr>
            <w:tcW w:w="75" w:type="dxa"/>
            <w:tcBorders/>
            <w:vAlign w:val="center"/>
          </w:tcPr>
          <w:p>
            <w:pPr>
              <w:pStyle w:val="TableContents"/>
              <w:bidi w:val="0"/>
              <w:spacing w:before="0" w:after="283"/>
              <w:jc w:val="both"/>
              <w:rPr/>
            </w:pPr>
            <w:r>
              <w:rPr/>
              <w:t> </w:t>
            </w:r>
          </w:p>
        </w:tc>
        <w:tc>
          <w:tcPr>
            <w:tcW w:w="3665" w:type="dxa"/>
            <w:tcBorders/>
            <w:vAlign w:val="center"/>
          </w:tcPr>
          <w:p>
            <w:pPr>
              <w:pStyle w:val="TableContents"/>
              <w:bidi w:val="0"/>
              <w:spacing w:before="0" w:after="283"/>
              <w:jc w:val="both"/>
              <w:rPr/>
            </w:pPr>
            <w:r>
              <w:rPr/>
              <w:t>KEEL INFRASTRUCTURE CORP.</w:t>
            </w:r>
          </w:p>
        </w:tc>
      </w:tr>
    </w:tbl>
    <w:p>
      <w:pPr>
        <w:pStyle w:val="TextBody"/>
        <w:bidi w:val="0"/>
        <w:spacing w:before="0" w:after="0"/>
        <w:ind w:left="5040" w:right="0" w:hanging="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365"/>
        <w:gridCol w:w="3545"/>
      </w:tblGrid>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By:</w:t>
            </w:r>
          </w:p>
        </w:tc>
        <w:tc>
          <w:tcPr>
            <w:tcW w:w="3545" w:type="dxa"/>
            <w:tcBorders>
              <w:bottom w:val="single" w:sz="12" w:space="0" w:color="000000"/>
            </w:tcBorders>
            <w:tcMar>
              <w:bottom w:w="28" w:type="dxa"/>
            </w:tcMar>
            <w:vAlign w:val="center"/>
          </w:tcPr>
          <w:p>
            <w:pPr>
              <w:pStyle w:val="TableContents"/>
              <w:bidi w:val="0"/>
              <w:spacing w:before="0" w:after="283"/>
              <w:jc w:val="both"/>
              <w:rPr/>
            </w:pPr>
            <w:r>
              <w:rPr/>
              <w:t>/s/ Benjamin Gagnon</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t>Benjamin Gagnon</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t>Chief Executive Officer and Director</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 and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and officers of the Registrant, hereby severally constitute and appoint Benjamin Gagnon and Jonathan Mir and each of them singly, our true and lawful attorneys, with full power of substitution, for each of them singly, to do any and all acts and all things and to execute any and all instruments which said attorneys and agents may deem necessary or desirable to enable the Registrant to comply with the Securities Act and any rules, regulations and requirements of the Securities and Exchange Commission thereunder, including, without limitation, to sign for us and in our names in the capacities indicated below, the Registration Statement on Form S-8 (this “Registration Statement”) to be filed with the SEC, and any and all pre-effective and post-effective amendments or supplements to this Registration Statement (whether such amendments or supplements are filed before or after the effective date of this Registration Statement), and any related registration statement filed pursuant to Rule 462 under the Securities Act, and any and all instruments or documents filed as part of or in connection with this Registration Statement or any and all amendments thereto (whether such amendments are filed before or after the effective date of this Registration Statement); and each of the undersigned hereby ratifies and confirms all that such attorneys and agents shall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7785" w:type="dxa"/>
        <w:jc w:val="left"/>
        <w:tblInd w:w="0" w:type="dxa"/>
        <w:tblLayout w:type="fixed"/>
        <w:tblCellMar>
          <w:top w:w="0" w:type="dxa"/>
          <w:left w:w="0" w:type="dxa"/>
          <w:bottom w:w="28" w:type="dxa"/>
          <w:right w:w="0" w:type="dxa"/>
        </w:tblCellMar>
      </w:tblPr>
      <w:tblGrid>
        <w:gridCol w:w="1925"/>
        <w:gridCol w:w="60"/>
        <w:gridCol w:w="4625"/>
        <w:gridCol w:w="60"/>
        <w:gridCol w:w="1115"/>
      </w:tblGrid>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6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Benjamin Gagnon</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2026</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Benjamin Gagnon</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Jonathan Mir</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 (Principal Financial Officer)</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2026</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Jonathan Mir</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Marc-Andre Amman</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2026</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Marc-Andre Ammann</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Edith Hofmeister</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 and Chair of the Board of Directors</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2026</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Edith Hofmeister</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Brian Howlett</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2026</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Brian Howlett, CPA</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Fanny Philip</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2026</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Fanny Philip</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Amy Freedman</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2026</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Amy Freedman</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Andrew J. Chang</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2026</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Andrew J. Chang</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Wayne Duso</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2026</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Wayne Duso</w:t>
            </w:r>
          </w:p>
        </w:tc>
        <w:tc>
          <w:tcPr>
            <w:tcW w:w="6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r>
        <w:rPr/>
        <w:t> </w:t>
      </w:r>
    </w:p>
    <w:p>
      <w:pPr>
        <w:pStyle w:val="TextBody"/>
        <w:bidi w:val="0"/>
        <w:jc w:val="center"/>
        <w:rPr/>
      </w:pPr>
      <w:r>
        <w:rPr/>
        <w:t>II-5</w:t>
      </w:r>
    </w:p>
    <w:p>
      <w:pPr>
        <w:pStyle w:val="TextBody"/>
        <w:bidi w:val="0"/>
        <w:jc w:val="left"/>
        <w:rPr>
          <w:bdr w:val="single" w:sz="12" w:space="1" w:color="000000"/>
        </w:rPr>
      </w:pPr>
      <w:r>
        <w:rPr>
          <w:bdr w:val="single" w:sz="12" w:space="1" w:color="000000"/>
        </w:rPr>
        <w:t> </w:t>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28459701ex5-1.htm"/>
      <w:bookmarkStart w:id="4" w:name="ksea028459701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Skadden, Arps, Slate, Meagher &amp; Flom llp</w:t>
      </w:r>
    </w:p>
    <w:tbl>
      <w:tblPr>
        <w:tblW w:w="4540" w:type="dxa"/>
        <w:jc w:val="left"/>
        <w:tblInd w:w="0" w:type="dxa"/>
        <w:tblLayout w:type="fixed"/>
        <w:tblCellMar>
          <w:top w:w="0" w:type="dxa"/>
          <w:left w:w="0" w:type="dxa"/>
          <w:bottom w:w="0" w:type="dxa"/>
          <w:right w:w="0" w:type="dxa"/>
        </w:tblCellMar>
      </w:tblPr>
      <w:tblGrid>
        <w:gridCol w:w="75"/>
        <w:gridCol w:w="2900"/>
        <w:gridCol w:w="1565"/>
      </w:tblGrid>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center"/>
              <w:rPr>
                <w:caps/>
              </w:rPr>
            </w:pPr>
            <w:r>
              <w:rPr>
                <w:caps/>
              </w:rPr>
              <w:t>One Manhattan West</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New York, NY 10001</w:t>
            </w:r>
          </w:p>
        </w:tc>
        <w:tc>
          <w:tcPr>
            <w:tcW w:w="15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FIRM/AFFILIATE</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center"/>
              <w:rPr>
                <w:caps w:val="false"/>
                <w:smallCaps w:val="false"/>
              </w:rPr>
            </w:pPr>
            <w:r>
              <w:rPr>
                <w:caps w:val="false"/>
                <w:smallCaps w:val="false"/>
              </w:rPr>
              <w:t> </w:t>
            </w:r>
            <w:r>
              <w:rPr>
                <w:rFonts w:ascii="Times New Roman;Times;Serif" w:hAnsi="Times New Roman;Times;Serif"/>
                <w:b w:val="false"/>
                <w:i w:val="false"/>
                <w:caps/>
                <w:sz w:val="20"/>
              </w:rPr>
              <w:t>________</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(212) 735-3000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 735-2000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www.skadden.com</w:t>
            </w:r>
          </w:p>
          <w:p>
            <w:pPr>
              <w:pStyle w:val="TableContents"/>
              <w:bidi w:val="0"/>
              <w:spacing w:before="0" w:after="0"/>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OFFICES</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BOSTON</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CHICAGO</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HOUSTON</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 ANGELES</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PALO ALTO</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WASHINGTON, D.C.</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WILMINGTON</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ABU DHABI</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BEIJING</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BRUSSELS</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FRANKFURT</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HONG KONG</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LONDON</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MUNICH</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PARIS</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SÃO PAULO</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SEOUL</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SINGAPORE</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TOKYO</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TORONTO</w:t>
            </w:r>
          </w:p>
        </w:tc>
      </w:tr>
    </w:tbl>
    <w:p>
      <w:pPr>
        <w:pStyle w:val="TextBody"/>
        <w:bidi w:val="0"/>
        <w:spacing w:before="0" w:after="0"/>
        <w:ind w:left="0" w:right="0" w:hanging="0"/>
        <w:jc w:val="center"/>
        <w:rPr/>
      </w:pPr>
      <w:r>
        <w:rPr/>
        <w:t> </w:t>
      </w:r>
    </w:p>
    <w:p>
      <w:pPr>
        <w:pStyle w:val="TextBody"/>
        <w:bidi w:val="0"/>
        <w:spacing w:before="0" w:after="0"/>
        <w:jc w:val="center"/>
        <w:rPr/>
      </w:pPr>
      <w:r>
        <w:rPr/>
        <w:t>April 1, 2026</w:t>
      </w:r>
    </w:p>
    <w:p>
      <w:pPr>
        <w:pStyle w:val="TextBody"/>
        <w:bidi w:val="0"/>
        <w:spacing w:before="0" w:after="0"/>
        <w:ind w:left="0" w:right="0" w:hanging="0"/>
        <w:jc w:val="left"/>
        <w:rPr/>
      </w:pPr>
      <w:r>
        <w:rPr/>
        <w:t> </w:t>
      </w:r>
    </w:p>
    <w:tbl>
      <w:tblPr>
        <w:tblW w:w="2210" w:type="dxa"/>
        <w:jc w:val="left"/>
        <w:tblInd w:w="0" w:type="dxa"/>
        <w:tblLayout w:type="fixed"/>
        <w:tblCellMar>
          <w:top w:w="0" w:type="dxa"/>
          <w:left w:w="0" w:type="dxa"/>
          <w:bottom w:w="0" w:type="dxa"/>
          <w:right w:w="0" w:type="dxa"/>
        </w:tblCellMar>
      </w:tblPr>
      <w:tblGrid>
        <w:gridCol w:w="2210"/>
      </w:tblGrid>
      <w:tr>
        <w:trPr/>
        <w:tc>
          <w:tcPr>
            <w:tcW w:w="22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Corp.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Broadway, Suite 1075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tc>
      </w:tr>
    </w:tbl>
    <w:p>
      <w:pPr>
        <w:pStyle w:val="TextBody"/>
        <w:bidi w:val="0"/>
        <w:spacing w:before="0" w:after="0"/>
        <w:ind w:left="2880" w:right="0" w:hanging="72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35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3425" w:type="dxa"/>
            <w:tcBorders/>
            <w:vAlign w:val="center"/>
          </w:tcPr>
          <w:p>
            <w:pPr>
              <w:pStyle w:val="TableContents"/>
              <w:bidi w:val="0"/>
              <w:spacing w:before="0" w:after="283"/>
              <w:jc w:val="left"/>
              <w:rPr/>
            </w:pPr>
            <w:r>
              <w:rPr/>
              <w:t>Keel Infrastructure Corp.</w:t>
              <w:br/>
            </w:r>
            <w:r>
              <w:rPr>
                <w:u w:val="single"/>
              </w:rPr>
              <w:t>Registration Statement on Form S-8</w:t>
            </w:r>
          </w:p>
        </w:tc>
      </w:tr>
    </w:tbl>
    <w:p>
      <w:pPr>
        <w:pStyle w:val="TextBody"/>
        <w:bidi w:val="0"/>
        <w:spacing w:before="0" w:after="0"/>
        <w:ind w:left="288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Keel Infrastructure Corp.,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to be filed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on the date hereof, relating to the registration by the Company of up to 52,855,138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issuable pursuant to the Keel Infrastructure Corp. Amended and Restated Long-Term Performance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accordance with the requirements of Item 601(b)(5) of Regulation S-K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stated herein, we have examined and relied upon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in the form to be filed with the Commission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copies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executed copy of the arrangement agreement, dated as of February 6, 2026, by and among Bitfarms Ltd., the Company, and 1576430 B.C. Unlimited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executed copy of a certificate of Rachel Silverstein, EVP, General Counsel and Corporate Secretary of the Company, dated the date hereof (the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copy of the Company’s Amended and Restated Certificate of Incorporation, in effect as of the date hereof, certified by the Secretary of State of the State of Delaware as of March 31, 2026, and certified pursuant to the Secretary’s Certificate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copy of the Company’s By-laws, in effect as of the date hereof, certified pursuant to the Secretary’s Certificate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copy of the written consent of the board of directors of the Company, dated as of March 31, 2026, certified pursuant to the Secretary’s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Bitfarms Ltd. and such agreements, certificates and receipts of public officials, certificates of officers or other representatives of the Company and others, and such other documents as we have deemed necessary or appropriate as a basis for the opinions stated below, including the facts and conclusions set forth in the Secretary’s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and the enforceability thereof against such parties. As to any facts relevant to the opinions stated herein that we did not independently establish or verify, we have relied upon statements and representations of officers and other representatives of the Company and others and of public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stated herein, we have also assumed that: (i) when issued in book-entry form, an appropriate account statement evidencing the Shares credited to the recipient’s account maintained with the Company’s transfer agent has been or will be issued by the Company’s transfer agent; (ii) the issuance of the Shares will be properly recorded in the books and records of the Company; (iii) each award agreement under which options, restricted stock, restricted stock units or other awards were or are granted pursuant to the Plan was or will be consistent with the Plan and was or will be duly authorized, executed and delivered by the parties thereto; (iv) the consideration received by the Company for each of the Shares delivered pursuant to the Plan shall not be less than the per share par value of the Shares; and (v) the issuance of the Shares does not violate or conflict with any agreement or instrument binding on the Company (except that we do not make this assumption with respect to the Certificate of Incorporation or the Bylaws or those agreements or instruments expressed to be governed by the laws of the State of New York which are listed in Part II of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 the Shares have been duly authorized by all requisite corporate action on the part of the Company under the DGCL and, when the Shares are issued to the participants in accordance with the terms and conditions of an applicable Plan and the applicable award agreement for consideration in an amount at least equal to the par value of such Shares, the Shares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of the Commission promulgated thereunder. This opinion is expressed as of the date hereof unless otherwise expressly stated, and we disclaim any undertaking to advise you of any subsequent changes in the facts stated or assumed herein or of any subsequent changes in the applicable laws.</w:t>
      </w:r>
    </w:p>
    <w:p>
      <w:pPr>
        <w:pStyle w:val="TextBody"/>
        <w:bidi w:val="0"/>
        <w:spacing w:before="0" w:after="0"/>
        <w:ind w:left="468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75"/>
        <w:gridCol w:w="4550"/>
      </w:tblGrid>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/s/ Skadden, Arps, Slate, Meagher &amp; Flom LLP</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RJD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ind w:left="0" w:right="0" w:hanging="0"/>
        <w:jc w:val="right"/>
        <w:rPr>
          <w:b/>
        </w:rPr>
      </w:pPr>
      <w:bookmarkStart w:id="5" w:name="ea028459701ex23-2.htm"/>
      <w:bookmarkStart w:id="6" w:name="ksea028459701ex232"/>
      <w:bookmarkEnd w:id="5"/>
      <w:bookmarkEnd w:id="6"/>
      <w:r>
        <w:rPr>
          <w:b/>
        </w:rPr>
        <w:t>Exhibit 23.2</w:t>
      </w:r>
      <w:r>
        <w:br w:type="page"/>
      </w:r>
    </w:p>
    <w:p>
      <w:pPr>
        <w:pStyle w:val="TextBody"/>
        <w:bidi w:val="0"/>
        <w:spacing w:before="0" w:after="0"/>
        <w:ind w:left="86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Keel Infrastructure Corp. of our report dated March 31, 2026, relating to the financial statements and the effectiveness of internal control over financial reporting of Bitfarms Ltd., which appears in Bitfarms Ltd.’s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Licensed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Canada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4"/>
        </w:rPr>
      </w:pPr>
      <w:bookmarkStart w:id="7" w:name="ea028459701ex-fee.htm"/>
      <w:bookmarkStart w:id="8" w:name="ksea0284597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Keel Infrastructure Corp.</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36"/>
        <w:gridCol w:w="60"/>
        <w:gridCol w:w="995"/>
        <w:gridCol w:w="60"/>
        <w:gridCol w:w="575"/>
        <w:gridCol w:w="60"/>
        <w:gridCol w:w="1115"/>
        <w:gridCol w:w="60"/>
        <w:gridCol w:w="1130"/>
        <w:gridCol w:w="60"/>
        <w:gridCol w:w="257"/>
        <w:gridCol w:w="809"/>
        <w:gridCol w:w="60"/>
        <w:gridCol w:w="145"/>
        <w:gridCol w:w="1584"/>
        <w:gridCol w:w="60"/>
        <w:gridCol w:w="1040"/>
        <w:gridCol w:w="60"/>
        <w:gridCol w:w="151"/>
        <w:gridCol w:w="1088"/>
      </w:tblGrid>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left"/>
              <w:rPr/>
            </w:pPr>
            <w:r>
              <w:rPr/>
              <w:t> </w:t>
            </w:r>
          </w:p>
        </w:tc>
      </w:tr>
      <w:tr>
        <w:trPr/>
        <w:tc>
          <w:tcPr>
            <w:tcW w:w="836"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729"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left"/>
              <w:rPr/>
            </w:pPr>
            <w:r>
              <w:rPr/>
              <w:t> </w:t>
            </w:r>
          </w:p>
        </w:tc>
      </w:tr>
      <w:tr>
        <w:trPr/>
        <w:tc>
          <w:tcPr>
            <w:tcW w:w="836"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Common Stock, $0.001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3,142,125</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2.27</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7,132,623.75</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088" w:type="dxa"/>
            <w:tcBorders/>
            <w:vAlign w:val="center"/>
          </w:tcPr>
          <w:p>
            <w:pPr>
              <w:pStyle w:val="TableContents"/>
              <w:bidi w:val="0"/>
              <w:spacing w:before="0" w:after="283"/>
              <w:jc w:val="right"/>
              <w:rPr/>
            </w:pPr>
            <w:r>
              <w:rPr/>
              <w:t>985.02</w:t>
            </w:r>
          </w:p>
        </w:tc>
      </w:tr>
      <w:tr>
        <w:trPr/>
        <w:tc>
          <w:tcPr>
            <w:tcW w:w="836"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Common Stock, $0.001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49,713,013</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1.90</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94,454,724.70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088" w:type="dxa"/>
            <w:tcBorders/>
            <w:vAlign w:val="center"/>
          </w:tcPr>
          <w:p>
            <w:pPr>
              <w:pStyle w:val="TableContents"/>
              <w:bidi w:val="0"/>
              <w:spacing w:before="0" w:after="283"/>
              <w:jc w:val="right"/>
              <w:rPr/>
            </w:pPr>
            <w:r>
              <w:rPr/>
              <w:t>13,044.20</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8" w:space="0" w:color="000000"/>
            </w:tcBorders>
            <w:tcMar>
              <w:bottom w:w="28" w:type="dxa"/>
            </w:tcMar>
            <w:vAlign w:val="center"/>
          </w:tcPr>
          <w:p>
            <w:pPr>
              <w:pStyle w:val="TableContents"/>
              <w:bidi w:val="0"/>
              <w:spacing w:before="0" w:after="283"/>
              <w:jc w:val="left"/>
              <w:rPr/>
            </w:pPr>
            <w:r>
              <w:rPr/>
              <w:t> </w:t>
            </w:r>
          </w:p>
        </w:tc>
        <w:tc>
          <w:tcPr>
            <w:tcW w:w="158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17"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101,587,348.45</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14,029.22</w:t>
            </w:r>
          </w:p>
        </w:tc>
      </w:tr>
      <w:tr>
        <w:trPr/>
        <w:tc>
          <w:tcPr>
            <w:tcW w:w="6017"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017"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double" w:sz="8" w:space="0" w:color="000000"/>
            </w:tcBorders>
            <w:tcMar>
              <w:bottom w:w="28" w:type="dxa"/>
            </w:tcMar>
            <w:vAlign w:val="center"/>
          </w:tcPr>
          <w:p>
            <w:pPr>
              <w:pStyle w:val="TableContents"/>
              <w:bidi w:val="0"/>
              <w:spacing w:before="0" w:after="283"/>
              <w:jc w:val="left"/>
              <w:rPr/>
            </w:pPr>
            <w:r>
              <w:rPr/>
              <w:t>$</w:t>
            </w:r>
          </w:p>
        </w:tc>
        <w:tc>
          <w:tcPr>
            <w:tcW w:w="1088" w:type="dxa"/>
            <w:tcBorders>
              <w:bottom w:val="double" w:sz="8" w:space="0" w:color="000000"/>
            </w:tcBorders>
            <w:tcMar>
              <w:bottom w:w="28" w:type="dxa"/>
            </w:tcMar>
            <w:vAlign w:val="center"/>
          </w:tcPr>
          <w:p>
            <w:pPr>
              <w:pStyle w:val="TableContents"/>
              <w:bidi w:val="0"/>
              <w:spacing w:before="0" w:after="283"/>
              <w:jc w:val="right"/>
              <w:rPr/>
            </w:pPr>
            <w:r>
              <w:rPr/>
              <w:t>14,029.22</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1"/>
        <w:gridCol w:w="23"/>
        <w:gridCol w:w="9941"/>
      </w:tblGrid>
      <w:tr>
        <w:trPr/>
        <w:tc>
          <w:tcPr>
            <w:tcW w:w="241"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1" w:type="dxa"/>
            <w:tcBorders/>
            <w:vAlign w:val="center"/>
          </w:tcPr>
          <w:p>
            <w:pPr>
              <w:pStyle w:val="TableContents"/>
              <w:bidi w:val="0"/>
              <w:spacing w:before="0" w:after="283"/>
              <w:jc w:val="both"/>
              <w:rPr/>
            </w:pPr>
            <w:r>
              <w:rPr/>
              <w:t>1a. In accordance with Rule 416(a) under the Securities Act of 1933, as amended (the “Securities Act”), the registration statement to which this exhibit relates shall also cover any additional shares of Common Stock, $0.001 par value of the Company (the “Common Stock”) of Keel Infrastructure Corp. (the “Registrant”) that become issuable by reason of certain corporate transactions or events, including any stock dividend, stock split, recapitalization or certain other similar transactions effected without the Registrant’s receipt of consideration that result in an increase in the number of outstanding shares of Common Stock.</w:t>
              <w:br/>
              <w:br/>
              <w:t>1b. Represents 3,142,125 shares of Common Stock issuable pursuant to options granted under the Bitfarms Ltd. Long-Term Incentive Plan, which has been amended and restated in connection with Bitfarms Ltd.’s U.S. redomiciliation and is now the Keel Infrastructure Corp. Amended and Restated Long-Term Performance Incentive Plan (the “Keel Plan”) that have not yet been exercised.</w:t>
              <w:br/>
              <w:br/>
              <w:t>1c. Estimated solely for the purpose of calculating the registration fee in accordance with Rule 457(h) under the Securities Act on the basis of $2.27 (converted from C$3.16 at an exchange rate of C$1.00 = $0.7174 which was the daily average exchange rate reported by the Bank of Canada on March 31, 2026, a date within 5 business days of filing the registration statement to which this exhibit relates), which is the weighted average exercise price of option awards outstanding under the Keel Plan as of the date of the registration statement to which this exhibit relates.</w:t>
            </w:r>
          </w:p>
        </w:tc>
      </w:tr>
    </w:tbl>
    <w:tbl>
      <w:tblPr>
        <w:tblW w:w="10205" w:type="dxa"/>
        <w:jc w:val="left"/>
        <w:tblInd w:w="0" w:type="dxa"/>
        <w:tblLayout w:type="fixed"/>
        <w:tblCellMar>
          <w:top w:w="0" w:type="dxa"/>
          <w:left w:w="0" w:type="dxa"/>
          <w:bottom w:w="0" w:type="dxa"/>
          <w:right w:w="0" w:type="dxa"/>
        </w:tblCellMar>
      </w:tblPr>
      <w:tblGrid>
        <w:gridCol w:w="256"/>
        <w:gridCol w:w="23"/>
        <w:gridCol w:w="9926"/>
      </w:tblGrid>
      <w:tr>
        <w:trPr/>
        <w:tc>
          <w:tcPr>
            <w:tcW w:w="256"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26" w:type="dxa"/>
            <w:tcBorders/>
            <w:vAlign w:val="center"/>
          </w:tcPr>
          <w:p>
            <w:pPr>
              <w:pStyle w:val="TableContents"/>
              <w:bidi w:val="0"/>
              <w:spacing w:before="0" w:after="283"/>
              <w:jc w:val="both"/>
              <w:rPr/>
            </w:pPr>
            <w:r>
              <w:rPr/>
              <w:t>2a. Represents 49,713,013 shares of Common Stock for future issuance under the Keel Plan.</w:t>
              <w:br/>
              <w:br/>
              <w:t>2b. Estimated solely for the purpose of calculating the registration fee in accordance with Rule 457(c) and (h) under the Securities Act on the basis of the average of the high and low prices of the Common Shares on the Nasdaq Stock Market on March 29, 2026, which was $1.90.</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12477/000121390026037514/ea0282809-10k_bitfarms.htm" TargetMode="External"/><Relationship Id="rId3" Type="http://schemas.openxmlformats.org/officeDocument/2006/relationships/hyperlink" Target="http://www.sec.gov/ix?doc=/Archives/edgar/data/1812477/000121390026038080/ea0284500-8k_keelinfra.htm" TargetMode="External"/><Relationship Id="rId4" Type="http://schemas.openxmlformats.org/officeDocument/2006/relationships/hyperlink" Target="http://www.sec.gov/Archives/edgar/data/1812477/000121390026038080/ea028450001ex3-1.htm" TargetMode="External"/><Relationship Id="rId5" Type="http://schemas.openxmlformats.org/officeDocument/2006/relationships/hyperlink" Target="http://www.sec.gov/Archives/edgar/data/1812477/000121390026038080/ea028450001ex3-2.htm" TargetMode="External"/><Relationship Id="rId6" Type="http://schemas.openxmlformats.org/officeDocument/2006/relationships/hyperlink" Target="http://www.sec.gov/Archives/edgar/data/1812477/000121390026038080/ea028450001ex10-6.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4261</Words>
  <Characters>22650</Characters>
  <CharactersWithSpaces>27020</CharactersWithSpaces>
  <Paragraphs>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