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182245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1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2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30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0" w:lineRule="exact"/>
        <w:rPr>
          <w:sz w:val="24"/>
          <w:szCs w:val="24"/>
          <w:color w:val="auto"/>
        </w:rPr>
      </w:pPr>
    </w:p>
    <w:p>
      <w:pPr>
        <w:spacing w:after="0" w:line="28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9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2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79" w:lineRule="exact"/>
        <w:rPr>
          <w:sz w:val="24"/>
          <w:szCs w:val="24"/>
          <w:color w:val="auto"/>
        </w:rPr>
      </w:pPr>
    </w:p>
    <w:p>
      <w:pPr>
        <w:ind w:left="45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346710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380365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456565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999"/>
          </w:cols>
          <w:pgMar w:left="460" w:top="59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4" w:lineRule="exact"/>
        <w:rPr>
          <w:sz w:val="20"/>
          <w:szCs w:val="20"/>
          <w:color w:val="auto"/>
        </w:rPr>
      </w:pPr>
    </w:p>
    <w:p>
      <w:pPr>
        <w:ind w:right="1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March 27, 2025,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3">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Form S-8 (File No. </w:t>
      </w:r>
      <w:hyperlink r:id="rId14">
        <w:r>
          <w:rPr>
            <w:rFonts w:ascii="Times New Roman" w:cs="Times New Roman" w:eastAsia="Times New Roman" w:hAnsi="Times New Roman"/>
            <w:sz w:val="18"/>
            <w:szCs w:val="18"/>
            <w:u w:val="single" w:color="auto"/>
            <w:color w:val="0000EE"/>
          </w:rPr>
          <w:t>333-278868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15">
        <w:r>
          <w:rPr>
            <w:rFonts w:ascii="Times New Roman" w:cs="Times New Roman" w:eastAsia="Times New Roman" w:hAnsi="Times New Roman"/>
            <w:sz w:val="18"/>
            <w:szCs w:val="18"/>
            <w:u w:val="single" w:color="auto"/>
            <w:color w:val="0000EE"/>
          </w:rPr>
          <w:t>333-285894</w:t>
        </w:r>
      </w:hyperlink>
      <w:r>
        <w:rPr>
          <w:rFonts w:ascii="Times New Roman" w:cs="Times New Roman" w:eastAsia="Times New Roman" w:hAnsi="Times New Roman"/>
          <w:sz w:val="18"/>
          <w:szCs w:val="18"/>
          <w:color w:val="auto"/>
        </w:rPr>
        <w:t xml:space="preserve">) and </w:t>
      </w:r>
      <w:hyperlink r:id="rId16">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333-282657), each as amended or supplemented.</w:t>
      </w:r>
    </w:p>
    <w:p>
      <w:pPr>
        <w:spacing w:after="0" w:line="177"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440" w:type="dxa"/>
            <w:vAlign w:val="bottom"/>
          </w:tcPr>
          <w:p>
            <w:pPr>
              <w:spacing w:after="0"/>
              <w:rPr>
                <w:sz w:val="20"/>
                <w:szCs w:val="20"/>
                <w:color w:val="auto"/>
              </w:rPr>
            </w:pPr>
          </w:p>
        </w:tc>
      </w:tr>
      <w:tr>
        <w:trPr>
          <w:trHeight w:val="43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3"/>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6440" w:type="dxa"/>
            <w:vAlign w:val="bottom"/>
            <w:tcBorders>
              <w:top w:val="single" w:sz="8" w:color="auto"/>
            </w:tcBorders>
          </w:tcPr>
          <w:p>
            <w:pPr>
              <w:spacing w:after="0"/>
              <w:rPr>
                <w:sz w:val="18"/>
                <w:szCs w:val="18"/>
                <w:color w:val="auto"/>
              </w:rPr>
            </w:pPr>
          </w:p>
        </w:tc>
      </w:tr>
      <w:tr>
        <w:trPr>
          <w:trHeight w:val="193"/>
        </w:trPr>
        <w:tc>
          <w:tcPr>
            <w:tcW w:w="13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3"/>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color w:val="0000EE"/>
              </w:rPr>
              <w:t>Material Change Report dated March 27, 2025</w:t>
            </w:r>
          </w:p>
        </w:tc>
      </w:tr>
      <w:tr>
        <w:trPr>
          <w:trHeight w:val="394"/>
        </w:trPr>
        <w:tc>
          <w:tcPr>
            <w:tcW w:w="13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320" w:type="dxa"/>
            <w:vAlign w:val="bottom"/>
            <w:tcBorders>
              <w:top w:val="single" w:sz="8" w:color="0000EE"/>
              <w:bottom w:val="single" w:sz="8" w:color="auto"/>
            </w:tcBorders>
          </w:tcPr>
          <w:p>
            <w:pPr>
              <w:spacing w:after="0"/>
              <w:rPr>
                <w:sz w:val="24"/>
                <w:szCs w:val="24"/>
                <w:color w:val="auto"/>
              </w:rPr>
            </w:pPr>
          </w:p>
        </w:tc>
        <w:tc>
          <w:tcPr>
            <w:tcW w:w="64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1" w:right="339" w:bottom="1440" w:gutter="0" w:footer="0" w:header="0"/>
        </w:sectPr>
      </w:pPr>
    </w:p>
    <w:bookmarkStart w:id="2" w:name="page3"/>
    <w:bookmarkEnd w:id="2"/>
    <w:p>
      <w:pPr>
        <w:jc w:val="center"/>
        <w:ind w:right="14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right="9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5" w:lineRule="exact"/>
        <w:rPr>
          <w:sz w:val="20"/>
          <w:szCs w:val="20"/>
          <w:color w:val="auto"/>
        </w:rPr>
      </w:pPr>
    </w:p>
    <w:tbl>
      <w:tblPr>
        <w:tblLayout w:type="fixed"/>
        <w:tblInd w:w="6960" w:type="dxa"/>
        <w:tblCellMar>
          <w:top w:w="0" w:type="dxa"/>
          <w:left w:w="0" w:type="dxa"/>
          <w:bottom w:w="0" w:type="dxa"/>
          <w:right w:w="0" w:type="dxa"/>
        </w:tblCellMar>
      </w:tblPr>
      <w:tr>
        <w:trPr>
          <w:trHeight w:val="188"/>
        </w:trPr>
        <w:tc>
          <w:tcPr>
            <w:tcW w:w="5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3560" w:type="dxa"/>
            <w:vAlign w:val="bottom"/>
            <w:tcBorders>
              <w:top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Ben Gagnon</w:t>
            </w: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219075</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460" w:top="85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 MATERIAL CHANGE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press release attached as Schedule “A” was released on March 27, 2025 by a newswire company in Canada and filed under the Company’s profile on SEDAR+.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(647) 259-1790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151130</wp:posOffset>
            </wp:positionV>
            <wp:extent cx="2711450" cy="457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1145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Bitfarms Reports Fourth Quarter 2024 Results</w:t>
      </w:r>
    </w:p>
    <w:p>
      <w:pPr>
        <w:spacing w:after="0" w:line="2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 Revenue of $56 million, up 21% Y/Y -</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Gross mining margin of 47%, down from 57% from Q4 2023 -</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- 18.6 EHuM up 186% from Q4 2023-</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Current efficiency of 19w/TH a 45% improvement from Q4 2023-</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-Total energy pipeline of ~1.4 GW, ~80% based in the U.S.-</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-Completed acquisition of Stronghold Digital Mining &amp; sale of Yguazu, Paraguay data center-</w:t>
      </w:r>
    </w:p>
    <w:p>
      <w:pPr>
        <w:spacing w:after="0" w:line="1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second amended and restated prospectus supplement dated December 17, 2024, to its short form base shelf prospectus dated November 10, 2023.</w:t>
      </w:r>
    </w:p>
    <w:p>
      <w:pPr>
        <w:spacing w:after="0" w:line="1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(March 27, 2025) </w:t>
      </w:r>
      <w:r>
        <w:rPr>
          <w:rFonts w:ascii="Times New Roman" w:cs="Times New Roman" w:eastAsia="Times New Roman" w:hAnsi="Times New Roman"/>
          <w:sz w:val="18"/>
          <w:szCs w:val="18"/>
          <w:color w:val="auto"/>
        </w:rPr>
        <w:t>- Bitfarms Ltd. (Nasdaq/TSX: BITF), a global vertically integrated Bitcoin data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reported its financial results for the fourth quarter ended December 31, 2024. All financial references are in U.S. dollars.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CEO Ben Gagnon stated, “Bitfarms is a completely different company than we were at the beginning of 2024. Across nearly every metric, we have rapidly transformed from the international Bitcoin miner to a North American energy and compute company. We now have one of the largest portfolios of flexible MW in the PJM market among Bitcoin miners and are well-positioned to capitalize on macro tailwinds and surging demand for U.S. power and infrastructure. From January 2024, we’ve grown our energized capacity over 90% to 461 MW and secured a multi-year pipeline of over 1.4 GW, nearly 80% of which is based in the U.S and over 90% of which is based in North America.</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“Just last week, we closed both the transformative acquisition of Stronghold Digital Mining, the largest M&amp;A deal between two public miners in our industry, and the strategic sale of our 200 MW Yguazu data center, our largest constructed site. Thus far this quarter, we advanced our HPC/AI strategy with the engagement of two new advisors, hired two new critical team members, an SVP of HPC and an SVP of Infrastructure, and significantly improved our hashrate, reaching 18.6 EHuM, which we expect will generate operating cash flow through 2026 and beyond.</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remain confident in the significant upside potential of our BTC mining operations and continue to maximize the value of our assets, our revenue diversification strategy—both in the U.S. and with HPC/AI—is geared toward driving greater shareholder value. We aim to secure long-term, predictable cash flows from a well-capitalized HPC/AI customer, while diversifying our revenue streams, reducing our dependency on BTC price volatility, and capitalizing on the growing demand for AI computing. Our two recent strategic transactions, the Stronghold acquisition and the Yguazu data center sale, demonstrate execution of this strategy," concluded Mr. Gagnon.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18"/>
          <w:szCs w:val="18"/>
          <w:color w:val="auto"/>
        </w:rPr>
        <w:t>SVP of Mining Operations Alex Brammer stated, “We’ve made significant progress with our mining operations over the past year, nearly tripling our hashrate and improving our efficiency by over 40%. This momentum continues to accelerate. In the last three months alone, we grew our hashrate over 40% to 18.6 EH/s and reached our first half efficiency target of 19 w/TH three months ahead of schedule. This was achieved through the energization of two North American sites, new miner deliveries and continued optimizations across all of our sites.”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CFO Jeff Lucas stated, “The recent acquisition of Stronghold and sale of Yguazu have expanded our growth opportunities and strengthened our financial profile. Our identified capex requirements for 2025 are now 20% lower than previously planned and we have no plans for large miner purchases in 2025 or 2026; instead, we will be deploying this capital towards developing U.S. energy and HPC infrastructure. We expect that this shift in our strategy will enable us to raise capital more cost-effectively and to secure steadier earnings streams and greater operating margins, the culmination of which we expect will drive long-term shareholder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Megawatt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405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96455" cy="405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Mining Operations</w:t>
      </w:r>
    </w:p>
    <w:p>
      <w:pPr>
        <w:spacing w:after="0" w:line="224" w:lineRule="exact"/>
        <w:rPr>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Current hashrate of 18.6 EHuM, up from 6.5 EHuM in Q4 2023</w:t>
      </w:r>
    </w:p>
    <w:p>
      <w:pPr>
        <w:spacing w:after="0" w:line="246"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efficiency of 19 w/TH, a 45% improvement from Q4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Strategic Developments</w:t>
      </w:r>
    </w:p>
    <w:p>
      <w:pPr>
        <w:spacing w:after="0" w:line="224" w:lineRule="exact"/>
        <w:rPr>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previously announced acquisition of Stronghold Digital Mining, Inc.</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previously announced sale of 200 MW data center in Yguazu, Paraguay to HIVE Digital Technologies</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two strategic partners, ASG and World Wide Technology, to advance HPC/AI business</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Management team with two new strategic hires, James Bond, SVP of HPC/AI, and Craig Hibbard, SVP of Infrastructure</w:t>
      </w:r>
    </w:p>
    <w:p>
      <w:pPr>
        <w:spacing w:after="0" w:line="246" w:lineRule="exact"/>
        <w:rPr>
          <w:rFonts w:ascii="Times New Roman" w:cs="Times New Roman" w:eastAsia="Times New Roman" w:hAnsi="Times New Roman"/>
          <w:sz w:val="18"/>
          <w:szCs w:val="18"/>
          <w:color w:val="auto"/>
        </w:rPr>
      </w:pPr>
    </w:p>
    <w:p>
      <w:pPr>
        <w:ind w:left="640" w:right="520" w:hanging="313"/>
        <w:spacing w:after="0" w:line="277"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Bitcoin One program following the success of Synthetic HODL program in 2024, which achieved a 135% return since the program's inception in Q4 2023 through December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2024 Financial Highlights</w:t>
      </w:r>
    </w:p>
    <w:p>
      <w:pPr>
        <w:spacing w:after="0" w:line="224"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$56 million, up 21% Y/Y</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margin of 47%, down from 57% in Q4 2023</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of $18 million, compared to $13 million in Q4 2023</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of $16 million compared to an operating loss of $13 million in Q4 2023</w:t>
      </w:r>
    </w:p>
    <w:p>
      <w:pPr>
        <w:spacing w:after="0" w:line="24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$15 million, or $0.03 per basic and diluted share compared to a net loss of $62 million or $0.21 per basic and diluted share in Q4 2023</w:t>
      </w:r>
    </w:p>
    <w:p>
      <w:pPr>
        <w:spacing w:after="0" w:line="18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$14 million, or 25% of revenue, down from $16 million or 35% of revenue in Q4 2023</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earned 654 BTC at an average direct cost of production per BTC* of $40,800</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cost of production per BTC* was $60,800 in Q4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26, 2025, the Company had total liquidity of approximately $135 million.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2024 and Recent Financing Activities</w:t>
      </w:r>
    </w:p>
    <w:p>
      <w:pPr>
        <w:spacing w:after="0" w:line="224" w:lineRule="exact"/>
        <w:rPr>
          <w:sz w:val="20"/>
          <w:szCs w:val="20"/>
          <w:color w:val="auto"/>
        </w:rPr>
      </w:pPr>
    </w:p>
    <w:p>
      <w:pPr>
        <w:jc w:val="both"/>
        <w:ind w:left="640" w:hanging="313"/>
        <w:spacing w:after="0" w:line="26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502 BTC at an average price of $81,400 for total proceeds of $41 million in Q4 2024 and sold 117 of the 414 BTC earned during January and February 2025, generating total proceeds of $11 million. A portion of the funds was used to pay capital expenditures to support the Company’s growth and efficiency improvement objectives.</w:t>
      </w:r>
    </w:p>
    <w:p>
      <w:pPr>
        <w:spacing w:after="0" w:line="20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26, 2025, the Company held 1,093 Bitcoin.</w:t>
      </w:r>
    </w:p>
    <w:p>
      <w:pPr>
        <w:spacing w:after="0" w:line="246"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$50 million in net proceeds during Q4 2024 bringing the total net proceeds to $314 million through March 26, 2025 under the Company's 2024 at-the-market equity offering program.</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Quarterly Operating Performance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Q4 2024</w:t>
            </w:r>
          </w:p>
        </w:tc>
        <w:tc>
          <w:tcPr>
            <w:tcW w:w="14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Q3 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Q4 2023</w:t>
            </w:r>
          </w:p>
        </w:tc>
      </w:tr>
      <w:tr>
        <w:trPr>
          <w:trHeight w:val="213"/>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sold</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405"/>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4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As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of</w:t>
            </w:r>
          </w:p>
        </w:tc>
      </w:tr>
      <w:tr>
        <w:trPr>
          <w:trHeight w:val="227"/>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3"/>
        </w:trPr>
        <w:tc>
          <w:tcPr>
            <w:tcW w:w="46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EH/s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454"/>
        </w:trPr>
        <w:tc>
          <w:tcPr>
            <w:tcW w:w="6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Quarterly Average Revenue**** and Cost of Production per BTC*</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6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14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14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Q4 2023</w:t>
            </w:r>
          </w:p>
        </w:tc>
      </w:tr>
      <w:tr>
        <w:trPr>
          <w:trHeight w:val="213"/>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Avg. Rev****/BTC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Direct Cost*/BTC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36,600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14,400</w:t>
            </w:r>
          </w:p>
        </w:tc>
      </w:tr>
      <w:tr>
        <w:trPr>
          <w:trHeight w:val="22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Cost*/BTC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53,700</w:t>
            </w:r>
          </w:p>
        </w:tc>
        <w:tc>
          <w:tcPr>
            <w:tcW w:w="2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23,300</w:t>
            </w:r>
          </w:p>
        </w:tc>
      </w:tr>
      <w:tr>
        <w:trPr>
          <w:trHeight w:val="27"/>
        </w:trPr>
        <w:tc>
          <w:tcPr>
            <w:tcW w:w="4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jc w:val="both"/>
        <w:ind w:left="440" w:hanging="433"/>
        <w:spacing w:after="0" w:line="253" w:lineRule="auto"/>
        <w:tabs>
          <w:tab w:leader="none" w:pos="4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Gross mining profit, gross mining margin, EBITDA, EBITDA margin, Adjusted EBITDA, Adjusted EBITDA margin, Direct Cost per BTC and Total Cash Cost per BTC are non-IFRS financial measures or ratios and should be read in conjunction with, and should not be viewed as alternatives to or replacements of measures of operating results and liquidity presented in accordance with IFRS. Readers are referred to the reconciliations of non-IFRS measures included in the Company’s MD&amp;A and at the end of this press release.</w:t>
      </w:r>
    </w:p>
    <w:p>
      <w:pPr>
        <w:spacing w:after="0" w:line="2" w:lineRule="exact"/>
        <w:rPr>
          <w:sz w:val="20"/>
          <w:szCs w:val="20"/>
          <w:color w:val="auto"/>
        </w:rPr>
      </w:pPr>
    </w:p>
    <w:p>
      <w:pPr>
        <w:ind w:left="440" w:hanging="433"/>
        <w:spacing w:after="0"/>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Liquidity represents cash and balance of unrestricted digital assets.</w:t>
      </w:r>
    </w:p>
    <w:p>
      <w:pPr>
        <w:spacing w:after="0" w:line="6" w:lineRule="exact"/>
        <w:rPr>
          <w:rFonts w:ascii="Times New Roman" w:cs="Times New Roman" w:eastAsia="Times New Roman" w:hAnsi="Times New Roman"/>
          <w:sz w:val="18"/>
          <w:szCs w:val="18"/>
          <w:i w:val="1"/>
          <w:iCs w:val="1"/>
          <w:color w:val="auto"/>
        </w:rPr>
      </w:pPr>
    </w:p>
    <w:p>
      <w:pPr>
        <w:ind w:left="440" w:hanging="433"/>
        <w:spacing w:after="0"/>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watts represent the energy consumption of miners.</w:t>
      </w:r>
    </w:p>
    <w:p>
      <w:pPr>
        <w:spacing w:after="0" w:line="6" w:lineRule="exact"/>
        <w:rPr>
          <w:rFonts w:ascii="Times New Roman" w:cs="Times New Roman" w:eastAsia="Times New Roman" w:hAnsi="Times New Roman"/>
          <w:sz w:val="18"/>
          <w:szCs w:val="18"/>
          <w:i w:val="1"/>
          <w:iCs w:val="1"/>
          <w:color w:val="auto"/>
        </w:rPr>
      </w:pPr>
    </w:p>
    <w:p>
      <w:pPr>
        <w:ind w:left="440" w:hanging="433"/>
        <w:spacing w:after="0"/>
        <w:tabs>
          <w:tab w:leader="none" w:pos="4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revenue per BTC is for mining operations only and excludes Volta revenue.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Management will host a conference call today at 8:00 am EST. All Q4 2024 materials will be available before the call and can be accessed on the ‘Financial Results’ section of the Bitfarms investor site.</w:t>
      </w:r>
    </w:p>
    <w:p>
      <w:pPr>
        <w:spacing w:after="0" w:line="163"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 xml:space="preserve">The live webcast and a webcast replay of the conference call can be accessed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To access the call by telephone, register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to receive dial-in numbers and a unique PIN to join the call.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Measures*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Canadian company, Bitfarms follows International Financial Reporting Standards (IFRS) which are issued by the International Accounting Standard Board (IASB). Under IFRS rules, the Company does not reflect the revaluation gains on the mark-to-market of its Bitcoin holdings in its income statement. It also does not include the revaluation losses on the mark-to-market of its Bitcoin holdings in Adjusted EBITDA, which is a measure of the cash profitability of its operations and does not reflect the change in value of its assets and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Adjusted EBITDA to measure its operating activities' financial performance and cash generating capability.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Bitfarms currently has 15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http://x.com/Bitfarms_io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2"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BTC/day = Bitcoin or Bitcoin per day</w:t>
      </w:r>
    </w:p>
    <w:p>
      <w:pPr>
        <w:spacing w:after="0" w:line="246" w:lineRule="exact"/>
        <w:rPr>
          <w:rFonts w:ascii="Times New Roman" w:cs="Times New Roman" w:eastAsia="Times New Roman" w:hAnsi="Times New Roman"/>
          <w:sz w:val="18"/>
          <w:szCs w:val="18"/>
          <w:color w:val="auto"/>
        </w:rPr>
      </w:pPr>
    </w:p>
    <w:p>
      <w:pPr>
        <w:ind w:left="640" w:hanging="313"/>
        <w:spacing w:after="0" w:line="279" w:lineRule="auto"/>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EHuM = Exahash Under Management, which includes Bitfarms’ proprietary hashrate and hashrate being hosted by Bitfarms for third-party hosting clients</w:t>
      </w:r>
    </w:p>
    <w:p>
      <w:pPr>
        <w:spacing w:after="0" w:line="185"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46"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Q/Q = Quarter over Quarter</w:t>
      </w:r>
    </w:p>
    <w:p>
      <w:pPr>
        <w:spacing w:after="0" w:line="246"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 Year over Year</w:t>
      </w:r>
    </w:p>
    <w:p>
      <w:pPr>
        <w:spacing w:after="0" w:line="2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246"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HPC/AI = High Performance Computing / Artificial Intelligence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the Company’s energy pipeline and its anticipated megawatt growth in each of the years 2025, 2026 and 2028, its revenue diversification strategy, the success of the Company’s HPC/AI strategy and its ability to capitalize on growing demand for AI computing while securing predictable cash flows, the Company’s ability to drive greater shareholder value, and other statements regarding future growth, plans and objectives of the Company are forward-looking information.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48"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risks and uncertainties include, among others: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former Stronghold plants which entail environmental risk and certain additional risk factors particular to the former business and operations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operates and the potential adverse impact on profitability; future capital needs and the ability to complete current and future financings, including Bitfarms’ ability to utilize an at-the-market offering program ( “ATM Program”) and the prices at which securities may be sold in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risks related to the Company ceasing to qualify as an “emerging growth company”; risks related to unsolicited investor interest, takeover proposals, shareholder activism or proxy contests relating to the election of directors;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management’s discussion &amp; analysis for the year-ended December 31, 2024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tkrumme@bitfarms.com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Brady Baker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cbaker@bitfarms.com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6"/>
        </w:trPr>
        <w:tc>
          <w:tcPr>
            <w:tcW w:w="3360" w:type="dxa"/>
            <w:vAlign w:val="bottom"/>
          </w:tcPr>
          <w:p>
            <w:pPr>
              <w:spacing w:after="0"/>
              <w:rPr>
                <w:sz w:val="20"/>
                <w:szCs w:val="20"/>
                <w:color w:val="auto"/>
              </w:rPr>
            </w:pPr>
          </w:p>
        </w:tc>
        <w:tc>
          <w:tcPr>
            <w:tcW w:w="5020" w:type="dxa"/>
            <w:vAlign w:val="bottom"/>
            <w:gridSpan w:val="11"/>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w w:val="97"/>
              </w:rPr>
              <w:t>Bitfarms Ltd. Consolidated Financial &amp; Operational Results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60" w:type="dxa"/>
            <w:vAlign w:val="bottom"/>
            <w:gridSpan w:val="8"/>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40" w:type="dxa"/>
            <w:vAlign w:val="bottom"/>
          </w:tcPr>
          <w:p>
            <w:pPr>
              <w:spacing w:after="0"/>
              <w:rPr>
                <w:sz w:val="24"/>
                <w:szCs w:val="24"/>
                <w:color w:val="auto"/>
              </w:rPr>
            </w:pPr>
          </w:p>
        </w:tc>
        <w:tc>
          <w:tcPr>
            <w:tcW w:w="22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 Change</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Change</w:t>
            </w:r>
          </w:p>
        </w:tc>
        <w:tc>
          <w:tcPr>
            <w:tcW w:w="300" w:type="dxa"/>
            <w:vAlign w:val="bottom"/>
          </w:tcPr>
          <w:p>
            <w:pPr>
              <w:spacing w:after="0"/>
              <w:rPr>
                <w:sz w:val="19"/>
                <w:szCs w:val="19"/>
                <w:color w:val="auto"/>
              </w:rPr>
            </w:pPr>
          </w:p>
        </w:tc>
        <w:tc>
          <w:tcPr>
            <w:tcW w:w="7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Change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Change</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360" w:type="dxa"/>
            <w:vAlign w:val="bottom"/>
            <w:tcBorders>
              <w:right w:val="single" w:sz="8" w:color="auto"/>
            </w:tcBorders>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56,163</w:t>
            </w:r>
          </w:p>
        </w:tc>
        <w:tc>
          <w:tcPr>
            <w:tcW w:w="3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146,366</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46,515</w:t>
            </w:r>
          </w:p>
        </w:tc>
        <w:tc>
          <w:tcPr>
            <w:tcW w:w="220" w:type="dxa"/>
            <w:vAlign w:val="bottom"/>
            <w:vMerge w:val="continue"/>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(54,776)</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(44,484)</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(10,292)</w:t>
            </w:r>
          </w:p>
        </w:tc>
        <w:tc>
          <w:tcPr>
            <w:tcW w:w="10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(225,240)</w:t>
            </w:r>
          </w:p>
        </w:tc>
        <w:tc>
          <w:tcPr>
            <w:tcW w:w="104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(167,868)</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(57,372)</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33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8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3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(32,359)</w:t>
            </w:r>
          </w:p>
        </w:tc>
        <w:tc>
          <w:tcPr>
            <w:tcW w:w="3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3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220" w:type="dxa"/>
            <w:vAlign w:val="bottom"/>
            <w:vMerge w:val="continue"/>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4"/>
        </w:trPr>
        <w:tc>
          <w:tcPr>
            <w:tcW w:w="33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w:t>
            </w: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(17)%</w:t>
            </w:r>
          </w:p>
        </w:tc>
        <w:tc>
          <w:tcPr>
            <w:tcW w:w="10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3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(18,042)</w:t>
            </w: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(13,405)</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(4,637)</w:t>
            </w:r>
          </w:p>
        </w:tc>
        <w:tc>
          <w:tcPr>
            <w:tcW w:w="10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35%</w:t>
            </w:r>
          </w:p>
        </w:tc>
        <w:tc>
          <w:tcPr>
            <w:tcW w:w="108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(71,240)</w:t>
            </w:r>
          </w:p>
        </w:tc>
        <w:tc>
          <w:tcPr>
            <w:tcW w:w="104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(39,292)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(31,948)</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3"/>
        </w:trPr>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Reversal of revaluation loss on digital assets</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1,183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(1,183)</w:t>
            </w:r>
          </w:p>
        </w:tc>
        <w:tc>
          <w:tcPr>
            <w:tcW w:w="10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5"/>
        </w:trPr>
        <w:tc>
          <w:tcPr>
            <w:tcW w:w="3360" w:type="dxa"/>
            <w:vAlign w:val="bottom"/>
            <w:tcBorders>
              <w:right w:val="single" w:sz="8" w:color="CCEEFF"/>
            </w:tcBorders>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Gain (loss) on disposition of property, plant</w:t>
            </w:r>
          </w:p>
        </w:tc>
        <w:tc>
          <w:tcPr>
            <w:tcW w:w="108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270</w:t>
            </w: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i w:val="1"/>
                <w:iCs w:val="1"/>
                <w:color w:val="auto"/>
              </w:rPr>
              <w:t>nm</w:t>
            </w:r>
          </w:p>
        </w:tc>
        <w:tc>
          <w:tcPr>
            <w:tcW w:w="1080" w:type="dxa"/>
            <w:vAlign w:val="bottom"/>
            <w:gridSpan w:val="2"/>
            <w:vMerge w:val="restart"/>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(336)</w:t>
            </w: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and equipment and deposits</w:t>
            </w:r>
          </w:p>
        </w:tc>
        <w:tc>
          <w:tcPr>
            <w:tcW w:w="1080" w:type="dxa"/>
            <w:vAlign w:val="bottom"/>
            <w:gridSpan w:val="3"/>
            <w:vMerge w:val="continue"/>
            <w:shd w:val="clear" w:color="auto" w:fill="CCEEFF"/>
          </w:tcPr>
          <w:p>
            <w:pPr>
              <w:spacing w:after="0"/>
              <w:rPr>
                <w:sz w:val="20"/>
                <w:szCs w:val="20"/>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w:t>
            </w:r>
          </w:p>
        </w:tc>
        <w:tc>
          <w:tcPr>
            <w:tcW w:w="104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(1,778)</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5"/>
        </w:trPr>
        <w:tc>
          <w:tcPr>
            <w:tcW w:w="33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Impairment on short-term prepaid deposits,</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and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vMerge w:val="restart"/>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(3,628)</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held for sale</w:t>
            </w:r>
          </w:p>
        </w:tc>
        <w:tc>
          <w:tcPr>
            <w:tcW w:w="8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(2,270)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2,270</w:t>
            </w:r>
          </w:p>
        </w:tc>
        <w:tc>
          <w:tcPr>
            <w:tcW w:w="10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2"/>
            <w:vMerge w:val="continue"/>
          </w:tcPr>
          <w:p>
            <w:pPr>
              <w:spacing w:after="0"/>
              <w:rPr>
                <w:sz w:val="21"/>
                <w:szCs w:val="21"/>
                <w:color w:val="auto"/>
              </w:rPr>
            </w:pPr>
          </w:p>
        </w:tc>
        <w:tc>
          <w:tcPr>
            <w:tcW w:w="104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(12,252)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33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36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(16,385)</w:t>
            </w:r>
          </w:p>
        </w:tc>
        <w:tc>
          <w:tcPr>
            <w:tcW w:w="34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(107,563)</w:t>
            </w:r>
          </w:p>
        </w:tc>
        <w:tc>
          <w:tcPr>
            <w:tcW w:w="34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(72,129)</w:t>
            </w:r>
          </w:p>
        </w:tc>
        <w:tc>
          <w:tcPr>
            <w:tcW w:w="3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220" w:type="dxa"/>
            <w:vAlign w:val="bottom"/>
            <w:vMerge w:val="continue"/>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4"/>
        </w:trPr>
        <w:tc>
          <w:tcPr>
            <w:tcW w:w="33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(56)%</w:t>
            </w:r>
          </w:p>
        </w:tc>
        <w:tc>
          <w:tcPr>
            <w:tcW w:w="10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3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21,843</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(49,686)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71,529</w:t>
            </w:r>
          </w:p>
        </w:tc>
        <w:tc>
          <w:tcPr>
            <w:tcW w:w="10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144%</w:t>
            </w:r>
          </w:p>
        </w:tc>
        <w:tc>
          <w:tcPr>
            <w:tcW w:w="108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39,210</w:t>
            </w:r>
          </w:p>
        </w:tc>
        <w:tc>
          <w:tcPr>
            <w:tcW w:w="104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(37,194)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76,404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0"/>
        </w:trPr>
        <w:tc>
          <w:tcPr>
            <w:tcW w:w="33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(62,423</w:t>
            </w:r>
          </w:p>
        </w:tc>
        <w:tc>
          <w:tcPr>
            <w:tcW w:w="30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67,881</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Borders>
              <w:top w:val="single" w:sz="8" w:color="CCEEFF"/>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(68,353</w:t>
            </w:r>
          </w:p>
        </w:tc>
        <w:tc>
          <w:tcPr>
            <w:tcW w:w="340" w:type="dxa"/>
            <w:vAlign w:val="bottom"/>
            <w:tcBorders>
              <w:top w:val="single" w:sz="8" w:color="CCEEFF"/>
              <w:bottom w:val="single" w:sz="8" w:color="CCEEFF"/>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9,707</w:t>
            </w:r>
          </w:p>
        </w:tc>
        <w:tc>
          <w:tcPr>
            <w:tcW w:w="9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378</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9,329</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i w:val="1"/>
                <w:iCs w:val="1"/>
                <w:color w:val="auto"/>
              </w:rPr>
              <w:t>nm</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14,290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13,889</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221"/>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74"/>
        </w:trPr>
        <w:tc>
          <w:tcPr>
            <w:tcW w:w="33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15,165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(62,045</w:t>
            </w:r>
          </w:p>
        </w:tc>
        <w:tc>
          <w:tcPr>
            <w:tcW w:w="300" w:type="dxa"/>
            <w:vAlign w:val="bottom"/>
            <w:vMerge w:val="continue"/>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77,210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vMerge w:val="continue"/>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(54,063</w:t>
            </w:r>
          </w:p>
        </w:tc>
        <w:tc>
          <w:tcPr>
            <w:tcW w:w="340" w:type="dxa"/>
            <w:vAlign w:val="bottom"/>
            <w:vMerge w:val="continue"/>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320" w:type="dxa"/>
            <w:vAlign w:val="bottom"/>
            <w:vMerge w:val="continue"/>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54,859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3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Basic (loss) earnings per share (in U.S.</w:t>
            </w:r>
          </w:p>
        </w:tc>
        <w:tc>
          <w:tcPr>
            <w:tcW w:w="10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0.03</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restart"/>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(0.13)</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dollars)</w:t>
            </w:r>
          </w:p>
        </w:tc>
        <w:tc>
          <w:tcPr>
            <w:tcW w:w="1080" w:type="dxa"/>
            <w:vAlign w:val="bottom"/>
            <w:gridSpan w:val="3"/>
            <w:vMerge w:val="continue"/>
          </w:tcPr>
          <w:p>
            <w:pPr>
              <w:spacing w:after="0"/>
              <w:rPr>
                <w:sz w:val="20"/>
                <w:szCs w:val="20"/>
                <w:color w:val="auto"/>
              </w:rPr>
            </w:pP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(0.21)</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continue"/>
          </w:tcPr>
          <w:p>
            <w:pPr>
              <w:spacing w:after="0"/>
              <w:rPr>
                <w:sz w:val="20"/>
                <w:szCs w:val="20"/>
                <w:color w:val="auto"/>
              </w:rPr>
            </w:pPr>
          </w:p>
        </w:tc>
        <w:tc>
          <w:tcPr>
            <w:tcW w:w="1040" w:type="dxa"/>
            <w:vAlign w:val="bottom"/>
            <w:gridSpan w:val="2"/>
          </w:tcPr>
          <w:p>
            <w:pPr>
              <w:jc w:val="right"/>
              <w:ind w:right="171"/>
              <w:spacing w:after="0"/>
              <w:rPr>
                <w:sz w:val="20"/>
                <w:szCs w:val="20"/>
                <w:color w:val="auto"/>
              </w:rPr>
            </w:pPr>
            <w:r>
              <w:rPr>
                <w:rFonts w:ascii="Times New Roman" w:cs="Times New Roman" w:eastAsia="Times New Roman" w:hAnsi="Times New Roman"/>
                <w:sz w:val="18"/>
                <w:szCs w:val="18"/>
                <w:color w:val="auto"/>
              </w:rPr>
              <w:t>(0.42)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3360" w:type="dxa"/>
            <w:vAlign w:val="bottom"/>
            <w:tcBorders>
              <w:right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(loss) per share (in U.S.</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(0.13</w:t>
            </w:r>
            <w:r>
              <w:rPr>
                <w:rFonts w:ascii="Times New Roman" w:cs="Times New Roman" w:eastAsia="Times New Roman" w:hAnsi="Times New Roman"/>
                <w:sz w:val="35"/>
                <w:szCs w:val="35"/>
                <w:b w:val="1"/>
                <w:bCs w:val="1"/>
                <w:color w:val="auto"/>
                <w:vertAlign w:val="superscript"/>
              </w:rPr>
              <w:t>)</w:t>
            </w: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33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dollars)</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0.03</w:t>
            </w:r>
          </w:p>
        </w:tc>
        <w:tc>
          <w:tcPr>
            <w:tcW w:w="960" w:type="dxa"/>
            <w:vAlign w:val="bottom"/>
            <w:gridSpan w:val="2"/>
            <w:shd w:val="clear" w:color="auto" w:fill="CCEEFF"/>
          </w:tcPr>
          <w:p>
            <w:pPr>
              <w:jc w:val="right"/>
              <w:ind w:right="221"/>
              <w:spacing w:after="0" w:line="272" w:lineRule="exact"/>
              <w:rPr>
                <w:sz w:val="20"/>
                <w:szCs w:val="20"/>
                <w:color w:val="auto"/>
              </w:rPr>
            </w:pPr>
            <w:r>
              <w:rPr>
                <w:rFonts w:ascii="Times New Roman" w:cs="Times New Roman" w:eastAsia="Times New Roman" w:hAnsi="Times New Roman"/>
                <w:sz w:val="16"/>
                <w:szCs w:val="16"/>
                <w:color w:val="auto"/>
              </w:rPr>
              <w:t>(0.21</w:t>
            </w:r>
            <w:r>
              <w:rPr>
                <w:rFonts w:ascii="Times New Roman" w:cs="Times New Roman" w:eastAsia="Times New Roman" w:hAnsi="Times New Roman"/>
                <w:sz w:val="31"/>
                <w:szCs w:val="31"/>
                <w:color w:val="auto"/>
                <w:vertAlign w:val="superscript"/>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continue"/>
            <w:shd w:val="clear" w:color="auto" w:fill="CCEEFF"/>
          </w:tcPr>
          <w:p>
            <w:pPr>
              <w:spacing w:after="0"/>
              <w:rPr>
                <w:sz w:val="24"/>
                <w:szCs w:val="24"/>
                <w:color w:val="auto"/>
              </w:rPr>
            </w:pPr>
          </w:p>
        </w:tc>
        <w:tc>
          <w:tcPr>
            <w:tcW w:w="1040" w:type="dxa"/>
            <w:vAlign w:val="bottom"/>
            <w:gridSpan w:val="2"/>
            <w:shd w:val="clear" w:color="auto" w:fill="CCEEFF"/>
          </w:tcPr>
          <w:p>
            <w:pPr>
              <w:jc w:val="right"/>
              <w:ind w:right="171"/>
              <w:spacing w:after="0" w:line="272" w:lineRule="exact"/>
              <w:rPr>
                <w:sz w:val="20"/>
                <w:szCs w:val="20"/>
                <w:color w:val="auto"/>
              </w:rPr>
            </w:pPr>
            <w:r>
              <w:rPr>
                <w:rFonts w:ascii="Times New Roman" w:cs="Times New Roman" w:eastAsia="Times New Roman" w:hAnsi="Times New Roman"/>
                <w:sz w:val="16"/>
                <w:szCs w:val="16"/>
                <w:color w:val="auto"/>
              </w:rPr>
              <w:t>(0.42</w:t>
            </w:r>
            <w:r>
              <w:rPr>
                <w:rFonts w:ascii="Times New Roman" w:cs="Times New Roman" w:eastAsia="Times New Roman" w:hAnsi="Times New Roman"/>
                <w:sz w:val="31"/>
                <w:szCs w:val="31"/>
                <w:color w:val="auto"/>
                <w:vertAlign w:val="superscript"/>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spacing w:after="0" w:line="195" w:lineRule="exact"/>
              <w:rPr>
                <w:sz w:val="20"/>
                <w:szCs w:val="20"/>
                <w:color w:val="auto"/>
              </w:rPr>
            </w:pPr>
            <w:r>
              <w:rPr>
                <w:rFonts w:ascii="Times New Roman" w:cs="Times New Roman" w:eastAsia="Times New Roman" w:hAnsi="Times New Roman"/>
                <w:sz w:val="18"/>
                <w:szCs w:val="18"/>
                <w:color w:val="auto"/>
              </w:rPr>
              <w:t>Change in revaluation surplus - digital assets,</w:t>
            </w: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3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26,421</w:t>
            </w:r>
          </w:p>
        </w:tc>
        <w:tc>
          <w:tcPr>
            <w:tcW w:w="9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7,675</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18,746</w:t>
            </w:r>
          </w:p>
        </w:tc>
        <w:tc>
          <w:tcPr>
            <w:tcW w:w="10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244%</w:t>
            </w:r>
          </w:p>
        </w:tc>
        <w:tc>
          <w:tcPr>
            <w:tcW w:w="108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39,120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3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29,878</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178"/>
        </w:trPr>
        <w:tc>
          <w:tcPr>
            <w:tcW w:w="3360" w:type="dxa"/>
            <w:vAlign w:val="bottom"/>
            <w:tcBorders>
              <w:top w:val="single" w:sz="8" w:color="CCEEFF"/>
              <w:right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Total comprehensive income (loss), net of</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336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tax</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41,586</w:t>
            </w:r>
          </w:p>
        </w:tc>
        <w:tc>
          <w:tcPr>
            <w:tcW w:w="960" w:type="dxa"/>
            <w:vAlign w:val="bottom"/>
            <w:gridSpan w:val="2"/>
            <w:shd w:val="clear" w:color="auto" w:fill="CCEEFF"/>
          </w:tcPr>
          <w:p>
            <w:pPr>
              <w:jc w:val="right"/>
              <w:ind w:right="221"/>
              <w:spacing w:after="0" w:line="275" w:lineRule="exact"/>
              <w:rPr>
                <w:sz w:val="20"/>
                <w:szCs w:val="20"/>
                <w:color w:val="auto"/>
              </w:rPr>
            </w:pPr>
            <w:r>
              <w:rPr>
                <w:rFonts w:ascii="Times New Roman" w:cs="Times New Roman" w:eastAsia="Times New Roman" w:hAnsi="Times New Roman"/>
                <w:sz w:val="16"/>
                <w:szCs w:val="16"/>
                <w:color w:val="auto"/>
              </w:rPr>
              <w:t>(54,370</w:t>
            </w:r>
            <w:r>
              <w:rPr>
                <w:rFonts w:ascii="Times New Roman" w:cs="Times New Roman" w:eastAsia="Times New Roman" w:hAnsi="Times New Roman"/>
                <w:sz w:val="31"/>
                <w:szCs w:val="31"/>
                <w:color w:val="auto"/>
                <w:vertAlign w:val="superscript"/>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95,956</w:t>
            </w:r>
          </w:p>
        </w:tc>
        <w:tc>
          <w:tcPr>
            <w:tcW w:w="1040" w:type="dxa"/>
            <w:vAlign w:val="bottom"/>
            <w:gridSpan w:val="2"/>
            <w:shd w:val="clear" w:color="auto" w:fill="CCEEFF"/>
          </w:tcPr>
          <w:p>
            <w:pPr>
              <w:jc w:val="right"/>
              <w:ind w:right="71"/>
              <w:spacing w:after="0" w:line="275" w:lineRule="exact"/>
              <w:rPr>
                <w:sz w:val="20"/>
                <w:szCs w:val="20"/>
                <w:color w:val="auto"/>
              </w:rPr>
            </w:pPr>
            <w:r>
              <w:rPr>
                <w:rFonts w:ascii="Times New Roman" w:cs="Times New Roman" w:eastAsia="Times New Roman" w:hAnsi="Times New Roman"/>
                <w:sz w:val="16"/>
                <w:szCs w:val="16"/>
                <w:color w:val="auto"/>
              </w:rPr>
              <w:t>176</w:t>
            </w:r>
            <w:r>
              <w:rPr>
                <w:rFonts w:ascii="Times New Roman" w:cs="Times New Roman" w:eastAsia="Times New Roman" w:hAnsi="Times New Roman"/>
                <w:sz w:val="31"/>
                <w:szCs w:val="31"/>
                <w:color w:val="auto"/>
                <w:vertAlign w:val="superscript"/>
              </w:rPr>
              <w:t>%</w:t>
            </w:r>
          </w:p>
        </w:tc>
        <w:tc>
          <w:tcPr>
            <w:tcW w:w="1080" w:type="dxa"/>
            <w:vAlign w:val="bottom"/>
            <w:gridSpan w:val="2"/>
            <w:shd w:val="clear" w:color="auto" w:fill="CCEEFF"/>
          </w:tcPr>
          <w:p>
            <w:pPr>
              <w:jc w:val="right"/>
              <w:ind w:right="198"/>
              <w:spacing w:after="0" w:line="275" w:lineRule="exact"/>
              <w:rPr>
                <w:sz w:val="20"/>
                <w:szCs w:val="20"/>
                <w:color w:val="auto"/>
              </w:rPr>
            </w:pPr>
            <w:r>
              <w:rPr>
                <w:rFonts w:ascii="Times New Roman" w:cs="Times New Roman" w:eastAsia="Times New Roman" w:hAnsi="Times New Roman"/>
                <w:sz w:val="16"/>
                <w:szCs w:val="16"/>
                <w:b w:val="1"/>
                <w:bCs w:val="1"/>
                <w:color w:val="auto"/>
              </w:rPr>
              <w:t>(14,943</w:t>
            </w:r>
            <w:r>
              <w:rPr>
                <w:rFonts w:ascii="Times New Roman" w:cs="Times New Roman" w:eastAsia="Times New Roman" w:hAnsi="Times New Roman"/>
                <w:sz w:val="31"/>
                <w:szCs w:val="31"/>
                <w:b w:val="1"/>
                <w:bCs w:val="1"/>
                <w:color w:val="auto"/>
                <w:vertAlign w:val="superscript"/>
              </w:rPr>
              <w:t>)</w:t>
            </w:r>
          </w:p>
        </w:tc>
        <w:tc>
          <w:tcPr>
            <w:tcW w:w="1040" w:type="dxa"/>
            <w:vAlign w:val="bottom"/>
            <w:gridSpan w:val="2"/>
            <w:shd w:val="clear" w:color="auto" w:fill="CCEEFF"/>
          </w:tcPr>
          <w:p>
            <w:pPr>
              <w:jc w:val="right"/>
              <w:ind w:right="171"/>
              <w:spacing w:after="0" w:line="275" w:lineRule="exact"/>
              <w:rPr>
                <w:sz w:val="20"/>
                <w:szCs w:val="20"/>
                <w:color w:val="auto"/>
              </w:rPr>
            </w:pPr>
            <w:r>
              <w:rPr>
                <w:rFonts w:ascii="Times New Roman" w:cs="Times New Roman" w:eastAsia="Times New Roman" w:hAnsi="Times New Roman"/>
                <w:sz w:val="16"/>
                <w:szCs w:val="16"/>
                <w:color w:val="auto"/>
              </w:rPr>
              <w:t>(99,680</w:t>
            </w:r>
            <w:r>
              <w:rPr>
                <w:rFonts w:ascii="Times New Roman" w:cs="Times New Roman" w:eastAsia="Times New Roman" w:hAnsi="Times New Roman"/>
                <w:sz w:val="31"/>
                <w:szCs w:val="31"/>
                <w:color w:val="auto"/>
                <w:vertAlign w:val="superscript"/>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84,737</w:t>
            </w:r>
          </w:p>
        </w:tc>
        <w:tc>
          <w:tcPr>
            <w:tcW w:w="940" w:type="dxa"/>
            <w:vAlign w:val="bottom"/>
            <w:gridSpan w:val="3"/>
            <w:shd w:val="clear" w:color="auto" w:fill="CCEEFF"/>
          </w:tcPr>
          <w:p>
            <w:pPr>
              <w:jc w:val="right"/>
              <w:spacing w:after="0" w:line="275" w:lineRule="exact"/>
              <w:rPr>
                <w:sz w:val="20"/>
                <w:szCs w:val="20"/>
                <w:color w:val="auto"/>
              </w:rPr>
            </w:pPr>
            <w:r>
              <w:rPr>
                <w:rFonts w:ascii="Times New Roman" w:cs="Times New Roman" w:eastAsia="Times New Roman" w:hAnsi="Times New Roman"/>
                <w:sz w:val="16"/>
                <w:szCs w:val="16"/>
                <w:color w:val="auto"/>
              </w:rPr>
              <w:t>(85</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360" w:type="dxa"/>
            <w:vAlign w:val="bottom"/>
            <w:tcBorders>
              <w:right w:val="single" w:sz="8" w:color="CCEEFF"/>
            </w:tcBorders>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25,786</w:t>
            </w:r>
          </w:p>
        </w:tc>
        <w:tc>
          <w:tcPr>
            <w:tcW w:w="9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25,454</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332</w:t>
            </w:r>
          </w:p>
        </w:tc>
        <w:tc>
          <w:tcPr>
            <w:tcW w:w="10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94,469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70,277</w:t>
            </w:r>
          </w:p>
        </w:tc>
        <w:tc>
          <w:tcPr>
            <w:tcW w:w="3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24,192</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4"/>
        </w:trPr>
        <w:tc>
          <w:tcPr>
            <w:tcW w:w="336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w:t>
            </w: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50%</w:t>
            </w:r>
          </w:p>
        </w:tc>
        <w:tc>
          <w:tcPr>
            <w:tcW w:w="10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3360" w:type="dxa"/>
            <w:vAlign w:val="bottom"/>
            <w:tcBorders>
              <w:right w:val="single" w:sz="8" w:color="CCEEFF"/>
            </w:tcBorders>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29,752</w:t>
            </w: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(40,542)</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70,294</w:t>
            </w:r>
          </w:p>
        </w:tc>
        <w:tc>
          <w:tcPr>
            <w:tcW w:w="10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173%</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68,315</w:t>
            </w:r>
          </w:p>
        </w:tc>
        <w:tc>
          <w:tcPr>
            <w:tcW w:w="1040" w:type="dxa"/>
            <w:vAlign w:val="bottom"/>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(21,879)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90,194</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54"/>
        </w:trPr>
        <w:tc>
          <w:tcPr>
            <w:tcW w:w="336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35%</w:t>
            </w:r>
          </w:p>
        </w:tc>
        <w:tc>
          <w:tcPr>
            <w:tcW w:w="10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3360" w:type="dxa"/>
            <w:vAlign w:val="bottom"/>
            <w:tcBorders>
              <w:right w:val="single" w:sz="8" w:color="CCEEFF"/>
            </w:tcBorders>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9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16,332</w:t>
            </w: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(2,017)</w:t>
            </w:r>
          </w:p>
        </w:tc>
        <w:tc>
          <w:tcPr>
            <w:tcW w:w="10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54,661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43,558</w:t>
            </w: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2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0"/>
        </w:trPr>
        <w:tc>
          <w:tcPr>
            <w:tcW w:w="3360" w:type="dxa"/>
            <w:vAlign w:val="bottom"/>
          </w:tcPr>
          <w:p>
            <w:pPr>
              <w:spacing w:after="0" w:line="200" w:lineRule="exact"/>
              <w:rPr>
                <w:sz w:val="20"/>
                <w:szCs w:val="20"/>
                <w:color w:val="auto"/>
              </w:rPr>
            </w:pPr>
            <w:r>
              <w:rPr>
                <w:rFonts w:ascii="Times New Roman" w:cs="Times New Roman" w:eastAsia="Times New Roman" w:hAnsi="Times New Roman"/>
                <w:sz w:val="15"/>
                <w:szCs w:val="15"/>
                <w:color w:val="auto"/>
              </w:rPr>
              <w:t xml:space="preserve">Adjusted EBITDA margin </w:t>
            </w:r>
            <w:r>
              <w:rPr>
                <w:rFonts w:ascii="Times New Roman" w:cs="Times New Roman" w:eastAsia="Times New Roman" w:hAnsi="Times New Roman"/>
                <w:sz w:val="23"/>
                <w:szCs w:val="23"/>
                <w:color w:val="auto"/>
                <w:vertAlign w:val="superscript"/>
              </w:rPr>
              <w:t>(2)</w:t>
            </w: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w:t>
            </w:r>
          </w:p>
        </w:tc>
        <w:tc>
          <w:tcPr>
            <w:tcW w:w="960" w:type="dxa"/>
            <w:vAlign w:val="bottom"/>
            <w:gridSpan w:val="2"/>
          </w:tcPr>
          <w:p>
            <w:pPr>
              <w:jc w:val="right"/>
              <w:ind w:right="121"/>
              <w:spacing w:after="0" w:line="20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28%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0"/>
        </w:trPr>
        <w:tc>
          <w:tcPr>
            <w:tcW w:w="336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960" w:type="dxa"/>
            <w:vAlign w:val="bottom"/>
            <w:gridSpan w:val="2"/>
          </w:tcPr>
          <w:p>
            <w:pPr>
              <w:jc w:val="right"/>
              <w:ind w:right="261"/>
              <w:spacing w:after="0" w:line="93" w:lineRule="exact"/>
              <w:rPr>
                <w:sz w:val="20"/>
                <w:szCs w:val="20"/>
                <w:color w:val="auto"/>
              </w:rPr>
            </w:pPr>
            <w:r>
              <w:rPr>
                <w:rFonts w:ascii="Times New Roman" w:cs="Times New Roman" w:eastAsia="Times New Roman" w:hAnsi="Times New Roman"/>
                <w:sz w:val="10"/>
                <w:szCs w:val="10"/>
                <w:color w:val="auto"/>
              </w:rPr>
              <w:t>35</w:t>
            </w:r>
          </w:p>
        </w:tc>
        <w:tc>
          <w:tcPr>
            <w:tcW w:w="86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103"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w:t>
      </w:r>
    </w:p>
    <w:p>
      <w:pPr>
        <w:spacing w:after="0" w:line="194" w:lineRule="exact"/>
        <w:rPr>
          <w:sz w:val="20"/>
          <w:szCs w:val="20"/>
          <w:color w:val="auto"/>
        </w:rPr>
      </w:pPr>
    </w:p>
    <w:p>
      <w:pPr>
        <w:ind w:left="320" w:hanging="313"/>
        <w:spacing w:after="0" w:line="193" w:lineRule="auto"/>
        <w:tabs>
          <w:tab w:leader="none" w:pos="3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Company's </w:t>
      </w:r>
      <w:r>
        <w:rPr>
          <w:rFonts w:ascii="Times New Roman" w:cs="Times New Roman" w:eastAsia="Times New Roman" w:hAnsi="Times New Roman"/>
          <w:sz w:val="18"/>
          <w:szCs w:val="18"/>
          <w:i w:val="1"/>
          <w:iCs w:val="1"/>
          <w:color w:val="auto"/>
        </w:rPr>
        <w:t>MD&amp;A.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6"/>
        </w:trPr>
        <w:tc>
          <w:tcPr>
            <w:tcW w:w="9420" w:type="dxa"/>
            <w:vAlign w:val="bottom"/>
            <w:gridSpan w:val="15"/>
          </w:tcPr>
          <w:p>
            <w:pPr>
              <w:ind w:left="1860"/>
              <w:spacing w:after="0"/>
              <w:rPr>
                <w:sz w:val="20"/>
                <w:szCs w:val="20"/>
                <w:color w:val="auto"/>
              </w:rPr>
            </w:pPr>
            <w:r>
              <w:rPr>
                <w:rFonts w:ascii="Times New Roman" w:cs="Times New Roman" w:eastAsia="Times New Roman" w:hAnsi="Times New Roman"/>
                <w:sz w:val="18"/>
                <w:szCs w:val="18"/>
                <w:b w:val="1"/>
                <w:bCs w:val="1"/>
                <w:color w:val="auto"/>
                <w:w w:val="99"/>
              </w:rPr>
              <w:t>Bitfarms Ltd. Reconciliation of Consolidated Net Income (loss) to EBITDA and Adjusted EBITDA</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gridSpan w:val="9"/>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00" w:type="dxa"/>
            <w:vAlign w:val="bottom"/>
          </w:tcPr>
          <w:p>
            <w:pPr>
              <w:spacing w:after="0"/>
              <w:rPr>
                <w:sz w:val="24"/>
                <w:szCs w:val="24"/>
                <w:color w:val="auto"/>
              </w:rPr>
            </w:pPr>
          </w:p>
        </w:tc>
        <w:tc>
          <w:tcPr>
            <w:tcW w:w="22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6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 Change</w:t>
            </w: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320" w:type="dxa"/>
            <w:vAlign w:val="bottom"/>
          </w:tcPr>
          <w:p>
            <w:pPr>
              <w:spacing w:after="0"/>
              <w:rPr>
                <w:sz w:val="20"/>
                <w:szCs w:val="20"/>
                <w:color w:val="auto"/>
              </w:rPr>
            </w:pPr>
          </w:p>
        </w:tc>
        <w:tc>
          <w:tcPr>
            <w:tcW w:w="7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Change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56,163</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w:t>
            </w:r>
          </w:p>
        </w:tc>
        <w:tc>
          <w:tcPr>
            <w:tcW w:w="3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top w:val="single" w:sz="8" w:color="CCEEFF"/>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3"/>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5,458</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(62,423)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67,881</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i w:val="1"/>
                <w:iCs w:val="1"/>
                <w:color w:val="auto"/>
              </w:rPr>
              <w:t>nm</w:t>
            </w:r>
          </w:p>
        </w:tc>
        <w:tc>
          <w:tcPr>
            <w:tcW w:w="98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(68,353)</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(109,323)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0"/>
        </w:trPr>
        <w:tc>
          <w:tcPr>
            <w:tcW w:w="3480" w:type="dxa"/>
            <w:vAlign w:val="bottom"/>
            <w:tcBorders>
              <w:top w:val="single" w:sz="8" w:color="CCEEFF"/>
            </w:tcBorders>
            <w:gridSpan w:val="2"/>
          </w:tcPr>
          <w:p>
            <w:pPr>
              <w:spacing w:after="0" w:line="201" w:lineRule="exact"/>
              <w:rPr>
                <w:sz w:val="20"/>
                <w:szCs w:val="20"/>
                <w:color w:val="auto"/>
              </w:rPr>
            </w:pPr>
            <w:r>
              <w:rPr>
                <w:rFonts w:ascii="Times New Roman" w:cs="Times New Roman" w:eastAsia="Times New Roman" w:hAnsi="Times New Roman"/>
                <w:sz w:val="18"/>
                <w:szCs w:val="18"/>
                <w:color w:val="auto"/>
              </w:rPr>
              <w:t>Interest (income) and expense</w:t>
            </w:r>
          </w:p>
        </w:tc>
        <w:tc>
          <w:tcPr>
            <w:tcW w:w="6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(290)</w:t>
            </w:r>
          </w:p>
        </w:tc>
        <w:tc>
          <w:tcPr>
            <w:tcW w:w="3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91</w:t>
            </w:r>
          </w:p>
        </w:tc>
        <w:tc>
          <w:tcPr>
            <w:tcW w:w="3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(419)</w:t>
            </w:r>
          </w:p>
        </w:tc>
        <w:tc>
          <w:tcPr>
            <w:tcW w:w="320" w:type="dxa"/>
            <w:vAlign w:val="bottom"/>
            <w:tcBorders>
              <w:top w:val="single" w:sz="8" w:color="CCEEFF"/>
            </w:tcBorders>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(4,299)</w:t>
            </w:r>
          </w:p>
        </w:tc>
        <w:tc>
          <w:tcPr>
            <w:tcW w:w="2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2,659</w:t>
            </w:r>
          </w:p>
        </w:tc>
        <w:tc>
          <w:tcPr>
            <w:tcW w:w="3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(6,958)</w:t>
            </w: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(262)</w:t>
            </w:r>
          </w:p>
        </w:tc>
        <w:tc>
          <w:tcPr>
            <w:tcW w:w="220" w:type="dxa"/>
            <w:vAlign w:val="bottom"/>
            <w:tcBorders>
              <w:top w:val="single" w:sz="8" w:color="CCEEFF"/>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24,584</w:t>
            </w:r>
          </w:p>
        </w:tc>
        <w:tc>
          <w:tcPr>
            <w:tcW w:w="9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21,790</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2,794</w:t>
            </w:r>
          </w:p>
        </w:tc>
        <w:tc>
          <w:tcPr>
            <w:tcW w:w="114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149,727</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84,785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(8,760)</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continue"/>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3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29,752</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(40,542)</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68,315</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90,194</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6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7"/>
        </w:trPr>
        <w:tc>
          <w:tcPr>
            <w:tcW w:w="3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66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Borders>
              <w:right w:val="single" w:sz="8" w:color="CCEEFF"/>
            </w:tcBorders>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480" w:type="dxa"/>
            <w:vAlign w:val="bottom"/>
            <w:gridSpan w:val="2"/>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4,021</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320" w:type="dxa"/>
            <w:vAlign w:val="bottom"/>
            <w:tcBorders>
              <w:right w:val="single" w:sz="8" w:color="CCEEFF"/>
            </w:tcBorders>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13,949</w:t>
            </w:r>
          </w:p>
        </w:tc>
        <w:tc>
          <w:tcPr>
            <w:tcW w:w="2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3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2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Impairment on short-term prepaid deposits,</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and assets</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3,628</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held for sale</w:t>
            </w:r>
          </w:p>
        </w:tc>
        <w:tc>
          <w:tcPr>
            <w:tcW w:w="960" w:type="dxa"/>
            <w:vAlign w:val="bottom"/>
            <w:gridSpan w:val="2"/>
            <w:vMerge w:val="continue"/>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(2,270)</w:t>
            </w:r>
          </w:p>
        </w:tc>
        <w:tc>
          <w:tcPr>
            <w:tcW w:w="114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vMerge w:val="continue"/>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12,252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(1,183)</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1,183</w:t>
            </w:r>
          </w:p>
        </w:tc>
        <w:tc>
          <w:tcPr>
            <w:tcW w:w="114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Gain on extinguishment of long-term debt and</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gridSpan w:val="2"/>
            <w:vMerge w:val="continue"/>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continue"/>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(12,835)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(6,314)</w:t>
            </w:r>
          </w:p>
        </w:tc>
        <w:tc>
          <w:tcPr>
            <w:tcW w:w="9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42,760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(49,074)</w:t>
            </w:r>
          </w:p>
        </w:tc>
        <w:tc>
          <w:tcPr>
            <w:tcW w:w="11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c>
          <w:tcPr>
            <w:tcW w:w="98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(19,603)</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42,974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(62,577)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(782)</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14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(2,313)</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(12,245)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5"/>
        </w:trPr>
        <w:tc>
          <w:tcPr>
            <w:tcW w:w="34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Service fees not associated with ongoing</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1,287</w:t>
            </w:r>
          </w:p>
        </w:tc>
        <w:tc>
          <w:tcPr>
            <w:tcW w:w="66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13,766</w:t>
            </w: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960" w:type="dxa"/>
            <w:vAlign w:val="bottom"/>
            <w:gridSpan w:val="2"/>
            <w:vMerge w:val="continue"/>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w:t>
            </w:r>
          </w:p>
        </w:tc>
        <w:tc>
          <w:tcPr>
            <w:tcW w:w="1140" w:type="dxa"/>
            <w:vAlign w:val="bottom"/>
            <w:gridSpan w:val="3"/>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vMerge w:val="continue"/>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13,766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(16,081)</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infrastructure and G&amp;A expenses (1)</w:t>
            </w:r>
          </w:p>
        </w:tc>
        <w:tc>
          <w:tcPr>
            <w:tcW w:w="960" w:type="dxa"/>
            <w:vAlign w:val="bottom"/>
            <w:gridSpan w:val="2"/>
            <w:vMerge w:val="continue"/>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(2,485)</w:t>
            </w:r>
          </w:p>
        </w:tc>
        <w:tc>
          <w:tcPr>
            <w:tcW w:w="114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vMerge w:val="continue"/>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9,281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 expense and other</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(13,649)</w:t>
            </w:r>
          </w:p>
        </w:tc>
        <w:tc>
          <w:tcPr>
            <w:tcW w:w="9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7,635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(21,284)</w:t>
            </w:r>
          </w:p>
        </w:tc>
        <w:tc>
          <w:tcPr>
            <w:tcW w:w="11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98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(7,000)</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17,790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(24,790)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480" w:type="dxa"/>
            <w:vAlign w:val="bottom"/>
            <w:gridSpan w:val="2"/>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14,315</w:t>
            </w:r>
          </w:p>
        </w:tc>
        <w:tc>
          <w:tcPr>
            <w:tcW w:w="30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16,332</w:t>
            </w:r>
          </w:p>
        </w:tc>
        <w:tc>
          <w:tcPr>
            <w:tcW w:w="320" w:type="dxa"/>
            <w:vAlign w:val="bottom"/>
            <w:vMerge w:val="continue"/>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(2,017)</w:t>
            </w: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60" w:type="dxa"/>
            <w:vAlign w:val="bottom"/>
            <w:gridSpan w:val="2"/>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rPr>
              <w:t>(12)%</w:t>
            </w: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54,661</w:t>
            </w:r>
          </w:p>
        </w:tc>
        <w:tc>
          <w:tcPr>
            <w:tcW w:w="280" w:type="dxa"/>
            <w:vAlign w:val="bottom"/>
            <w:vMerge w:val="continue"/>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43,558</w:t>
            </w:r>
          </w:p>
        </w:tc>
        <w:tc>
          <w:tcPr>
            <w:tcW w:w="32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11,103</w:t>
            </w:r>
          </w:p>
        </w:tc>
        <w:tc>
          <w:tcPr>
            <w:tcW w:w="220" w:type="dxa"/>
            <w:vAlign w:val="bottom"/>
          </w:tcPr>
          <w:p>
            <w:pPr>
              <w:spacing w:after="0"/>
              <w:rPr>
                <w:sz w:val="17"/>
                <w:szCs w:val="17"/>
                <w:color w:val="auto"/>
              </w:rPr>
            </w:pPr>
          </w:p>
        </w:tc>
        <w:tc>
          <w:tcPr>
            <w:tcW w:w="9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w:t>
            </w:r>
          </w:p>
        </w:tc>
        <w:tc>
          <w:tcPr>
            <w:tcW w:w="980" w:type="dxa"/>
            <w:vAlign w:val="bottom"/>
            <w:tcBorders>
              <w:right w:val="single" w:sz="8" w:color="CCEEFF"/>
            </w:tcBorders>
            <w:gridSpan w:val="2"/>
            <w:shd w:val="clear" w:color="auto" w:fill="CCEEFF"/>
          </w:tcPr>
          <w:p>
            <w:pPr>
              <w:jc w:val="right"/>
              <w:ind w:right="160"/>
              <w:spacing w:after="0" w:line="253" w:lineRule="exact"/>
              <w:rPr>
                <w:sz w:val="20"/>
                <w:szCs w:val="20"/>
                <w:color w:val="auto"/>
              </w:rPr>
            </w:pPr>
            <w:r>
              <w:rPr>
                <w:rFonts w:ascii="Times New Roman" w:cs="Times New Roman" w:eastAsia="Times New Roman" w:hAnsi="Times New Roman"/>
                <w:sz w:val="16"/>
                <w:szCs w:val="16"/>
                <w:color w:val="auto"/>
              </w:rPr>
              <w:t>35</w:t>
            </w:r>
            <w:r>
              <w:rPr>
                <w:rFonts w:ascii="Times New Roman" w:cs="Times New Roman" w:eastAsia="Times New Roman" w:hAnsi="Times New Roman"/>
                <w:sz w:val="29"/>
                <w:szCs w:val="29"/>
                <w:color w:val="auto"/>
                <w:vertAlign w:val="superscript"/>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28%</w:t>
            </w:r>
          </w:p>
        </w:tc>
        <w:tc>
          <w:tcPr>
            <w:tcW w:w="1080" w:type="dxa"/>
            <w:vAlign w:val="bottom"/>
            <w:gridSpan w:val="2"/>
            <w:shd w:val="clear" w:color="auto" w:fill="CCEEFF"/>
          </w:tcPr>
          <w:p>
            <w:pPr>
              <w:jc w:val="right"/>
              <w:ind w:right="180"/>
              <w:spacing w:after="0" w:line="253" w:lineRule="exact"/>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9"/>
                <w:szCs w:val="29"/>
                <w:color w:val="auto"/>
                <w:vertAlign w:val="superscript"/>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7875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42" w:lineRule="exact"/>
        <w:rPr>
          <w:sz w:val="20"/>
          <w:szCs w:val="20"/>
          <w:color w:val="auto"/>
        </w:rPr>
      </w:pPr>
    </w:p>
    <w:p>
      <w:pPr>
        <w:jc w:val="both"/>
        <w:ind w:left="320" w:hanging="313"/>
        <w:spacing w:after="0" w:line="208" w:lineRule="auto"/>
        <w:tabs>
          <w:tab w:leader="none" w:pos="3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6"/>
        </w:trPr>
        <w:tc>
          <w:tcPr>
            <w:tcW w:w="8500" w:type="dxa"/>
            <w:vAlign w:val="bottom"/>
            <w:gridSpan w:val="25"/>
          </w:tcPr>
          <w:p>
            <w:pPr>
              <w:ind w:left="2740"/>
              <w:spacing w:after="0"/>
              <w:rPr>
                <w:sz w:val="20"/>
                <w:szCs w:val="20"/>
                <w:color w:val="auto"/>
              </w:rPr>
            </w:pPr>
            <w:r>
              <w:rPr>
                <w:rFonts w:ascii="Times New Roman" w:cs="Times New Roman" w:eastAsia="Times New Roman" w:hAnsi="Times New Roman"/>
                <w:sz w:val="18"/>
                <w:szCs w:val="18"/>
                <w:b w:val="1"/>
                <w:bCs w:val="1"/>
                <w:color w:val="auto"/>
                <w:w w:val="98"/>
              </w:rPr>
              <w:t>Bitfarms Ltd. Calculation of Gross Mining Profit and Gross Mining Margin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17"/>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40" w:type="dxa"/>
            <w:vAlign w:val="bottom"/>
          </w:tcPr>
          <w:p>
            <w:pPr>
              <w:spacing w:after="0"/>
              <w:rPr>
                <w:sz w:val="24"/>
                <w:szCs w:val="24"/>
                <w:color w:val="auto"/>
              </w:rPr>
            </w:pPr>
          </w:p>
        </w:tc>
        <w:tc>
          <w:tcPr>
            <w:tcW w:w="2120" w:type="dxa"/>
            <w:vAlign w:val="bottom"/>
            <w:gridSpan w:val="10"/>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660" w:type="dxa"/>
            <w:vAlign w:val="bottom"/>
            <w:tcBorders>
              <w:top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8"/>
                <w:szCs w:val="18"/>
                <w:color w:val="auto"/>
                <w:w w:val="99"/>
              </w:rPr>
              <w:t>$ Change</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Change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6"/>
              </w:rPr>
              <w:t>$ Change</w:t>
            </w: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 Change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top w:val="single" w:sz="8" w:color="CCEEFF"/>
              <w:bottom w:val="single" w:sz="8" w:color="CCEEFF"/>
              <w:right w:val="single" w:sz="8" w:color="CCEEFF"/>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2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0"/>
        </w:trPr>
        <w:tc>
          <w:tcPr>
            <w:tcW w:w="36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Non-Mining revenues¹</w:t>
            </w:r>
          </w:p>
        </w:tc>
        <w:tc>
          <w:tcPr>
            <w:tcW w:w="6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(1,592)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(1,285)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4"/>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24%</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(5,102)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(5,060)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5"/>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21,790</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4"/>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149,727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84,785</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64,942</w:t>
            </w:r>
          </w:p>
        </w:tc>
        <w:tc>
          <w:tcPr>
            <w:tcW w:w="16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5"/>
        </w:trPr>
        <w:tc>
          <w:tcPr>
            <w:tcW w:w="36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(8,760)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3"/>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4"/>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4,081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4,151</w:t>
            </w: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5"/>
        </w:trPr>
        <w:tc>
          <w:tcPr>
            <w:tcW w:w="36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(14,338)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infrastructure²</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vMerge w:val="continue"/>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Pr>
          <w:p>
            <w:pPr>
              <w:spacing w:after="0"/>
              <w:rPr>
                <w:sz w:val="20"/>
                <w:szCs w:val="20"/>
                <w:color w:val="auto"/>
              </w:rPr>
            </w:pPr>
          </w:p>
        </w:tc>
        <w:tc>
          <w:tcPr>
            <w:tcW w:w="1100" w:type="dxa"/>
            <w:vAlign w:val="bottom"/>
            <w:gridSpan w:val="4"/>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8,366</w:t>
            </w:r>
          </w:p>
        </w:tc>
        <w:tc>
          <w:tcPr>
            <w:tcW w:w="160" w:type="dxa"/>
            <w:vAlign w:val="bottom"/>
          </w:tcPr>
          <w:p>
            <w:pPr>
              <w:spacing w:after="0"/>
              <w:rPr>
                <w:sz w:val="20"/>
                <w:szCs w:val="20"/>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(22,704)</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7"/>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i w:val="1"/>
                <w:iCs w:val="1"/>
                <w:color w:val="auto"/>
              </w:rPr>
              <w:t>nm</w:t>
            </w:r>
          </w:p>
        </w:tc>
        <w:tc>
          <w:tcPr>
            <w:tcW w:w="76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1,220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660" w:type="dxa"/>
            <w:vAlign w:val="bottom"/>
            <w:gridSpan w:val="2"/>
            <w:vMerge w:val="continue"/>
          </w:tcPr>
          <w:p>
            <w:pPr>
              <w:spacing w:after="0"/>
              <w:rPr>
                <w:sz w:val="17"/>
                <w:szCs w:val="17"/>
                <w:color w:val="auto"/>
              </w:rPr>
            </w:pPr>
          </w:p>
        </w:tc>
        <w:tc>
          <w:tcPr>
            <w:tcW w:w="66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25,786</w:t>
            </w:r>
          </w:p>
        </w:tc>
        <w:tc>
          <w:tcPr>
            <w:tcW w:w="2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25,454</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332</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00" w:type="dxa"/>
            <w:vAlign w:val="bottom"/>
            <w:gridSpan w:val="4"/>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1%</w:t>
            </w: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94,469</w:t>
            </w:r>
          </w:p>
        </w:tc>
        <w:tc>
          <w:tcPr>
            <w:tcW w:w="1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70,277</w:t>
            </w:r>
          </w:p>
        </w:tc>
        <w:tc>
          <w:tcPr>
            <w:tcW w:w="1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24,192</w:t>
            </w: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gridSpan w:val="5"/>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0"/>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0"/>
              <w:spacing w:after="0" w:line="253" w:lineRule="exact"/>
              <w:rPr>
                <w:sz w:val="20"/>
                <w:szCs w:val="20"/>
                <w:color w:val="auto"/>
              </w:rPr>
            </w:pPr>
            <w:r>
              <w:rPr>
                <w:rFonts w:ascii="Times New Roman" w:cs="Times New Roman" w:eastAsia="Times New Roman" w:hAnsi="Times New Roman"/>
                <w:sz w:val="16"/>
                <w:szCs w:val="16"/>
                <w:color w:val="auto"/>
              </w:rPr>
              <w:t>57</w:t>
            </w:r>
            <w:r>
              <w:rPr>
                <w:rFonts w:ascii="Times New Roman" w:cs="Times New Roman" w:eastAsia="Times New Roman" w:hAnsi="Times New Roman"/>
                <w:sz w:val="29"/>
                <w:szCs w:val="29"/>
                <w:color w:val="auto"/>
                <w:vertAlign w:val="superscript"/>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3"/>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50%</w:t>
            </w:r>
          </w:p>
        </w:tc>
        <w:tc>
          <w:tcPr>
            <w:tcW w:w="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120"/>
              <w:spacing w:after="0" w:line="253" w:lineRule="exact"/>
              <w:rPr>
                <w:sz w:val="20"/>
                <w:szCs w:val="20"/>
                <w:color w:val="auto"/>
              </w:rPr>
            </w:pPr>
            <w:r>
              <w:rPr>
                <w:rFonts w:ascii="Times New Roman" w:cs="Times New Roman" w:eastAsia="Times New Roman" w:hAnsi="Times New Roman"/>
                <w:sz w:val="16"/>
                <w:szCs w:val="16"/>
                <w:color w:val="auto"/>
              </w:rPr>
              <w:t>50</w:t>
            </w:r>
            <w:r>
              <w:rPr>
                <w:rFonts w:ascii="Times New Roman" w:cs="Times New Roman" w:eastAsia="Times New Roman" w:hAnsi="Times New Roman"/>
                <w:sz w:val="29"/>
                <w:szCs w:val="29"/>
                <w:color w:val="auto"/>
                <w:vertAlign w:val="superscript"/>
              </w:rPr>
              <w:t>%</w:t>
            </w:r>
          </w:p>
        </w:tc>
        <w:tc>
          <w:tcPr>
            <w:tcW w:w="4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9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36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17"/>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40" w:type="dxa"/>
            <w:vAlign w:val="bottom"/>
            <w:gridSpan w:val="2"/>
          </w:tcPr>
          <w:p>
            <w:pPr>
              <w:spacing w:after="0"/>
              <w:rPr>
                <w:sz w:val="20"/>
                <w:szCs w:val="20"/>
                <w:color w:val="auto"/>
              </w:rPr>
            </w:pPr>
          </w:p>
        </w:tc>
        <w:tc>
          <w:tcPr>
            <w:tcW w:w="6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Change</w:t>
            </w:r>
          </w:p>
        </w:tc>
        <w:tc>
          <w:tcPr>
            <w:tcW w:w="8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Change</w:t>
            </w: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Change</w:t>
            </w:r>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56,163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CCEEFF"/>
              <w:bottom w:val="single" w:sz="8" w:color="CCEEFF"/>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68"/>
        </w:trPr>
        <w:tc>
          <w:tcPr>
            <w:tcW w:w="36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Less Mining related revenues for the purpose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calculating gross Mining margin: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revenues³</w:t>
            </w:r>
          </w:p>
        </w:tc>
        <w:tc>
          <w:tcPr>
            <w:tcW w:w="240" w:type="dxa"/>
            <w:vAlign w:val="bottom"/>
            <w:gridSpan w:val="2"/>
            <w:shd w:val="clear" w:color="auto" w:fill="CCEEFF"/>
          </w:tcPr>
          <w:p>
            <w:pPr>
              <w:spacing w:after="0"/>
              <w:rPr>
                <w:sz w:val="19"/>
                <w:szCs w:val="19"/>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(54,571)</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(44,956)</w:t>
            </w:r>
          </w:p>
        </w:tc>
        <w:tc>
          <w:tcPr>
            <w:tcW w:w="9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(9,615)</w:t>
            </w:r>
          </w:p>
        </w:tc>
        <w:tc>
          <w:tcPr>
            <w:tcW w:w="1100" w:type="dxa"/>
            <w:vAlign w:val="bottom"/>
            <w:tcBorders>
              <w:right w:val="single" w:sz="8" w:color="CCEEFF"/>
            </w:tcBorders>
            <w:gridSpan w:val="4"/>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2760" w:type="dxa"/>
            <w:vAlign w:val="bottom"/>
            <w:gridSpan w:val="11"/>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(187,779)   </w:t>
            </w:r>
            <w:r>
              <w:rPr>
                <w:rFonts w:ascii="Times New Roman" w:cs="Times New Roman" w:eastAsia="Times New Roman" w:hAnsi="Times New Roman"/>
                <w:sz w:val="18"/>
                <w:szCs w:val="18"/>
                <w:color w:val="auto"/>
              </w:rPr>
              <w:t>(141,306)   (46,473)</w:t>
            </w:r>
          </w:p>
        </w:tc>
        <w:tc>
          <w:tcPr>
            <w:tcW w:w="9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gridSpan w:val="2"/>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34"/>
        </w:trPr>
        <w:tc>
          <w:tcPr>
            <w:tcW w:w="3660" w:type="dxa"/>
            <w:vAlign w:val="bottom"/>
            <w:gridSpan w:val="2"/>
            <w:vMerge w:val="continue"/>
          </w:tcPr>
          <w:p>
            <w:pPr>
              <w:spacing w:after="0"/>
              <w:rPr>
                <w:sz w:val="20"/>
                <w:szCs w:val="20"/>
                <w:color w:val="auto"/>
              </w:rPr>
            </w:pPr>
          </w:p>
        </w:tc>
        <w:tc>
          <w:tcPr>
            <w:tcW w:w="240" w:type="dxa"/>
            <w:vAlign w:val="bottom"/>
            <w:gridSpan w:val="2"/>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1,592</w:t>
            </w:r>
          </w:p>
        </w:tc>
        <w:tc>
          <w:tcPr>
            <w:tcW w:w="80" w:type="dxa"/>
            <w:vAlign w:val="bottom"/>
          </w:tcPr>
          <w:p>
            <w:pPr>
              <w:spacing w:after="0"/>
              <w:rPr>
                <w:sz w:val="20"/>
                <w:szCs w:val="20"/>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1,285</w:t>
            </w:r>
          </w:p>
        </w:tc>
        <w:tc>
          <w:tcPr>
            <w:tcW w:w="9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vMerge w:val="continue"/>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vMerge w:val="continue"/>
          </w:tcPr>
          <w:p>
            <w:pPr>
              <w:spacing w:after="0"/>
              <w:rPr>
                <w:sz w:val="20"/>
                <w:szCs w:val="20"/>
                <w:color w:val="auto"/>
              </w:rPr>
            </w:pPr>
          </w:p>
        </w:tc>
        <w:tc>
          <w:tcPr>
            <w:tcW w:w="94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5,102</w:t>
            </w:r>
          </w:p>
        </w:tc>
        <w:tc>
          <w:tcPr>
            <w:tcW w:w="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hanging="313"/>
        <w:spacing w:after="0" w:line="259"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Note 29b - </w:t>
      </w:r>
      <w:r>
        <w:rPr>
          <w:rFonts w:ascii="Times New Roman" w:cs="Times New Roman" w:eastAsia="Times New Roman" w:hAnsi="Times New Roman"/>
          <w:sz w:val="18"/>
          <w:szCs w:val="18"/>
          <w:i w:val="1"/>
          <w:iCs w:val="1"/>
          <w:color w:val="auto"/>
        </w:rPr>
        <w:t>Additional Details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Statement of Profit or Loss and Comprehensive Profit or Loss (Canadian sales tax refund) </w:t>
      </w:r>
      <w:r>
        <w:rPr>
          <w:rFonts w:ascii="Times New Roman" w:cs="Times New Roman" w:eastAsia="Times New Roman" w:hAnsi="Times New Roman"/>
          <w:sz w:val="18"/>
          <w:szCs w:val="18"/>
          <w:color w:val="auto"/>
        </w:rPr>
        <w:t>to the Financial Statements.</w:t>
      </w:r>
    </w:p>
    <w:p>
      <w:pPr>
        <w:spacing w:after="0" w:line="1" w:lineRule="exact"/>
        <w:rPr>
          <w:rFonts w:ascii="Times New Roman" w:cs="Times New Roman" w:eastAsia="Times New Roman" w:hAnsi="Times New Roman"/>
          <w:sz w:val="18"/>
          <w:szCs w:val="18"/>
          <w:color w:val="auto"/>
        </w:rPr>
      </w:pPr>
    </w:p>
    <w:p>
      <w:pPr>
        <w:ind w:left="320" w:hanging="313"/>
        <w:spacing w:after="0" w:line="255"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revenues include revenues from sale of computational power used for hashing calculations and revenues from computational power sold in exchange of services.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6"/>
        </w:trPr>
        <w:tc>
          <w:tcPr>
            <w:tcW w:w="8500" w:type="dxa"/>
            <w:vAlign w:val="bottom"/>
            <w:gridSpan w:val="14"/>
          </w:tcPr>
          <w:p>
            <w:pPr>
              <w:ind w:left="3120"/>
              <w:spacing w:after="0"/>
              <w:rPr>
                <w:sz w:val="20"/>
                <w:szCs w:val="20"/>
                <w:color w:val="auto"/>
              </w:rPr>
            </w:pPr>
            <w:r>
              <w:rPr>
                <w:rFonts w:ascii="Times New Roman" w:cs="Times New Roman" w:eastAsia="Times New Roman" w:hAnsi="Times New Roman"/>
                <w:sz w:val="18"/>
                <w:szCs w:val="18"/>
                <w:b w:val="1"/>
                <w:bCs w:val="1"/>
                <w:color w:val="auto"/>
              </w:rPr>
              <w:t>Bitfarms Ltd. Calculation of Direct Cost and Direct Cost per BTC</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10"/>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60" w:type="dxa"/>
            <w:vAlign w:val="bottom"/>
          </w:tcPr>
          <w:p>
            <w:pPr>
              <w:spacing w:after="0"/>
              <w:rPr>
                <w:sz w:val="24"/>
                <w:szCs w:val="24"/>
                <w:color w:val="auto"/>
              </w:rPr>
            </w:pPr>
          </w:p>
        </w:tc>
        <w:tc>
          <w:tcPr>
            <w:tcW w:w="2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6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Change</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320" w:type="dxa"/>
            <w:vAlign w:val="bottom"/>
          </w:tcPr>
          <w:p>
            <w:pPr>
              <w:spacing w:after="0"/>
              <w:rPr>
                <w:sz w:val="20"/>
                <w:szCs w:val="20"/>
                <w:color w:val="auto"/>
              </w:rPr>
            </w:pPr>
          </w:p>
        </w:tc>
        <w:tc>
          <w:tcPr>
            <w:tcW w:w="7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Change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Change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54,776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225,240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0"/>
        </w:trPr>
        <w:tc>
          <w:tcPr>
            <w:tcW w:w="38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(24,584)</w:t>
            </w:r>
          </w:p>
        </w:tc>
        <w:tc>
          <w:tcPr>
            <w:tcW w:w="2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(21,790)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(2,794)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13%</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(149,727)</w:t>
            </w:r>
          </w:p>
        </w:tc>
        <w:tc>
          <w:tcPr>
            <w:tcW w:w="20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(84,785)</w:t>
            </w:r>
          </w:p>
        </w:tc>
        <w:tc>
          <w:tcPr>
            <w:tcW w:w="2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(64,942)</w:t>
            </w:r>
          </w:p>
        </w:tc>
        <w:tc>
          <w:tcPr>
            <w:tcW w:w="220" w:type="dxa"/>
            <w:vAlign w:val="bottom"/>
          </w:tcPr>
          <w:p>
            <w:pPr>
              <w:spacing w:after="0"/>
              <w:rPr>
                <w:sz w:val="17"/>
                <w:szCs w:val="17"/>
                <w:color w:val="auto"/>
              </w:rPr>
            </w:pPr>
          </w:p>
        </w:tc>
        <w:tc>
          <w:tcPr>
            <w:tcW w:w="940" w:type="dxa"/>
            <w:vAlign w:val="bottom"/>
            <w:gridSpan w:val="3"/>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8,760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(1,403)</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(1,091)</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112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(4,081)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(1,456)</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(1,607)</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11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(5,784)</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(3,909)</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(1,875)</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5"/>
        </w:trPr>
        <w:tc>
          <w:tcPr>
            <w:tcW w:w="3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14,338</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infrastructure (1)</w:t>
            </w:r>
          </w:p>
        </w:tc>
        <w:tc>
          <w:tcPr>
            <w:tcW w:w="900" w:type="dxa"/>
            <w:vAlign w:val="bottom"/>
            <w:gridSpan w:val="2"/>
            <w:vMerge w:val="continue"/>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(2,211)</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2,211</w:t>
            </w:r>
          </w:p>
        </w:tc>
        <w:tc>
          <w:tcPr>
            <w:tcW w:w="112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vMerge w:val="continue"/>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22,704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(649)</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w:t>
            </w:r>
          </w:p>
        </w:tc>
        <w:tc>
          <w:tcPr>
            <w:tcW w:w="11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40" w:type="dxa"/>
            <w:vAlign w:val="bottom"/>
            <w:gridSpan w:val="2"/>
            <w:vMerge w:val="continue"/>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26,684</w:t>
            </w:r>
          </w:p>
        </w:tc>
        <w:tc>
          <w:tcPr>
            <w:tcW w:w="22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17,785</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8,899</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40" w:type="dxa"/>
            <w:vAlign w:val="bottom"/>
            <w:gridSpan w:val="2"/>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50%</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88,746</w:t>
            </w:r>
          </w:p>
        </w:tc>
        <w:tc>
          <w:tcPr>
            <w:tcW w:w="200" w:type="dxa"/>
            <w:vAlign w:val="bottom"/>
            <w:vMerge w:val="continue"/>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66,749</w:t>
            </w:r>
          </w:p>
        </w:tc>
        <w:tc>
          <w:tcPr>
            <w:tcW w:w="22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21,997</w:t>
            </w:r>
          </w:p>
        </w:tc>
        <w:tc>
          <w:tcPr>
            <w:tcW w:w="220" w:type="dxa"/>
            <w:vAlign w:val="bottom"/>
            <w:vMerge w:val="continue"/>
          </w:tcPr>
          <w:p>
            <w:pPr>
              <w:spacing w:after="0"/>
              <w:rPr>
                <w:sz w:val="17"/>
                <w:szCs w:val="17"/>
                <w:color w:val="auto"/>
              </w:rPr>
            </w:pPr>
          </w:p>
        </w:tc>
        <w:tc>
          <w:tcPr>
            <w:tcW w:w="940" w:type="dxa"/>
            <w:vAlign w:val="bottom"/>
            <w:gridSpan w:val="3"/>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w:t>
            </w:r>
          </w:p>
        </w:tc>
        <w:tc>
          <w:tcPr>
            <w:tcW w:w="11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2,914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4"/>
        </w:trPr>
        <w:tc>
          <w:tcPr>
            <w:tcW w:w="3840" w:type="dxa"/>
            <w:vAlign w:val="bottom"/>
            <w:gridSpan w:val="2"/>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40,800</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1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30,500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38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500" w:type="dxa"/>
            <w:vAlign w:val="bottom"/>
            <w:gridSpan w:val="14"/>
          </w:tcPr>
          <w:p>
            <w:pPr>
              <w:ind w:left="2980"/>
              <w:spacing w:after="0"/>
              <w:rPr>
                <w:sz w:val="20"/>
                <w:szCs w:val="20"/>
                <w:color w:val="auto"/>
              </w:rPr>
            </w:pPr>
            <w:r>
              <w:rPr>
                <w:rFonts w:ascii="Times New Roman" w:cs="Times New Roman" w:eastAsia="Times New Roman" w:hAnsi="Times New Roman"/>
                <w:sz w:val="18"/>
                <w:szCs w:val="18"/>
                <w:b w:val="1"/>
                <w:bCs w:val="1"/>
                <w:color w:val="auto"/>
              </w:rPr>
              <w:t>Bitfarms Ltd. Calculation of Total Cash Cost and Total Cost per BTC</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10"/>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760" w:type="dxa"/>
            <w:vAlign w:val="bottom"/>
          </w:tcPr>
          <w:p>
            <w:pPr>
              <w:spacing w:after="0"/>
              <w:rPr>
                <w:sz w:val="24"/>
                <w:szCs w:val="24"/>
                <w:color w:val="auto"/>
              </w:rPr>
            </w:pPr>
          </w:p>
        </w:tc>
        <w:tc>
          <w:tcPr>
            <w:tcW w:w="20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Change</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Change</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Change</w:t>
            </w:r>
          </w:p>
        </w:tc>
        <w:tc>
          <w:tcPr>
            <w:tcW w:w="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54,776</w:t>
            </w:r>
          </w:p>
        </w:tc>
        <w:tc>
          <w:tcPr>
            <w:tcW w:w="2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225,240</w:t>
            </w:r>
          </w:p>
        </w:tc>
        <w:tc>
          <w:tcPr>
            <w:tcW w:w="2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57,372</w:t>
            </w:r>
          </w:p>
        </w:tc>
        <w:tc>
          <w:tcPr>
            <w:tcW w:w="220" w:type="dxa"/>
            <w:vAlign w:val="bottom"/>
            <w:vMerge w:val="continue"/>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7"/>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18,042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71,240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39,292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31,948</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72,818</w:t>
            </w:r>
          </w:p>
        </w:tc>
        <w:tc>
          <w:tcPr>
            <w:tcW w:w="2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57,889</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296,480</w:t>
            </w:r>
          </w:p>
        </w:tc>
        <w:tc>
          <w:tcPr>
            <w:tcW w:w="2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89,320</w:t>
            </w:r>
          </w:p>
        </w:tc>
        <w:tc>
          <w:tcPr>
            <w:tcW w:w="220" w:type="dxa"/>
            <w:vAlign w:val="bottom"/>
            <w:vMerge w:val="continue"/>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(24,584)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(21,790)</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(2,794)</w:t>
            </w:r>
          </w:p>
        </w:tc>
        <w:tc>
          <w:tcPr>
            <w:tcW w:w="112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(149,727)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(84,785)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(64,942)</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service expense (2)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(688)</w:t>
            </w:r>
          </w:p>
        </w:tc>
        <w:tc>
          <w:tcPr>
            <w:tcW w:w="11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(1,252)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8,760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8,760</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(1,403)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(1,091)</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1120" w:type="dxa"/>
            <w:vAlign w:val="bottom"/>
            <w:gridSpan w:val="3"/>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(4,081)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(4,021)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(3,906)</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112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(13,949)</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(10,915)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fees not associated with ongoing operations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(1,287)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(1,287)</w:t>
            </w:r>
          </w:p>
        </w:tc>
        <w:tc>
          <w:tcPr>
            <w:tcW w:w="11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(13,766)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(13,766)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5"/>
        </w:trPr>
        <w:tc>
          <w:tcPr>
            <w:tcW w:w="38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Sales tax recovery - prior years - energy and</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16,081</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infrastructure and G&amp;A expenses (1)</w:t>
            </w:r>
          </w:p>
        </w:tc>
        <w:tc>
          <w:tcPr>
            <w:tcW w:w="900" w:type="dxa"/>
            <w:vAlign w:val="bottom"/>
            <w:gridSpan w:val="2"/>
            <w:vMerge w:val="continue"/>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(2,485)</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2,485</w:t>
            </w:r>
          </w:p>
        </w:tc>
        <w:tc>
          <w:tcPr>
            <w:tcW w:w="112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gridSpan w:val="2"/>
            <w:vMerge w:val="continue"/>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(9,281)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25,362</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(1,078)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c>
          <w:tcPr>
            <w:tcW w:w="11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9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(5,659)</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(6,549)</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40" w:type="dxa"/>
            <w:vAlign w:val="bottom"/>
            <w:gridSpan w:val="2"/>
            <w:vMerge w:val="continue"/>
          </w:tcPr>
          <w:p>
            <w:pPr>
              <w:spacing w:after="0"/>
              <w:rPr>
                <w:sz w:val="17"/>
                <w:szCs w:val="17"/>
                <w:color w:val="auto"/>
              </w:rPr>
            </w:pP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39,757</w:t>
            </w:r>
          </w:p>
        </w:tc>
        <w:tc>
          <w:tcPr>
            <w:tcW w:w="22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28,818</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10,939</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40" w:type="dxa"/>
            <w:vAlign w:val="bottom"/>
            <w:gridSpan w:val="2"/>
          </w:tcPr>
          <w:p>
            <w:pPr>
              <w:jc w:val="right"/>
              <w:ind w:right="71"/>
              <w:spacing w:after="0" w:line="201" w:lineRule="exact"/>
              <w:rPr>
                <w:sz w:val="20"/>
                <w:szCs w:val="20"/>
                <w:color w:val="auto"/>
              </w:rPr>
            </w:pPr>
            <w:r>
              <w:rPr>
                <w:rFonts w:ascii="Times New Roman" w:cs="Times New Roman" w:eastAsia="Times New Roman" w:hAnsi="Times New Roman"/>
                <w:sz w:val="18"/>
                <w:szCs w:val="18"/>
                <w:color w:val="auto"/>
              </w:rPr>
              <w:t>38%</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132,887</w:t>
            </w:r>
          </w:p>
        </w:tc>
        <w:tc>
          <w:tcPr>
            <w:tcW w:w="200" w:type="dxa"/>
            <w:vAlign w:val="bottom"/>
            <w:vMerge w:val="continue"/>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98,928</w:t>
            </w:r>
          </w:p>
        </w:tc>
        <w:tc>
          <w:tcPr>
            <w:tcW w:w="22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33,959</w:t>
            </w:r>
          </w:p>
        </w:tc>
        <w:tc>
          <w:tcPr>
            <w:tcW w:w="220" w:type="dxa"/>
            <w:vAlign w:val="bottom"/>
            <w:vMerge w:val="continue"/>
          </w:tcPr>
          <w:p>
            <w:pPr>
              <w:spacing w:after="0"/>
              <w:rPr>
                <w:sz w:val="17"/>
                <w:szCs w:val="17"/>
                <w:color w:val="auto"/>
              </w:rPr>
            </w:pPr>
          </w:p>
        </w:tc>
        <w:tc>
          <w:tcPr>
            <w:tcW w:w="940" w:type="dxa"/>
            <w:vAlign w:val="bottom"/>
            <w:gridSpan w:val="3"/>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7"/>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w:t>
            </w:r>
          </w:p>
        </w:tc>
        <w:tc>
          <w:tcPr>
            <w:tcW w:w="11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2,914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Cash Cost per BTC (in U.S. dollars)</w:t>
            </w: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34"/>
        </w:trPr>
        <w:tc>
          <w:tcPr>
            <w:tcW w:w="3840" w:type="dxa"/>
            <w:vAlign w:val="bottom"/>
            <w:gridSpan w:val="2"/>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60,800</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45,600</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7875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242" w:lineRule="exact"/>
        <w:rPr>
          <w:sz w:val="20"/>
          <w:szCs w:val="20"/>
          <w:color w:val="auto"/>
        </w:rPr>
      </w:pPr>
    </w:p>
    <w:p>
      <w:pPr>
        <w:jc w:val="both"/>
        <w:ind w:left="320" w:hanging="313"/>
        <w:spacing w:after="0" w:line="193" w:lineRule="auto"/>
        <w:tabs>
          <w:tab w:leader="none" w:pos="32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w:t>
      </w:r>
    </w:p>
    <w:p>
      <w:pPr>
        <w:spacing w:after="0" w:line="197" w:lineRule="exact"/>
        <w:rPr>
          <w:sz w:val="20"/>
          <w:szCs w:val="20"/>
          <w:color w:val="auto"/>
        </w:rPr>
      </w:pPr>
    </w:p>
    <w:p>
      <w:pPr>
        <w:ind w:left="5540" w:right="3340" w:hanging="5533"/>
        <w:spacing w:after="0" w:line="612" w:lineRule="auto"/>
        <w:tabs>
          <w:tab w:leader="none" w:pos="329"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Non-cash service expense, included in infrastructure, which was exchanged for computational power sold.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-339090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1"/>
      <w:numFmt w:val="bullet"/>
      <w:start w:val="1"/>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bullet"/>
      <w:start w:val="1"/>
    </w:lvl>
  </w:abstractNum>
  <w:abstractNum w:abstractNumId="14">
    <w:nsid w:val="1BEFD79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jpeg"/><Relationship Id="rId20" Type="http://schemas.openxmlformats.org/officeDocument/2006/relationships/image" Target="media/image9.png"/><Relationship Id="rId21" Type="http://schemas.openxmlformats.org/officeDocument/2006/relationships/image" Target="media/image10.jpe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3" Type="http://schemas.openxmlformats.org/officeDocument/2006/relationships/hyperlink" Target="http://www.sec.gov/Archives/edgar/data/1812477/000121390023052498/0001213900-23-052498-index.htm" TargetMode="External"/><Relationship Id="rId14" Type="http://schemas.openxmlformats.org/officeDocument/2006/relationships/hyperlink" Target="http://www.sec.gov/Archives/edgar/data/1812477/000121390024035021/0001213900-24-035021-index.htm" TargetMode="External"/><Relationship Id="rId15" Type="http://schemas.openxmlformats.org/officeDocument/2006/relationships/hyperlink" Target="http://www.sec.gov/Archives/edgar/data/1812477/000101376225000733/0001013762-25-000733-index.htm" TargetMode="External"/><Relationship Id="rId16" Type="http://schemas.openxmlformats.org/officeDocument/2006/relationships/hyperlink" Target="http://www.sec.gov/Archives/edgar/data/1812477/000121390024087834/0001213900-24-087834-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2025-03-27T07:35:11Z</dcterms:created>
  <dcterms:modified xsi:type="dcterms:W3CDTF">2025-03-27T07:35:11Z</dcterms:modified>
</cp:coreProperties>
</file>