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10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41-4266374</w:t>
            </w:r>
          </w:p>
        </w:tc>
      </w:tr>
      <w:tr>
        <w:trPr>
          <w:trHeight w:val="194"/>
        </w:trPr>
        <w:tc>
          <w:tcPr>
            <w:tcW w:w="37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9"/>
        </w:trPr>
        <w:tc>
          <w:tcPr>
            <w:tcW w:w="754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120 Broadway, Suite 1375, New York, New York</w:t>
            </w:r>
          </w:p>
        </w:tc>
        <w:tc>
          <w:tcPr>
            <w:tcW w:w="37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KEEL</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11, 2026, Keel Infrastructure Corp. (the “Company”) issued a press release announcing its financial results for the quarter ended March 31, 2026. A copy of the press release is furnished as Exhibit 99.1 to this Current Report on Form 8-K and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6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6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11,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 /s/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Rachel Silverstein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EVP, 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168275</wp:posOffset>
            </wp:positionV>
            <wp:extent cx="2700020" cy="1191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002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Reports First Quarter 2026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Zoning secured and site development on track across near-term sites: Panther Creek, Sharon, and Moses Lake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balance sheet with $533 million of liquidity as of May 8, 2026 to support site development through lease signing at near-term sites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May 11, 2026 </w:t>
      </w:r>
      <w:r>
        <w:rPr>
          <w:rFonts w:ascii="Times New Roman" w:cs="Times New Roman" w:eastAsia="Times New Roman" w:hAnsi="Times New Roman"/>
          <w:sz w:val="18"/>
          <w:szCs w:val="18"/>
          <w:color w:val="auto"/>
        </w:rPr>
        <w:t>- Keel Infrastructure Corp. (NASDAQ/TSX: KEEL) (“Keel Infrastructure” or “Keel”), a North American digital and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today reported its financial results for the quarter ended March 31,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rebranding to Keel Infrastructure marks the completion of a nearly two-year strategic transformation. We redomiciled to the United States, built out our team from the ground up, exited our Latin American megawatts and focused our development pipeline on some of the highest-demand and most supply constrained HPC/AI markets in North America,” said Ben Gagnon, CEO. “With that work done, we now enter this new chapter with strong momentum and the clear strategic vision of advancing Panther Creek, Sharon, and Moses Lake development and through lease execution in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stands at approximately $533 million. This fully funds the capital required to advance Panther Creek, Sharon, and Moses Lake through lease execution, start of construction at Moses Lake, and covers our G&amp;A through 2028,” said Jonathan Mir, CFO. “With our strong liquidity we can continue developing at the speed our customers require while maintaining discipline and deploying capital where returns are most compelling.”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Highlights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Redomiciled to the U.S. and rebranded to Keel Infrastructure, positioning Keel as a pure-play North American infrastructure development platform with enhanced strategic focus and operational alignment.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exit from Latin American megawatts through the closing of the Paso Pe site sale, streamlining the portfolio to concentrate capital and management resources on high-growth HPC/AI opportunities in North America.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zoning approvals and continued to advance site development across Panther Creek, Sharon, and Moses Lake, with land development and environmental permits in progress.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8, 2026, the Company had a total liquidity of approximately $533 million comprising approximately $336 million in unrestricted cash and approximately $197 million in unencumbered Bitcoin.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sold 269 Bitcoin for $20 million in proceeds during the period beginning January 1, 2026, and ending May 8, 2026, as part of its previously communicated wind down of the Bitcoin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Financial Highlights from Continuing Legacy Operations*</w:t>
      </w:r>
    </w:p>
    <w:p>
      <w:pPr>
        <w:spacing w:after="0" w:line="229"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$37 million, down 23% year over year.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$27 million, compared to $18 million in Q1 2025. The difference was largely due to an increase in professional services related to our U.S. redomiciliation, U.S. GAAP conversion, and sale of the Paso Pe site that was completed on April 21, 2026.</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$98 million, including non-cash depreciation of $28 million, compared to an operating loss of $35 million in Q1 2025, which included $18 million of non-cash depreciation. Y/Y change primarily reflects a $41 million loss related to change in fair value of digital assets in Q1 2026, compared to a loss of $23 million in Q1 2025.</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continuing operations of $128 million, or a $0.21 loss per basic and diluted share, compared to a loss of $38 million, or a $0.08 loss per basic and diluted share, in Q1 2025. The changes reflect the increase in operating loss, and a $22 million loss from the extinguishment of the Macquarie credit facility in Q1 2026.</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negative $17 million, or negative 45% of revenue, down from $7 million or 14% of revenue in Q1 2025. The difference was largely due to an increase in energy and infrastructure expenses of $15 million and an unfavorable change of $7 million in the gain or loss from sale of digital assets.</w:t>
      </w:r>
    </w:p>
    <w:p>
      <w:pPr>
        <w:spacing w:after="0" w:line="173" w:lineRule="exact"/>
        <w:rPr>
          <w:rFonts w:ascii="Times New Roman" w:cs="Times New Roman" w:eastAsia="Times New Roman" w:hAnsi="Times New Roman"/>
          <w:sz w:val="18"/>
          <w:szCs w:val="18"/>
          <w:color w:val="auto"/>
        </w:rPr>
      </w:pPr>
    </w:p>
    <w:p>
      <w:pPr>
        <w:ind w:left="340" w:hanging="324"/>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In 2025, the Company began to execute a strategic transformation, pivoting to North American HPC infrastructure and away from Bitcoin mining operations. Following the rebalancing of our portfolio, our Latin American assets are classified as sold or held for sale. The facilities have met the criteria and are now classified as discontinued operations. Continuing operations refer to our North American portfolio.</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is a non-GAAP financial measure and should be read in conjunction with, and should not be viewed as alternative to or replacement of measures of operating results and liquidity presented in accordance with U.S. GAAP. In addition, the Company’s non-GAAP measures are adjusted to exclude discontinued operations, to align with the presentation in our financial statements. Refer to reconciliation to the most comparable GAAP measure included at the end of this news release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May 11, 2026 at 8:00 a.m. Eastern. All Q1 2026 materials will be available before the call and can be accessed on the ‘Quarterly Results’ section of the Keel investor site.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Keel follows U.S. GAAP. Under U.S. GAAP, the revaluation gains and losses on the mark-to-market of its Bitcoin holdings and the realized gains and losses on the disposition of Bitcoins are reflected in its income statement. The Company also does not include the revaluation gains or losses on the mark-to-market of its Bitcoin holdings and the realized gains or losses on the disposition of Bitcoins in Adjusted EBITDA, which is a measure of the cash profitability of its operations and does not reflect the change in value of its assets and liabilities.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 to assess profitability before the impact of the items excluded from EBITDA, to provide users with a consistent and comparable measure of profitability, and to facilitate comparisons of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Keel Infrastructure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Keel Infrastructure is a North American digital infrastructure and energy company that develops and owns data centers and energy infrastructure for high-performance computing workloads, including AI. With a pipeline of 2.2 gigawatts and established grid interconnections already in place, Keel delivers scalable infrastructure solutions in high-demand power markets across Pennsylvania and Washington in the United States, and Québec in Canada. Keel is headquartered in New York City and trades under the ticker symbol “KEEL” on Nasdaq and TSX. Learn more at www.keelinfra.com. The information contained in any website referenced herein is not, and shall not be deemed to be, part of or incorporated by reference into this news release.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2026, Keel became the ultimate parent company of Bitfarms Ltd. and its subsidiaries (“Bitfarms”) pursuant to a statutory plan of arrangement (the “Arrangement”) as part of Bitfarms’ previously announced intention to redomicile from Canada to the United States and rebrand to Keel Infrastructure (the “U.S. Redomiciliation Transaction”). Pursuant to the Arrangement, Keel indirectly acquired all of the issued and outstanding common shares in the capital of Bitfarms, and in exchange, holders of the common shares of Bitfarms received one share of common stock of Keel per common share of Bitfarms. This release is filed by Keel as successor issuer to Bitfarms, but it relates to the financial results for the quarter ended March 31, 2026, which ended prior to the closing of the U.S. Redomiciliation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prospective location of the Company’s facilities to developing AI infrastructure regions, the merits of the expansion of the sites of current facilities, our development pipeline, the availability of funds for the Company’s development activities, the success of the Company’s HPC/AI strategy in general and its ability to capitalize on growing demand for AI computing while securing predictable cash flows and revenue diversification, the benefits of the transition to U.S. GAAP accounting, the Company’s ability to drive greater shareholder value, the benefits of the U.S. Redomiciliation Transaction, and other statements regarding future growth, plans and objectives of the Company are forward-looking information.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high-performance computing (“HPC”) infrastructure, which may not be successful; our dependence on reliable and economical sources of power, including regulated electricity rates in Québec (Canada), Pennsylvania and Washington State (United States);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our increased focus on developing HPC and AI data centers may not become profitable and may divert resources from our Bitcoin mining operations;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the rapidly evolving regulatory landscape surrounding HPC, AI, and Bitcoin mining, which may negatively impact our expansion efforts; the high volatility of Bitcoin prices, which has significantly affected and will continue to affect the profitability of our operations; periodic Bitcoin halving events that reduce mining rewards and could render our mining operations unprofitable; increases in cryptocurrency network difficulty and global computing power that could reduce our mining revenues; our reliance on a single third-party mining pool operator, subjecting us to concentration risk;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potential classification of the Company as a passive foreign investment company, which could result in adverse tax consequences for U.S. holders; the need for additional 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potential dilution to shareholders from future issuances of capital stock, conversion of convertible notes, or exercise of options and warrants; and risks related to the U.S. Redomiciliation Transaction, including the possibility that anticipated benefits may not be realized. For further information concerning these and other risks and uncertainties, refer to Keel’s filings on the U.S. Securities and Exchange Commission (“SEC”) at www.sec.gov) and on www.sedarplus.ca ,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the Company should be considered highly speculative.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Laine Yonker</w:t>
            </w:r>
          </w:p>
        </w:tc>
        <w:tc>
          <w:tcPr>
            <w:tcW w:w="73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Tara Goldstein</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ir@keelinfra.com</w:t>
            </w:r>
          </w:p>
        </w:tc>
        <w:tc>
          <w:tcPr>
            <w:tcW w:w="73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media@keelinfra.com</w:t>
            </w:r>
          </w:p>
        </w:tc>
      </w:tr>
      <w:tr>
        <w:trPr>
          <w:trHeight w:val="655"/>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20" w:type="dxa"/>
            <w:vAlign w:val="bottom"/>
            <w:gridSpan w:val="7"/>
          </w:tcPr>
          <w:p>
            <w:pPr>
              <w:ind w:left="2840"/>
              <w:spacing w:after="0"/>
              <w:rPr>
                <w:sz w:val="20"/>
                <w:szCs w:val="20"/>
                <w:color w:val="auto"/>
              </w:rPr>
            </w:pPr>
            <w:r>
              <w:rPr>
                <w:rFonts w:ascii="Times New Roman" w:cs="Times New Roman" w:eastAsia="Times New Roman" w:hAnsi="Times New Roman"/>
                <w:sz w:val="18"/>
                <w:szCs w:val="18"/>
                <w:b w:val="1"/>
                <w:bCs w:val="1"/>
                <w:color w:val="auto"/>
              </w:rPr>
              <w:t>Keel Infrastructure Corp. Consolidated Financial &amp; Operational Results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47,651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(10,659)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(63,297)</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(47,375)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(26,305)</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4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(26,837)</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(17,618)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(9,219)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(23,033)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digital assets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(1,810)</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(6,787)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 and deposits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557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(1,986)</w:t>
            </w:r>
          </w:p>
        </w:tc>
        <w:tc>
          <w:tcPr>
            <w:tcW w:w="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(98,388)</w:t>
            </w:r>
          </w:p>
        </w:tc>
        <w:tc>
          <w:tcPr>
            <w:tcW w:w="2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(34,841)</w:t>
            </w:r>
          </w:p>
        </w:tc>
        <w:tc>
          <w:tcPr>
            <w:tcW w:w="3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(63,547)</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7"/>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4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3,723</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(3,600)</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(3,415)</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assets and liabilities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(1,564)</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(3,714)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(21,596)</w:t>
            </w:r>
          </w:p>
        </w:tc>
        <w:tc>
          <w:tcPr>
            <w:tcW w:w="6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(6,152)</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(5,939)</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(29,189</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 from continuing operations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(127,577</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(127,574</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(38,373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(89,201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77"/>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Loss from discontinued operations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(17,180)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(145,353</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(55,553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(89,800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Infrastructure in North America.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line="295" w:lineRule="auto"/>
        <w:rPr>
          <w:sz w:val="20"/>
          <w:szCs w:val="20"/>
          <w:color w:val="auto"/>
        </w:rPr>
      </w:pPr>
      <w:r>
        <w:rPr>
          <w:rFonts w:ascii="Times New Roman" w:cs="Times New Roman" w:eastAsia="Times New Roman" w:hAnsi="Times New Roman"/>
          <w:sz w:val="18"/>
          <w:szCs w:val="18"/>
          <w:b w:val="1"/>
          <w:bCs w:val="1"/>
          <w:color w:val="auto"/>
        </w:rPr>
        <w:t>Keel Infrastructure Corp. Reconciliation of Consolidated Net (loss) income from continuing operations to EBITDA and Adjusted EBITDA from Continuing Operations</w:t>
      </w:r>
      <w:r>
        <w:rPr>
          <w:rFonts w:ascii="Times New Roman" w:cs="Times New Roman" w:eastAsia="Times New Roman" w:hAnsi="Times New Roman"/>
          <w:sz w:val="29"/>
          <w:szCs w:val="29"/>
          <w:b w:val="1"/>
          <w:bCs w:val="1"/>
          <w:color w:val="auto"/>
          <w:vertAlign w:val="superscript"/>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 from continuing operations</w:t>
            </w:r>
          </w:p>
        </w:tc>
        <w:tc>
          <w:tcPr>
            <w:tcW w:w="14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(127,577)</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(89,426)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(3,723)</w:t>
            </w:r>
          </w:p>
        </w:tc>
        <w:tc>
          <w:tcPr>
            <w:tcW w:w="34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(802)</w:t>
            </w:r>
          </w:p>
        </w:tc>
        <w:tc>
          <w:tcPr>
            <w:tcW w:w="3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(2,921)</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3,600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3,415</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27,694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00" w:type="dxa"/>
            <w:vAlign w:val="bottom"/>
            <w:shd w:val="clear" w:color="auto" w:fill="000000"/>
          </w:tcPr>
          <w:p>
            <w:pPr>
              <w:spacing w:after="0"/>
              <w:rPr>
                <w:sz w:val="2"/>
                <w:szCs w:val="2"/>
                <w:color w:val="auto"/>
              </w:rPr>
            </w:pPr>
          </w:p>
        </w:tc>
        <w:tc>
          <w:tcPr>
            <w:tcW w:w="340" w:type="dxa"/>
            <w:vAlign w:val="bottom"/>
            <w:tcBorders>
              <w:right w:val="single" w:sz="8" w:color="CCEEFF"/>
            </w:tcBorders>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(100,006)</w:t>
            </w: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(79,686)</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 (gain) on disposition of digital assets</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6,787</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1,986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assets and liabilities</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1,564</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21,596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Costs not associated with ongoing operations </w:t>
            </w:r>
            <w:r>
              <w:rPr>
                <w:rFonts w:ascii="Times New Roman" w:cs="Times New Roman" w:eastAsia="Times New Roman" w:hAnsi="Times New Roman"/>
                <w:sz w:val="29"/>
                <w:szCs w:val="29"/>
                <w:color w:val="auto"/>
                <w:vertAlign w:val="superscript"/>
              </w:rPr>
              <w:t>(1)</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6,032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7"/>
        </w:trPr>
        <w:tc>
          <w:tcPr>
            <w:tcW w:w="57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expense (income) </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6,153</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6,497</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not associated with ongoing operations for Q1 2026 includes $5.0 million of professional fees related to the U.S. redomicilation and $1.0 million related to the U.S. GAAP conversion. Costs not associated with ongoing operations for Q1 2025 include $1.6 million of professional fees related to the acquisition of Stronghold and $0.1 million related to the sale of Yguazu.</w:t>
      </w:r>
    </w:p>
    <w:p>
      <w:pPr>
        <w:spacing w:after="0" w:line="176" w:lineRule="exact"/>
        <w:rPr>
          <w:sz w:val="20"/>
          <w:szCs w:val="20"/>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for Q1 2026 includes $6.2 million of other financial expense included in Other expenses (income) of the Statement of Operations, of which $4.2 million is related to the provision for receivables, $1.6 million related to the amortization of the credit facility transaction costs and the $0.2 million loss on exchange rates. Other income for Q1 2025 includes a $0.6 million gain on disposal of PPE, a $0.1 million loss on exchange rates and $0.1 million of other financial expense included in Other expenses (income) of the Statement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2026-05-11T06:04:28Z</dcterms:created>
  <dcterms:modified xsi:type="dcterms:W3CDTF">2026-05-11T06:04:28Z</dcterms:modified>
</cp:coreProperties>
</file>