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55,040,197.00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61,975,700.00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61,975,700.00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18 to Schedule 13D ("Amendment No. 18")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6 dated June 24, 2024, Amendment No. 7 dated July 31, 2024, Amendment No. 8 dated August 5, 2024, Amendment No. 9 dated August 9, 2024, Amendment No. 10 dated August 14, 2024, Amendment No. 11 dated August 21, 2024, Amendment No. 12 dated September 5, 2024, Amendment No. 13 dated September 23, 2024, Amendment No. 14 dated April 9, 2025, Amendment No. 15 dated June 6, 2025, Amendment No. 16 dated June 20, 2025 and Amendment No. 17 dated July 1, 2025, the "Schedule 13D") by Riot Platforms, Inc., a Nevada corporation (the "Reporting Person"), relating to the Common Shares, no par value per share (the "Common Shares"), of Bitfarms Ltd., a corporation incorporated under the Canada Business Corporations Act and continued under the Business Corporations Act (Ontario) (the "Company"), whose principal executive offices are located at 110 Yonge Street, Suite</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1601, Toronto, Ontario, M5C 1T4. Except as specifically amended by this Amendment No. 18, the Schedule 13D is unchanged.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Item 5(a) and (b) of the Schedule 13D is hereby amended and restated to read in full as follows: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 used herein is calculated based on an aggregate of 555,961,590 Common Shares outstanding, based on the</w:t>
      </w:r>
    </w:p>
    <w:p>
      <w:pPr>
        <w:spacing w:after="0" w:line="1" w:lineRule="exact"/>
        <w:rPr>
          <w:sz w:val="20"/>
          <w:szCs w:val="20"/>
          <w:color w:val="auto"/>
        </w:rPr>
      </w:pPr>
    </w:p>
    <w:p>
      <w:pPr>
        <w:ind w:left="920" w:right="100" w:hanging="912"/>
        <w:spacing w:after="0" w:line="244"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contained in the Company's management information circular, filed on SEDAR+ on June 9, 2025. As previously described in the Schedule 13D, the Reporting Person has granted to the Company and any of its designees an irrevocable proxy with respect to any Common Shares the voting power of which represents in excess of 9.9% of the total voting power of all securities of the Company entitled to vote for the election of directors of the Company from time to time outstanding. As a result of such proxy, the Reporting Person currently exercises voting power over approximately 55,040,197, or approximately 9.9%, of the outstanding Common Shares.</w:t>
      </w:r>
    </w:p>
    <w:p>
      <w:pPr>
        <w:spacing w:after="0" w:line="14"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of this Amendment No. 18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Information concerning the Common Shares sold by the Reporting Person since the Reporting Person's last filing on</w:t>
      </w:r>
    </w:p>
    <w:p>
      <w:pPr>
        <w:spacing w:after="0" w:line="25" w:lineRule="exact"/>
        <w:rPr>
          <w:rFonts w:ascii="Times New Roman" w:cs="Times New Roman" w:eastAsia="Times New Roman" w:hAnsi="Times New Roman"/>
          <w:sz w:val="22"/>
          <w:szCs w:val="22"/>
          <w:color w:val="auto"/>
        </w:rPr>
      </w:pPr>
    </w:p>
    <w:p>
      <w:pPr>
        <w:jc w:val="both"/>
        <w:ind w:left="920" w:right="3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is set forth in Schedule A hereto and is incorporated herein by reference. Except as described in this Amendment No. 18, none of the Reporting Person nor any director or officer of the Reporting Person has effected any transactions in the Common Shares since the Reporting Person's last filing on Schedule 13D.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A to Item 5 of this Amendment No. 18</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Colin Yee/Chief Financial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07/08/2025</w:t>
      </w:r>
    </w:p>
    <w:p>
      <w:pPr>
        <w:sectPr>
          <w:pgSz w:w="11900" w:h="16838" w:orient="portrait"/>
          <w:cols w:equalWidth="0" w:num="1">
            <w:col w:w="11160"/>
          </w:cols>
          <w:pgMar w:left="360" w:top="11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sold by (or on behalf of) the Reporting Person since the Reporting Person’s last filing on Schedule 13D on July 1, 2025, all of which were sold on the open market. The Common Shares were sold in multiple transactions at prices within the ranges indicated in the Price Range column. The Reporting Person undertakes to provide to the staff of the Securities and Exchange Commission, upon request, full information regarding the number of Common Shares sold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680" w:type="dxa"/>
            <w:vAlign w:val="bottom"/>
          </w:tcPr>
          <w:p>
            <w:pPr>
              <w:spacing w:after="0"/>
              <w:rPr>
                <w:sz w:val="18"/>
                <w:szCs w:val="18"/>
                <w:color w:val="auto"/>
              </w:rPr>
            </w:pP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Sold</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7/3/2025</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3,880,351</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 – 1.07</w:t>
            </w: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7/7/2025</w:t>
            </w:r>
          </w:p>
        </w:tc>
        <w:tc>
          <w:tcPr>
            <w:tcW w:w="1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1,089,328</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 – 1.06</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7/8/2025</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1,362,997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 – 1.09</w:t>
            </w:r>
          </w:p>
        </w:tc>
      </w:tr>
      <w:tr>
        <w:trPr>
          <w:trHeight w:val="67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2025-07-08T18:16:51Z</dcterms:created>
  <dcterms:modified xsi:type="dcterms:W3CDTF">2025-07-08T18:16:51Z</dcterms:modified>
</cp:coreProperties>
</file>