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157480</wp:posOffset>
            </wp:positionV>
            <wp:extent cx="7132320" cy="171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191770</wp:posOffset>
            </wp:positionV>
            <wp:extent cx="7132320" cy="88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UNITED STATES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SECURITIES AND EXCHANGE COMMISSION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Washington, D.C. 20549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142875</wp:posOffset>
            </wp:positionV>
            <wp:extent cx="7132320" cy="171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3" w:lineRule="exact"/>
        <w:rPr>
          <w:sz w:val="24"/>
          <w:szCs w:val="24"/>
          <w:color w:val="auto"/>
        </w:rPr>
      </w:pPr>
    </w:p>
    <w:p>
      <w:pPr>
        <w:ind w:left="51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FORM 6-K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154305</wp:posOffset>
            </wp:positionV>
            <wp:extent cx="7132320" cy="171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REPORT OF FOREIGN PRIVATE ISSUER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PURSUANT TO RULE 13a-16 OR 15d-16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UNDER THE SECURITIES EXCHANGE ACT OF 1934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For the month of September 2023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154305</wp:posOffset>
            </wp:positionV>
            <wp:extent cx="7132320" cy="1714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42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Commission File Number: 001-40370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154305</wp:posOffset>
            </wp:positionV>
            <wp:extent cx="7132320" cy="1714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BITFARMS LTD.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(Exact Name of Registrant as Specified in Its Charter)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142875</wp:posOffset>
            </wp:positionV>
            <wp:extent cx="7132320" cy="1714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3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18 King Street East, Suite 902, Toronto, Ontario, Canada M5C 1C4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(Address of principal executive offices)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142875</wp:posOffset>
            </wp:positionV>
            <wp:extent cx="7132320" cy="1714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Indicate by check mark whether the registrant files or will file annual reports under cover of Form 20-F or Form 40-F.</w:t>
      </w:r>
    </w:p>
    <w:p>
      <w:pPr>
        <w:spacing w:after="0" w:line="203" w:lineRule="exact"/>
        <w:rPr>
          <w:sz w:val="24"/>
          <w:szCs w:val="24"/>
          <w:color w:val="auto"/>
        </w:rPr>
      </w:pPr>
    </w:p>
    <w:p>
      <w:pPr>
        <w:ind w:left="4380"/>
        <w:spacing w:after="0" w:line="207" w:lineRule="exact"/>
        <w:tabs>
          <w:tab w:leader="none" w:pos="58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 xml:space="preserve">Form 20-F </w:t>
      </w:r>
      <w:r>
        <w:rPr>
          <w:rFonts w:ascii="MS PGothic" w:cs="MS PGothic" w:eastAsia="MS PGothic" w:hAnsi="MS PGothic"/>
          <w:sz w:val="18"/>
          <w:szCs w:val="18"/>
          <w:color w:val="auto"/>
        </w:rPr>
        <w:t>☐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6"/>
          <w:szCs w:val="16"/>
          <w:color w:val="auto"/>
        </w:rPr>
        <w:t xml:space="preserve">Form 40-F </w:t>
      </w:r>
      <w:r>
        <w:rPr>
          <w:rFonts w:ascii="MS PGothic" w:cs="MS PGothic" w:eastAsia="MS PGothic" w:hAnsi="MS PGothic"/>
          <w:sz w:val="16"/>
          <w:szCs w:val="16"/>
          <w:color w:val="auto"/>
        </w:rPr>
        <w:t>☒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180340</wp:posOffset>
            </wp:positionV>
            <wp:extent cx="713232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206375</wp:posOffset>
            </wp:positionV>
            <wp:extent cx="7132320" cy="1714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497840</wp:posOffset>
            </wp:positionV>
            <wp:extent cx="7132320" cy="17145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139"/>
          </w:cols>
          <w:pgMar w:left="320" w:top="513" w:right="1440" w:bottom="1440" w:gutter="0" w:footer="0" w:header="0"/>
        </w:sectPr>
      </w:pPr>
    </w:p>
    <w:bookmarkStart w:id="1" w:name="page2"/>
    <w:bookmarkEnd w:id="1"/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INCORPORATION BY REFERENCE</w:t>
      </w:r>
    </w:p>
    <w:p>
      <w:pPr>
        <w:spacing w:after="0" w:line="229" w:lineRule="exact"/>
        <w:rPr>
          <w:sz w:val="20"/>
          <w:szCs w:val="20"/>
          <w:color w:val="auto"/>
        </w:rPr>
      </w:pPr>
    </w:p>
    <w:p>
      <w:pPr>
        <w:spacing w:after="0" w:line="27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On September 13, 2023, the Registrant filed with the Canadian Securities Regulatory Authorities on the System for Electronic Data Analysis and Retrieval (SEDAR) a press release, a copy of which is attached hereto as Exhibit 99.1, and which is incorporated herein by reference.</w:t>
      </w:r>
    </w:p>
    <w:p>
      <w:pPr>
        <w:spacing w:after="0" w:line="166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Exhibits</w:t>
      </w:r>
    </w:p>
    <w:p>
      <w:pPr>
        <w:spacing w:after="0" w:line="225" w:lineRule="exact"/>
        <w:rPr>
          <w:sz w:val="20"/>
          <w:szCs w:val="20"/>
          <w:color w:val="auto"/>
        </w:rPr>
      </w:pPr>
    </w:p>
    <w:p>
      <w:pPr>
        <w:ind w:left="20"/>
        <w:spacing w:after="0"/>
        <w:tabs>
          <w:tab w:leader="none" w:pos="1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Exhibit No.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Description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17145</wp:posOffset>
            </wp:positionV>
            <wp:extent cx="7132320" cy="154305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1543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ind w:left="20"/>
        <w:spacing w:after="0"/>
        <w:tabs>
          <w:tab w:leader="none" w:pos="1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99.1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u w:val="single" w:color="auto"/>
          <w:color w:val="0000EE"/>
        </w:rPr>
        <w:t>Press release dated September 13, 2023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41" w:lineRule="exact"/>
        <w:rPr>
          <w:sz w:val="20"/>
          <w:szCs w:val="20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1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14605</wp:posOffset>
            </wp:positionV>
            <wp:extent cx="7132320" cy="17145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240"/>
          </w:cols>
          <w:pgMar w:left="320" w:top="904" w:right="339" w:bottom="1440" w:gutter="0" w:footer="0" w:header="0"/>
        </w:sectPr>
      </w:pPr>
    </w:p>
    <w:bookmarkStart w:id="2" w:name="page3"/>
    <w:bookmarkEnd w:id="2"/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SIGNATURE</w:t>
      </w:r>
    </w:p>
    <w:p>
      <w:pPr>
        <w:spacing w:after="0" w:line="229" w:lineRule="exact"/>
        <w:rPr>
          <w:sz w:val="20"/>
          <w:szCs w:val="20"/>
          <w:color w:val="auto"/>
        </w:rPr>
      </w:pPr>
    </w:p>
    <w:p>
      <w:pPr>
        <w:spacing w:after="0" w:line="27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Pursuant to the requirements of the Securities Exchange Act of 1934, the registrant has duly caused this report to be signed on its behalf by the undersigned, thereunto duly authorized.</w:t>
      </w:r>
    </w:p>
    <w:p>
      <w:pPr>
        <w:spacing w:after="0" w:line="166" w:lineRule="exact"/>
        <w:rPr>
          <w:sz w:val="20"/>
          <w:szCs w:val="20"/>
          <w:color w:val="auto"/>
        </w:rPr>
      </w:pPr>
    </w:p>
    <w:p>
      <w:pPr>
        <w:ind w:left="6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BITFARMS LTD.</w:t>
      </w:r>
    </w:p>
    <w:p>
      <w:pPr>
        <w:spacing w:after="0" w:line="229" w:lineRule="exact"/>
        <w:rPr>
          <w:sz w:val="20"/>
          <w:szCs w:val="20"/>
          <w:color w:val="auto"/>
        </w:rPr>
      </w:pPr>
    </w:p>
    <w:p>
      <w:pPr>
        <w:ind w:left="6760"/>
        <w:spacing w:after="0"/>
        <w:tabs>
          <w:tab w:leader="none" w:pos="72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By:</w:t>
        <w:tab/>
        <w:t>/s/ L. Geoffrey Morphy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4582795</wp:posOffset>
            </wp:positionH>
            <wp:positionV relativeFrom="paragraph">
              <wp:posOffset>14605</wp:posOffset>
            </wp:positionV>
            <wp:extent cx="2554605" cy="17145"/>
            <wp:wrapNone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54605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ind w:left="72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Name: L. Geoffrey Morphy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ind w:left="7220"/>
        <w:spacing w:after="0"/>
        <w:tabs>
          <w:tab w:leader="none" w:pos="7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Title: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6"/>
          <w:szCs w:val="16"/>
          <w:color w:val="auto"/>
        </w:rPr>
        <w:t>President and Chief Executive Officer</w:t>
      </w:r>
    </w:p>
    <w:p>
      <w:pPr>
        <w:spacing w:after="0" w:line="2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Date: September 13, 2023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41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2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14605</wp:posOffset>
            </wp:positionV>
            <wp:extent cx="7132320" cy="17145"/>
            <wp:wrapNone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240"/>
          </w:cols>
          <w:pgMar w:left="320" w:top="904" w:right="339" w:bottom="1440" w:gutter="0" w:footer="0" w:header="0"/>
        </w:sectPr>
      </w:pPr>
    </w:p>
    <w:bookmarkStart w:id="3" w:name="page4"/>
    <w:bookmarkEnd w:id="3"/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Exhibit 99.1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2542540</wp:posOffset>
            </wp:positionH>
            <wp:positionV relativeFrom="paragraph">
              <wp:posOffset>154305</wp:posOffset>
            </wp:positionV>
            <wp:extent cx="2031365" cy="531495"/>
            <wp:wrapNone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1365" cy="5314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07" w:lineRule="exact"/>
        <w:rPr>
          <w:sz w:val="20"/>
          <w:szCs w:val="20"/>
          <w:color w:val="auto"/>
        </w:rPr>
      </w:pPr>
    </w:p>
    <w:p>
      <w:pPr>
        <w:ind w:left="3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5"/>
          <w:szCs w:val="25"/>
          <w:b w:val="1"/>
          <w:bCs w:val="1"/>
          <w:color w:val="auto"/>
        </w:rPr>
        <w:t>Bitfarms to Deliver Strategy and Vision at</w:t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ind w:left="3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5"/>
          <w:szCs w:val="25"/>
          <w:b w:val="1"/>
          <w:bCs w:val="1"/>
          <w:color w:val="auto"/>
        </w:rPr>
        <w:t>Analyst and Investor Day September 14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th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- Provides webcast information to attend virtually -</w:t>
      </w:r>
    </w:p>
    <w:p>
      <w:pPr>
        <w:spacing w:after="0" w:line="205" w:lineRule="exact"/>
        <w:rPr>
          <w:sz w:val="20"/>
          <w:szCs w:val="20"/>
          <w:color w:val="auto"/>
        </w:rPr>
      </w:pPr>
    </w:p>
    <w:p>
      <w:pPr>
        <w:jc w:val="both"/>
        <w:spacing w:after="0" w:line="22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 xml:space="preserve">Toronto, Ontario and Brossard, Québec (September 13, 2023) </w:t>
      </w:r>
      <w:r>
        <w:rPr>
          <w:rFonts w:ascii="Arial" w:cs="Arial" w:eastAsia="Arial" w:hAnsi="Arial"/>
          <w:sz w:val="18"/>
          <w:szCs w:val="18"/>
          <w:color w:val="auto"/>
        </w:rPr>
        <w:t>- Bitfarms Ltd. (</w:t>
      </w:r>
      <w:r>
        <w:rPr>
          <w:rFonts w:ascii="Arial" w:cs="Arial" w:eastAsia="Arial" w:hAnsi="Arial"/>
          <w:sz w:val="18"/>
          <w:szCs w:val="18"/>
          <w:u w:val="single" w:color="auto"/>
          <w:color w:val="auto"/>
        </w:rPr>
        <w:t>NASDAQ: BITF//TSX: BITF</w:t>
      </w:r>
      <w:r>
        <w:rPr>
          <w:rFonts w:ascii="Arial" w:cs="Arial" w:eastAsia="Arial" w:hAnsi="Arial"/>
          <w:sz w:val="18"/>
          <w:szCs w:val="18"/>
          <w:color w:val="auto"/>
        </w:rPr>
        <w:t>), a global vertically integrated Bitcoin</w:t>
      </w: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 xml:space="preserve"> </w:t>
      </w:r>
      <w:r>
        <w:rPr>
          <w:rFonts w:ascii="Arial" w:cs="Arial" w:eastAsia="Arial" w:hAnsi="Arial"/>
          <w:sz w:val="18"/>
          <w:szCs w:val="18"/>
          <w:color w:val="auto"/>
        </w:rPr>
        <w:t>mining company, will hold its Analyst and Investor Day on September 14</w:t>
      </w:r>
      <w:r>
        <w:rPr>
          <w:rFonts w:ascii="Arial" w:cs="Arial" w:eastAsia="Arial" w:hAnsi="Arial"/>
          <w:sz w:val="29"/>
          <w:szCs w:val="29"/>
          <w:color w:val="auto"/>
          <w:vertAlign w:val="superscript"/>
        </w:rPr>
        <w:t>th</w:t>
      </w:r>
      <w:r>
        <w:rPr>
          <w:rFonts w:ascii="Arial" w:cs="Arial" w:eastAsia="Arial" w:hAnsi="Arial"/>
          <w:sz w:val="18"/>
          <w:szCs w:val="18"/>
          <w:color w:val="auto"/>
        </w:rPr>
        <w:t>, 2023, in New York City. The senior leadership team will provide a detailed review of Bitfarms’ strategy and vision as well as conduct interactive Q&amp;A sessions.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u w:val="single" w:color="auto"/>
          <w:color w:val="auto"/>
        </w:rPr>
        <w:t>Bitfarms Analyst and Investor Day Agenda</w:t>
      </w:r>
    </w:p>
    <w:p>
      <w:pPr>
        <w:spacing w:after="0" w:line="225" w:lineRule="exact"/>
        <w:rPr>
          <w:sz w:val="20"/>
          <w:szCs w:val="20"/>
          <w:color w:val="auto"/>
        </w:rPr>
      </w:pPr>
    </w:p>
    <w:p>
      <w:pPr>
        <w:ind w:left="660" w:hanging="652"/>
        <w:spacing w:after="0"/>
        <w:tabs>
          <w:tab w:leader="none" w:pos="660" w:val="left"/>
        </w:tabs>
        <w:numPr>
          <w:ilvl w:val="0"/>
          <w:numId w:val="1"/>
        </w:numPr>
        <w:rPr>
          <w:rFonts w:ascii="Arial" w:cs="Arial" w:eastAsia="Arial" w:hAnsi="Arial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Fueling strategic and profitable growth:</w:t>
      </w:r>
    </w:p>
    <w:p>
      <w:pPr>
        <w:spacing w:after="0" w:line="225" w:lineRule="exact"/>
        <w:rPr>
          <w:sz w:val="20"/>
          <w:szCs w:val="20"/>
          <w:color w:val="auto"/>
        </w:rPr>
      </w:pPr>
    </w:p>
    <w:p>
      <w:pPr>
        <w:ind w:left="660" w:hanging="652"/>
        <w:spacing w:after="0"/>
        <w:tabs>
          <w:tab w:leader="none" w:pos="660" w:val="left"/>
        </w:tabs>
        <w:numPr>
          <w:ilvl w:val="0"/>
          <w:numId w:val="2"/>
        </w:numPr>
        <w:rPr>
          <w:rFonts w:ascii="Arial" w:cs="Arial" w:eastAsia="Arial" w:hAnsi="Arial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Executing development initiatives:</w:t>
      </w:r>
    </w:p>
    <w:p>
      <w:pPr>
        <w:spacing w:after="0" w:line="225" w:lineRule="exact"/>
        <w:rPr>
          <w:sz w:val="20"/>
          <w:szCs w:val="20"/>
          <w:color w:val="auto"/>
        </w:rPr>
      </w:pPr>
    </w:p>
    <w:p>
      <w:pPr>
        <w:ind w:left="660" w:hanging="652"/>
        <w:spacing w:after="0"/>
        <w:tabs>
          <w:tab w:leader="none" w:pos="660" w:val="left"/>
        </w:tabs>
        <w:numPr>
          <w:ilvl w:val="0"/>
          <w:numId w:val="3"/>
        </w:numPr>
        <w:rPr>
          <w:rFonts w:ascii="Arial" w:cs="Arial" w:eastAsia="Arial" w:hAnsi="Arial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Capturing opportunity in Latin America:</w:t>
      </w:r>
    </w:p>
    <w:p>
      <w:pPr>
        <w:spacing w:after="0" w:line="225" w:lineRule="exact"/>
        <w:rPr>
          <w:sz w:val="20"/>
          <w:szCs w:val="20"/>
          <w:color w:val="auto"/>
        </w:rPr>
      </w:pPr>
    </w:p>
    <w:p>
      <w:pPr>
        <w:ind w:left="1340" w:right="5820" w:hanging="1332"/>
        <w:spacing w:after="0" w:line="261" w:lineRule="auto"/>
        <w:tabs>
          <w:tab w:leader="none" w:pos="647" w:val="left"/>
        </w:tabs>
        <w:numPr>
          <w:ilvl w:val="0"/>
          <w:numId w:val="4"/>
        </w:numPr>
        <w:rPr>
          <w:rFonts w:ascii="Arial" w:cs="Arial" w:eastAsia="Arial" w:hAnsi="Arial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 xml:space="preserve">Differentiating through miner procurement and management: </w:t>
      </w:r>
      <w:r>
        <w:rPr>
          <w:rFonts w:ascii="Arial" w:cs="Arial" w:eastAsia="Arial" w:hAnsi="Arial"/>
          <w:sz w:val="18"/>
          <w:szCs w:val="18"/>
          <w:color w:val="auto"/>
        </w:rPr>
        <w:t>Chief Mining Officer Ben Gagnon</w:t>
      </w:r>
    </w:p>
    <w:p>
      <w:pPr>
        <w:ind w:left="660" w:hanging="652"/>
        <w:spacing w:after="0"/>
        <w:tabs>
          <w:tab w:leader="none" w:pos="660" w:val="left"/>
        </w:tabs>
        <w:numPr>
          <w:ilvl w:val="0"/>
          <w:numId w:val="4"/>
        </w:numPr>
        <w:rPr>
          <w:rFonts w:ascii="Arial" w:cs="Arial" w:eastAsia="Arial" w:hAnsi="Arial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Delivering excellence in farm development and operations: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left="1340" w:right="7360" w:hanging="1332"/>
        <w:spacing w:after="0" w:line="276" w:lineRule="auto"/>
        <w:tabs>
          <w:tab w:leader="none" w:pos="647" w:val="left"/>
        </w:tabs>
        <w:numPr>
          <w:ilvl w:val="0"/>
          <w:numId w:val="5"/>
        </w:numPr>
        <w:rPr>
          <w:rFonts w:ascii="Arial" w:cs="Arial" w:eastAsia="Arial" w:hAnsi="Arial"/>
          <w:sz w:val="17"/>
          <w:szCs w:val="17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 xml:space="preserve">Leveraging MGMT proprietary software: </w:t>
      </w:r>
      <w:r>
        <w:rPr>
          <w:rFonts w:ascii="Arial" w:cs="Arial" w:eastAsia="Arial" w:hAnsi="Arial"/>
          <w:sz w:val="17"/>
          <w:szCs w:val="17"/>
          <w:color w:val="auto"/>
        </w:rPr>
        <w:t>Director IT Guillaume Reeves</w:t>
      </w:r>
    </w:p>
    <w:p>
      <w:pPr>
        <w:ind w:left="660" w:hanging="652"/>
        <w:spacing w:after="0"/>
        <w:tabs>
          <w:tab w:leader="none" w:pos="660" w:val="left"/>
        </w:tabs>
        <w:numPr>
          <w:ilvl w:val="0"/>
          <w:numId w:val="5"/>
        </w:numPr>
        <w:rPr>
          <w:rFonts w:ascii="Arial" w:cs="Arial" w:eastAsia="Arial" w:hAnsi="Arial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Implementing “BOW” Bitfarms Operating Way: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left="1300" w:right="7480" w:hanging="1292"/>
        <w:spacing w:after="0" w:line="293" w:lineRule="auto"/>
        <w:tabs>
          <w:tab w:leader="none" w:pos="652" w:val="left"/>
        </w:tabs>
        <w:numPr>
          <w:ilvl w:val="0"/>
          <w:numId w:val="6"/>
        </w:numPr>
        <w:rPr>
          <w:rFonts w:ascii="Arial" w:cs="Arial" w:eastAsia="Arial" w:hAnsi="Arial"/>
          <w:sz w:val="16"/>
          <w:szCs w:val="16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 xml:space="preserve">Executing prudent financial strategy: </w:t>
      </w:r>
      <w:r>
        <w:rPr>
          <w:rFonts w:ascii="Arial" w:cs="Arial" w:eastAsia="Arial" w:hAnsi="Arial"/>
          <w:sz w:val="16"/>
          <w:szCs w:val="16"/>
          <w:color w:val="auto"/>
        </w:rPr>
        <w:t>Chief Financial Officer Jeff Lucas</w:t>
      </w:r>
    </w:p>
    <w:p>
      <w:pPr>
        <w:spacing w:after="0" w:line="1" w:lineRule="exact"/>
        <w:rPr>
          <w:rFonts w:ascii="Arial" w:cs="Arial" w:eastAsia="Arial" w:hAnsi="Arial"/>
          <w:sz w:val="16"/>
          <w:szCs w:val="16"/>
          <w:color w:val="auto"/>
        </w:rPr>
      </w:pPr>
    </w:p>
    <w:p>
      <w:pPr>
        <w:ind w:left="660" w:hanging="652"/>
        <w:spacing w:after="0"/>
        <w:tabs>
          <w:tab w:leader="none" w:pos="660" w:val="left"/>
        </w:tabs>
        <w:numPr>
          <w:ilvl w:val="0"/>
          <w:numId w:val="6"/>
        </w:numPr>
        <w:rPr>
          <w:rFonts w:ascii="Arial" w:cs="Arial" w:eastAsia="Arial" w:hAnsi="Arial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Initiating Hedging/HODL strategies: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left="660" w:hanging="652"/>
        <w:spacing w:after="0"/>
        <w:tabs>
          <w:tab w:leader="none" w:pos="660" w:val="left"/>
        </w:tabs>
        <w:numPr>
          <w:ilvl w:val="0"/>
          <w:numId w:val="7"/>
        </w:numPr>
        <w:rPr>
          <w:rFonts w:ascii="Arial" w:cs="Arial" w:eastAsia="Arial" w:hAnsi="Arial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Driving Sustainability:</w:t>
      </w:r>
    </w:p>
    <w:p>
      <w:pPr>
        <w:spacing w:after="0" w:line="225" w:lineRule="exact"/>
        <w:rPr>
          <w:sz w:val="20"/>
          <w:szCs w:val="20"/>
          <w:color w:val="auto"/>
        </w:rPr>
      </w:pPr>
    </w:p>
    <w:p>
      <w:pPr>
        <w:ind w:left="1340" w:right="5980" w:hanging="1332"/>
        <w:spacing w:after="0" w:line="293" w:lineRule="auto"/>
        <w:tabs>
          <w:tab w:leader="none" w:pos="647" w:val="left"/>
        </w:tabs>
        <w:numPr>
          <w:ilvl w:val="0"/>
          <w:numId w:val="8"/>
        </w:numPr>
        <w:rPr>
          <w:rFonts w:ascii="Arial" w:cs="Arial" w:eastAsia="Arial" w:hAnsi="Arial"/>
          <w:sz w:val="16"/>
          <w:szCs w:val="16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 xml:space="preserve">Providing stability and structure through risk management: </w:t>
      </w:r>
      <w:r>
        <w:rPr>
          <w:rFonts w:ascii="Arial" w:cs="Arial" w:eastAsia="Arial" w:hAnsi="Arial"/>
          <w:sz w:val="16"/>
          <w:szCs w:val="16"/>
          <w:color w:val="auto"/>
        </w:rPr>
        <w:t>VP Finance &amp; Accounting Marc-Andre Ammann</w:t>
      </w:r>
    </w:p>
    <w:p>
      <w:pPr>
        <w:spacing w:after="0" w:line="1" w:lineRule="exact"/>
        <w:rPr>
          <w:rFonts w:ascii="Arial" w:cs="Arial" w:eastAsia="Arial" w:hAnsi="Arial"/>
          <w:sz w:val="16"/>
          <w:szCs w:val="16"/>
          <w:color w:val="auto"/>
        </w:rPr>
      </w:pPr>
    </w:p>
    <w:p>
      <w:pPr>
        <w:ind w:left="660" w:hanging="652"/>
        <w:spacing w:after="0"/>
        <w:tabs>
          <w:tab w:leader="none" w:pos="660" w:val="left"/>
        </w:tabs>
        <w:numPr>
          <w:ilvl w:val="0"/>
          <w:numId w:val="8"/>
        </w:numPr>
        <w:rPr>
          <w:rFonts w:ascii="Arial" w:cs="Arial" w:eastAsia="Arial" w:hAnsi="Arial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Positioning for the Halving and beyond: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13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All participants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434340</wp:posOffset>
            </wp:positionV>
            <wp:extent cx="7132320" cy="17145"/>
            <wp:wrapNone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240"/>
          </w:cols>
          <w:pgMar w:left="320" w:top="121" w:right="339" w:bottom="1440" w:gutter="0" w:footer="0" w:header="0"/>
        </w:sectPr>
      </w:pPr>
    </w:p>
    <w:bookmarkStart w:id="4" w:name="page5"/>
    <w:bookmarkEnd w:id="4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u w:val="single" w:color="auto"/>
          <w:color w:val="auto"/>
        </w:rPr>
        <w:t>Join In Person</w:t>
      </w:r>
    </w:p>
    <w:p>
      <w:pPr>
        <w:spacing w:after="0" w:line="229" w:lineRule="exact"/>
        <w:rPr>
          <w:sz w:val="20"/>
          <w:szCs w:val="20"/>
          <w:color w:val="auto"/>
        </w:rPr>
      </w:pPr>
    </w:p>
    <w:p>
      <w:pPr>
        <w:ind w:left="6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i w:val="1"/>
          <w:iCs w:val="1"/>
          <w:color w:val="auto"/>
        </w:rPr>
        <w:t>Register in person in advance here.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-121920</wp:posOffset>
            </wp:positionV>
            <wp:extent cx="7132320" cy="274320"/>
            <wp:wrapNone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274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5" w:lineRule="exact"/>
        <w:rPr>
          <w:sz w:val="20"/>
          <w:szCs w:val="20"/>
          <w:color w:val="auto"/>
        </w:rPr>
      </w:pPr>
    </w:p>
    <w:p>
      <w:pPr>
        <w:ind w:left="6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i w:val="1"/>
          <w:iCs w:val="1"/>
          <w:color w:val="auto"/>
        </w:rPr>
        <w:t>At Convene, 75 Rockefeller Plaza, New York City</w:t>
      </w:r>
    </w:p>
    <w:p>
      <w:pPr>
        <w:spacing w:after="0" w:line="225" w:lineRule="exact"/>
        <w:rPr>
          <w:sz w:val="20"/>
          <w:szCs w:val="20"/>
          <w:color w:val="auto"/>
        </w:rPr>
      </w:pPr>
    </w:p>
    <w:p>
      <w:pPr>
        <w:ind w:left="980" w:hanging="324"/>
        <w:spacing w:after="0"/>
        <w:tabs>
          <w:tab w:leader="none" w:pos="980" w:val="left"/>
        </w:tabs>
        <w:numPr>
          <w:ilvl w:val="0"/>
          <w:numId w:val="9"/>
        </w:numPr>
        <w:rPr>
          <w:rFonts w:ascii="Arial" w:cs="Arial" w:eastAsia="Arial" w:hAnsi="Arial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8:00 – 9:00 am ET Continental breakfast</w:t>
      </w:r>
    </w:p>
    <w:p>
      <w:pPr>
        <w:spacing w:after="0" w:line="225" w:lineRule="exact"/>
        <w:rPr>
          <w:rFonts w:ascii="Arial" w:cs="Arial" w:eastAsia="Arial" w:hAnsi="Arial"/>
          <w:sz w:val="18"/>
          <w:szCs w:val="18"/>
          <w:color w:val="auto"/>
        </w:rPr>
      </w:pPr>
    </w:p>
    <w:p>
      <w:pPr>
        <w:ind w:left="980" w:hanging="324"/>
        <w:spacing w:after="0"/>
        <w:tabs>
          <w:tab w:leader="none" w:pos="980" w:val="left"/>
        </w:tabs>
        <w:numPr>
          <w:ilvl w:val="0"/>
          <w:numId w:val="9"/>
        </w:numPr>
        <w:rPr>
          <w:rFonts w:ascii="Arial" w:cs="Arial" w:eastAsia="Arial" w:hAnsi="Arial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9:00 am - Noon ET Program</w:t>
      </w:r>
    </w:p>
    <w:p>
      <w:pPr>
        <w:spacing w:after="0" w:line="225" w:lineRule="exact"/>
        <w:rPr>
          <w:rFonts w:ascii="Arial" w:cs="Arial" w:eastAsia="Arial" w:hAnsi="Arial"/>
          <w:sz w:val="18"/>
          <w:szCs w:val="18"/>
          <w:color w:val="auto"/>
        </w:rPr>
      </w:pPr>
    </w:p>
    <w:p>
      <w:pPr>
        <w:ind w:left="980" w:hanging="324"/>
        <w:spacing w:after="0"/>
        <w:tabs>
          <w:tab w:leader="none" w:pos="980" w:val="left"/>
        </w:tabs>
        <w:numPr>
          <w:ilvl w:val="0"/>
          <w:numId w:val="9"/>
        </w:numPr>
        <w:rPr>
          <w:rFonts w:ascii="Arial" w:cs="Arial" w:eastAsia="Arial" w:hAnsi="Arial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Noon ET Lunch</w:t>
      </w:r>
    </w:p>
    <w:p>
      <w:pPr>
        <w:spacing w:after="0" w:line="225" w:lineRule="exact"/>
        <w:rPr>
          <w:rFonts w:ascii="Arial" w:cs="Arial" w:eastAsia="Arial" w:hAnsi="Arial"/>
          <w:sz w:val="18"/>
          <w:szCs w:val="18"/>
          <w:color w:val="auto"/>
        </w:rPr>
      </w:pPr>
    </w:p>
    <w:p>
      <w:pPr>
        <w:ind w:left="980" w:hanging="324"/>
        <w:spacing w:after="0"/>
        <w:tabs>
          <w:tab w:leader="none" w:pos="980" w:val="left"/>
        </w:tabs>
        <w:numPr>
          <w:ilvl w:val="0"/>
          <w:numId w:val="9"/>
        </w:numPr>
        <w:rPr>
          <w:rFonts w:ascii="Arial" w:cs="Arial" w:eastAsia="Arial" w:hAnsi="Arial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1:00 pm ET Conclusion</w:t>
      </w:r>
    </w:p>
    <w:p>
      <w:pPr>
        <w:spacing w:after="0" w:line="2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u w:val="single" w:color="auto"/>
          <w:color w:val="auto"/>
          <w:highlight w:val="white"/>
        </w:rPr>
        <w:t>Webcast Registration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-119380</wp:posOffset>
            </wp:positionV>
            <wp:extent cx="7132320" cy="274320"/>
            <wp:wrapNone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274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9" w:lineRule="exact"/>
        <w:rPr>
          <w:sz w:val="20"/>
          <w:szCs w:val="20"/>
          <w:color w:val="auto"/>
        </w:rPr>
      </w:pPr>
    </w:p>
    <w:p>
      <w:pPr>
        <w:jc w:val="both"/>
        <w:spacing w:after="0" w:line="27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  <w:highlight w:val="white"/>
        </w:rPr>
        <w:t xml:space="preserve">A webcast of the event, along with supporting materials, will be available on the company’s Investor Relations website at </w:t>
      </w:r>
      <w:r>
        <w:rPr>
          <w:rFonts w:ascii="Arial" w:cs="Arial" w:eastAsia="Arial" w:hAnsi="Arial"/>
          <w:sz w:val="18"/>
          <w:szCs w:val="18"/>
          <w:color w:val="auto"/>
        </w:rPr>
        <w:t>IR Calendar.</w:t>
      </w:r>
      <w:r>
        <w:rPr>
          <w:rFonts w:ascii="Arial" w:cs="Arial" w:eastAsia="Arial" w:hAnsi="Arial"/>
          <w:sz w:val="18"/>
          <w:szCs w:val="18"/>
          <w:color w:val="auto"/>
          <w:highlight w:val="white"/>
        </w:rPr>
        <w:t xml:space="preserve"> If you have not done so, interested parties may register for the webcast in advance here:</w:t>
      </w:r>
    </w:p>
    <w:p>
      <w:pPr>
        <w:spacing w:after="0" w:line="17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Bitfarms Analyst &amp; Investor Day Webcast Registration</w:t>
      </w:r>
    </w:p>
    <w:p>
      <w:pPr>
        <w:spacing w:after="0" w:line="22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  <w:highlight w:val="white"/>
        </w:rPr>
        <w:t>A replay of the webcast and related presentation materials will also be made available following the conclusion of the event.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-121920</wp:posOffset>
            </wp:positionV>
            <wp:extent cx="7132320" cy="548640"/>
            <wp:wrapNone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5486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For more information, interested parties may contact LHA Investor Relations at bitfarms@lhai.com.</w:t>
      </w:r>
    </w:p>
    <w:p>
      <w:pPr>
        <w:spacing w:after="0" w:line="2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About Bitfarms Ltd.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-119380</wp:posOffset>
            </wp:positionV>
            <wp:extent cx="7132320" cy="274320"/>
            <wp:wrapNone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274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9" w:lineRule="exact"/>
        <w:rPr>
          <w:sz w:val="20"/>
          <w:szCs w:val="20"/>
          <w:color w:val="auto"/>
        </w:rPr>
      </w:pPr>
    </w:p>
    <w:p>
      <w:pPr>
        <w:jc w:val="both"/>
        <w:ind w:left="20" w:hanging="9"/>
        <w:spacing w:after="0" w:line="26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Founded in 2017, Bitfarms is a global, publicly traded (NASDAQ/TSX: BITF) Bitcoin mining company. Bitfarms develops, owns, and operates vertically integrated mining farms with in-house management and company-owned electrical engineering, installation service, and multiple onsite technical repair centers. The Company’s proprietary data analytics system delivers best-in-class operational performance and uptime.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13335</wp:posOffset>
            </wp:positionH>
            <wp:positionV relativeFrom="paragraph">
              <wp:posOffset>-422275</wp:posOffset>
            </wp:positionV>
            <wp:extent cx="7123430" cy="1097280"/>
            <wp:wrapNone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23430" cy="10972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64" w:lineRule="exact"/>
        <w:rPr>
          <w:sz w:val="20"/>
          <w:szCs w:val="20"/>
          <w:color w:val="auto"/>
        </w:rPr>
      </w:pPr>
    </w:p>
    <w:p>
      <w:pPr>
        <w:jc w:val="both"/>
        <w:ind w:left="20" w:hanging="9"/>
        <w:spacing w:after="0" w:line="26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Bitfarms currently has 11 operating farms and 2 farms in development located in four countries: Canada, the United States, Paraguay, and Argentina. Powered by predominantly environmentally friendly hydro-electric and long-term power contracts, Bitfarms is committed to using sustainable, locally based, and often underutilized energy infrastructure.</w:t>
      </w:r>
    </w:p>
    <w:p>
      <w:pPr>
        <w:spacing w:after="0" w:line="18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To learn more about Bitfarms’ events, developments, and online communities: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-121920</wp:posOffset>
            </wp:positionV>
            <wp:extent cx="7132320" cy="1234440"/>
            <wp:wrapNone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1234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Website: www.bitfarms.com</w:t>
      </w:r>
    </w:p>
    <w:p>
      <w:pPr>
        <w:spacing w:after="0" w:line="22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https://www.facebook.com/bitfarms/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https://twitter.com/Bitfarms_io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https://www.instagram.com/bitfarms/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https://www.linkedin.com/company/bitfarms/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27" w:lineRule="exact"/>
        <w:rPr>
          <w:sz w:val="20"/>
          <w:szCs w:val="20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2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14605</wp:posOffset>
            </wp:positionV>
            <wp:extent cx="7132320" cy="17145"/>
            <wp:wrapNone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240"/>
          </w:cols>
          <w:pgMar w:left="320" w:top="904" w:right="339" w:bottom="1440" w:gutter="0" w:footer="0" w:header="0"/>
        </w:sectPr>
      </w:pPr>
    </w:p>
    <w:bookmarkStart w:id="5" w:name="page6"/>
    <w:bookmarkEnd w:id="5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448945</wp:posOffset>
            </wp:positionV>
            <wp:extent cx="7132320" cy="137160"/>
            <wp:wrapNone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Contacts:</w:t>
      </w:r>
    </w:p>
    <w:p>
      <w:pPr>
        <w:spacing w:after="0" w:line="22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LHA Investor Relations</w:t>
      </w:r>
    </w:p>
    <w:p>
      <w:pPr>
        <w:spacing w:after="0" w:line="2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David Barnard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+1 415-433-3777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Investors@bitfarms.com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Actual Agency</w:t>
      </w:r>
    </w:p>
    <w:p>
      <w:pPr>
        <w:spacing w:after="0" w:line="2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Noor Dar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right="7959" w:firstLine="8"/>
        <w:spacing w:after="0" w:line="323" w:lineRule="auto"/>
        <w:tabs>
          <w:tab w:leader="none" w:pos="146" w:val="left"/>
        </w:tabs>
        <w:numPr>
          <w:ilvl w:val="0"/>
          <w:numId w:val="10"/>
        </w:numPr>
        <w:rPr>
          <w:rFonts w:ascii="Arial" w:cs="Arial" w:eastAsia="Arial" w:hAnsi="Arial"/>
          <w:sz w:val="16"/>
          <w:szCs w:val="16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1 516-270-4009 mediarelations@bitfarms.com</w:t>
      </w:r>
    </w:p>
    <w:p>
      <w:pPr>
        <w:spacing w:after="0" w:line="13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Québec Media: Tact</w:t>
      </w:r>
    </w:p>
    <w:p>
      <w:pPr>
        <w:spacing w:after="0" w:line="2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Louis-Martin Leclerc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+1 418-693-2425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lmleclerc@tactconseil.ca</w:t>
      </w:r>
    </w:p>
    <w:p>
      <w:pPr>
        <w:spacing w:after="0" w:line="211" w:lineRule="exact"/>
        <w:rPr>
          <w:sz w:val="20"/>
          <w:szCs w:val="20"/>
          <w:color w:val="auto"/>
        </w:rPr>
      </w:pPr>
    </w:p>
    <w:p>
      <w:pPr>
        <w:jc w:val="right"/>
        <w:ind w:right="44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3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14605</wp:posOffset>
            </wp:positionV>
            <wp:extent cx="7132320" cy="17145"/>
            <wp:wrapNone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0" w:num="1">
        <w:col w:w="10139"/>
      </w:cols>
      <w:pgMar w:left="320" w:top="904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  <w:font w:name="MS PGothic">
    <w:panose1 w:val="020B0600070205080204"/>
    <w:charset w:val="80"/>
    <w:family w:val="swiss"/>
    <w:pitch w:val="variable"/>
    <w:sig w:usb0="E00002FF" w:usb1="6AC7FDFB" w:usb2="08000012" w:usb3="00000000" w:csb0="4002009F" w:csb1="DFD70000"/>
  </w:font>
</w:fonts>
</file>

<file path=word/numbering.xml><?xml version="1.0" encoding="utf-8"?>
<w:numbering xmlns:w="http://schemas.openxmlformats.org/wordprocessingml/2006/main">
  <w:abstractNum w:abstractNumId="0">
    <w:nsid w:val="3D1B58BA"/>
    <w:multiLevelType w:val="hybridMultilevel"/>
    <w:lvl w:ilvl="0">
      <w:lvlJc w:val="left"/>
      <w:lvlText w:val="●"/>
      <w:numFmt w:val="bullet"/>
      <w:start w:val="1"/>
    </w:lvl>
  </w:abstractNum>
  <w:abstractNum w:abstractNumId="1">
    <w:nsid w:val="507ED7AB"/>
    <w:multiLevelType w:val="hybridMultilevel"/>
    <w:lvl w:ilvl="0">
      <w:lvlJc w:val="left"/>
      <w:lvlText w:val="●"/>
      <w:numFmt w:val="bullet"/>
      <w:start w:val="1"/>
    </w:lvl>
  </w:abstractNum>
  <w:abstractNum w:abstractNumId="2">
    <w:nsid w:val="2EB141F2"/>
    <w:multiLevelType w:val="hybridMultilevel"/>
    <w:lvl w:ilvl="0">
      <w:lvlJc w:val="left"/>
      <w:lvlText w:val="●"/>
      <w:numFmt w:val="bullet"/>
      <w:start w:val="1"/>
    </w:lvl>
  </w:abstractNum>
  <w:abstractNum w:abstractNumId="3">
    <w:nsid w:val="41B71EFB"/>
    <w:multiLevelType w:val="hybridMultilevel"/>
    <w:lvl w:ilvl="0">
      <w:lvlJc w:val="left"/>
      <w:lvlText w:val="●"/>
      <w:numFmt w:val="bullet"/>
      <w:start w:val="1"/>
    </w:lvl>
  </w:abstractNum>
  <w:abstractNum w:abstractNumId="4">
    <w:nsid w:val="79E2A9E3"/>
    <w:multiLevelType w:val="hybridMultilevel"/>
    <w:lvl w:ilvl="0">
      <w:lvlJc w:val="left"/>
      <w:lvlText w:val="●"/>
      <w:numFmt w:val="bullet"/>
      <w:start w:val="1"/>
    </w:lvl>
  </w:abstractNum>
  <w:abstractNum w:abstractNumId="5">
    <w:nsid w:val="7545E146"/>
    <w:multiLevelType w:val="hybridMultilevel"/>
    <w:lvl w:ilvl="0">
      <w:lvlJc w:val="left"/>
      <w:lvlText w:val="●"/>
      <w:numFmt w:val="bullet"/>
      <w:start w:val="1"/>
    </w:lvl>
  </w:abstractNum>
  <w:abstractNum w:abstractNumId="6">
    <w:nsid w:val="515F007C"/>
    <w:multiLevelType w:val="hybridMultilevel"/>
    <w:lvl w:ilvl="0">
      <w:lvlJc w:val="left"/>
      <w:lvlText w:val="●"/>
      <w:numFmt w:val="bullet"/>
      <w:start w:val="1"/>
    </w:lvl>
  </w:abstractNum>
  <w:abstractNum w:abstractNumId="7">
    <w:nsid w:val="5BD062C2"/>
    <w:multiLevelType w:val="hybridMultilevel"/>
    <w:lvl w:ilvl="0">
      <w:lvlJc w:val="left"/>
      <w:lvlText w:val="●"/>
      <w:numFmt w:val="bullet"/>
      <w:start w:val="1"/>
    </w:lvl>
  </w:abstractNum>
  <w:abstractNum w:abstractNumId="8">
    <w:nsid w:val="12200854"/>
    <w:multiLevelType w:val="hybridMultilevel"/>
    <w:lvl w:ilvl="0">
      <w:lvlJc w:val="left"/>
      <w:lvlText w:val="●"/>
      <w:numFmt w:val="bullet"/>
      <w:start w:val="1"/>
    </w:lvl>
  </w:abstractNum>
  <w:abstractNum w:abstractNumId="9">
    <w:nsid w:val="4DB127F8"/>
    <w:multiLevelType w:val="hybridMultilevel"/>
    <w:lvl w:ilvl="0">
      <w:lvlJc w:val="left"/>
      <w:lvlText w:val="+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png"/><Relationship Id="rId15" Type="http://schemas.openxmlformats.org/officeDocument/2006/relationships/image" Target="media/image8.png"/><Relationship Id="rId16" Type="http://schemas.openxmlformats.org/officeDocument/2006/relationships/image" Target="media/image9.png"/><Relationship Id="rId17" Type="http://schemas.openxmlformats.org/officeDocument/2006/relationships/image" Target="media/image10.png"/><Relationship Id="rId18" Type="http://schemas.openxmlformats.org/officeDocument/2006/relationships/image" Target="media/image11.png"/><Relationship Id="rId19" Type="http://schemas.openxmlformats.org/officeDocument/2006/relationships/image" Target="media/image12.png"/><Relationship Id="rId20" Type="http://schemas.openxmlformats.org/officeDocument/2006/relationships/image" Target="media/image13.png"/><Relationship Id="rId21" Type="http://schemas.openxmlformats.org/officeDocument/2006/relationships/image" Target="media/image14.png"/><Relationship Id="rId22" Type="http://schemas.openxmlformats.org/officeDocument/2006/relationships/image" Target="media/image15.png"/><Relationship Id="rId23" Type="http://schemas.openxmlformats.org/officeDocument/2006/relationships/image" Target="media/image16.jpeg"/><Relationship Id="rId24" Type="http://schemas.openxmlformats.org/officeDocument/2006/relationships/image" Target="media/image17.png"/><Relationship Id="rId25" Type="http://schemas.openxmlformats.org/officeDocument/2006/relationships/image" Target="media/image18.png"/><Relationship Id="rId26" Type="http://schemas.openxmlformats.org/officeDocument/2006/relationships/image" Target="media/image19.png"/><Relationship Id="rId27" Type="http://schemas.openxmlformats.org/officeDocument/2006/relationships/image" Target="media/image20.png"/><Relationship Id="rId28" Type="http://schemas.openxmlformats.org/officeDocument/2006/relationships/image" Target="media/image21.png"/><Relationship Id="rId29" Type="http://schemas.openxmlformats.org/officeDocument/2006/relationships/image" Target="media/image22.png"/><Relationship Id="rId30" Type="http://schemas.openxmlformats.org/officeDocument/2006/relationships/image" Target="media/image23.png"/><Relationship Id="rId31" Type="http://schemas.openxmlformats.org/officeDocument/2006/relationships/image" Target="media/image24.png"/><Relationship Id="rId32" Type="http://schemas.openxmlformats.org/officeDocument/2006/relationships/image" Target="media/image25.png"/><Relationship Id="rId33" Type="http://schemas.openxmlformats.org/officeDocument/2006/relationships/image" Target="media/image26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2023-09-13T15:11:00Z</dcterms:created>
  <dcterms:modified xsi:type="dcterms:W3CDTF">2023-09-13T15:11:00Z</dcterms:modified>
</cp:coreProperties>
</file>