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09173B107</w:t>
            </w:r>
          </w:p>
        </w:tc>
        <w:tc>
          <w:tcPr>
            <w:tcW w:w="7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Page 2 of 7</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SCHEDULE 13D</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Riot Platforms, Inc.</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9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Borders>
              <w:right w:val="single" w:sz="8" w:color="auto"/>
            </w:tcBorders>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80" w:type="dxa"/>
            <w:vAlign w:val="bottom"/>
            <w:tcBorders>
              <w:left w:val="single" w:sz="8" w:color="auto"/>
              <w:right w:val="single" w:sz="8" w:color="auto"/>
            </w:tcBorders>
          </w:tcPr>
          <w:p>
            <w:pPr>
              <w:spacing w:after="0"/>
              <w:rPr>
                <w:sz w:val="12"/>
                <w:szCs w:val="12"/>
                <w:color w:val="auto"/>
              </w:rPr>
            </w:pPr>
          </w:p>
        </w:tc>
        <w:tc>
          <w:tcPr>
            <w:tcW w:w="2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8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7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242424"/>
              </w:rPr>
              <w:t>WC</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9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7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10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Nevada</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6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36,856,350</w:t>
            </w: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60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7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20"/>
                <w:szCs w:val="20"/>
                <w:color w:val="auto"/>
              </w:rPr>
            </w:pPr>
          </w:p>
        </w:tc>
        <w:tc>
          <w:tcPr>
            <w:tcW w:w="6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tcPr>
          <w:p>
            <w:pPr>
              <w:jc w:val="center"/>
              <w:ind w:right="3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7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7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36,856,350</w:t>
            </w:r>
          </w:p>
        </w:tc>
        <w:tc>
          <w:tcPr>
            <w:tcW w:w="7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tcBorders>
          </w:tcPr>
          <w:p>
            <w:pPr>
              <w:spacing w:after="0"/>
              <w:rPr>
                <w:sz w:val="2"/>
                <w:szCs w:val="2"/>
                <w:color w:val="auto"/>
              </w:rPr>
            </w:pPr>
          </w:p>
        </w:tc>
        <w:tc>
          <w:tcPr>
            <w:tcW w:w="2260" w:type="dxa"/>
            <w:vAlign w:val="bottom"/>
            <w:tcBorders>
              <w:right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226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AGGREGATE AMOUNT BENEFICIALLY</w:t>
            </w: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OWNED BY EACH REPORTING PERSON</w:t>
            </w: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36,856,350</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780" w:type="dxa"/>
            <w:vAlign w:val="bottom"/>
            <w:tcBorders>
              <w:bottom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9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242424"/>
              </w:rPr>
              <w:t>9.25%</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2"/>
        </w:trPr>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relates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 (f) This Statement is being filed by Riot Platforms, Inc., a Nevada corporation (“</w:t>
      </w:r>
      <w:r>
        <w:rPr>
          <w:rFonts w:ascii="Times New Roman" w:cs="Times New Roman" w:eastAsia="Times New Roman" w:hAnsi="Times New Roman"/>
          <w:sz w:val="18"/>
          <w:szCs w:val="18"/>
          <w:u w:val="single" w:color="auto"/>
          <w:color w:val="auto"/>
        </w:rPr>
        <w:t>Riot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whose principal executive offices are located at 3855 Ambrosia Street, Suite 301, Castle Rock, CO 80109. The common stock of Riot is listed for trading on the Nasdaq Capital Market under the trading symbol “RIOT”.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 is a vertically integrated Bitcoin mining company principally engaged in enhancing its capabilities to mine Bitcoin in support of the Bitcoin blockchain. Riot also provides comprehensive and critical infrastructure for institutional-scale Bitcoin mining at its large-scale Bitcoin mining facilities in Milam County, Texas, and Navarro County, Texas.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General Instruction C to Schedule 13D is attached hereto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hereby incorporated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 The Reporting Person and the individuals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have not,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below is hereby incorporated by reference into this Item 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US$72,122,651.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22, 2024, the Reporting Person sent a letter (the “</w:t>
      </w:r>
      <w:r>
        <w:rPr>
          <w:rFonts w:ascii="Times New Roman" w:cs="Times New Roman" w:eastAsia="Times New Roman" w:hAnsi="Times New Roman"/>
          <w:sz w:val="18"/>
          <w:szCs w:val="18"/>
          <w:u w:val="single" w:color="auto"/>
          <w:color w:val="auto"/>
        </w:rPr>
        <w:t>First Letter</w:t>
      </w:r>
      <w:r>
        <w:rPr>
          <w:rFonts w:ascii="Times New Roman" w:cs="Times New Roman" w:eastAsia="Times New Roman" w:hAnsi="Times New Roman"/>
          <w:sz w:val="18"/>
          <w:szCs w:val="18"/>
          <w:color w:val="auto"/>
        </w:rPr>
        <w:t>”)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that set out the Reporting Person’s non-binding proposal to acquire all of the outstanding Common Shares of the Company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for consideration of US$2.30 per Common Share, to be paid with a combination of cash and shares of the Reporting Person’s common stock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foregoing summary of the First Letter is not intended to be complete and is qualified in its entirety by reference to the full text of the First Letter,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42424"/>
        </w:rPr>
        <w:t>May 28</w:t>
      </w:r>
      <w:r>
        <w:rPr>
          <w:rFonts w:ascii="Times New Roman" w:cs="Times New Roman" w:eastAsia="Times New Roman" w:hAnsi="Times New Roman"/>
          <w:sz w:val="18"/>
          <w:szCs w:val="18"/>
          <w:color w:val="auto"/>
        </w:rPr>
        <w:t>, 2024, the Reporting Person sent a letter to the Board (the “</w:t>
      </w:r>
      <w:r>
        <w:rPr>
          <w:rFonts w:ascii="Times New Roman" w:cs="Times New Roman" w:eastAsia="Times New Roman" w:hAnsi="Times New Roman"/>
          <w:sz w:val="18"/>
          <w:szCs w:val="18"/>
          <w:u w:val="single" w:color="auto"/>
          <w:color w:val="auto"/>
        </w:rPr>
        <w:t>Second Letter</w:t>
      </w:r>
      <w:r>
        <w:rPr>
          <w:rFonts w:ascii="Times New Roman" w:cs="Times New Roman" w:eastAsia="Times New Roman" w:hAnsi="Times New Roman"/>
          <w:sz w:val="18"/>
          <w:szCs w:val="18"/>
          <w:color w:val="auto"/>
        </w:rPr>
        <w:t xml:space="preserve">”) reiterating the Proposed Transaction at the Purchase Price. The Second Letter also advised the Board that the Reporting Person had acquired approximately 9.25% of the Common Shares and indicated that the Reporting Person currently intends to requisition a special meeting of the Company’s shareholders, at which the Reporting Person intends to nominate several well-qualified and independent directors to join the Company’s Board. The foregoing summary of the Second Letter is not intended to be complete and is qualified in its entirety by reference to the full text of the Second Letter, which is filed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hereto and is incorporated herein by reference.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42424"/>
        </w:rPr>
        <w:t>May 28</w:t>
      </w:r>
      <w:r>
        <w:rPr>
          <w:rFonts w:ascii="Times New Roman" w:cs="Times New Roman" w:eastAsia="Times New Roman" w:hAnsi="Times New Roman"/>
          <w:sz w:val="18"/>
          <w:szCs w:val="18"/>
          <w:color w:val="auto"/>
        </w:rPr>
        <w:t xml:space="preserve">, 2024, the Reporting Person issued a press release publicly announcing the Proposed Transaction and that the Reporting Person had acquired approximately 9.25% of the Common Shares.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hereto and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proposal, nor this Statement is meant to be, nor should be construed as, an offer to buy or the solicitation of an offer to sell any of the Company’s securities.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Person intends to review its investment in the Company on a continuing basis and depending upon various factors, including without limitation, the Board’s response, if any, to the Proposed Transaction and any discussion between the Reporting Person and the Board relating thereto, the Company’s financial position and strategic direction, overall market conditions, other investment opportunities available to the Reporting Person, and the availability of securities of the Company at prices that would make the purchase or sale of such securities desirable, the Reporting Person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their economic exposure to the Common Shares without affecting its beneficial ownership of the Common Shares; or (iii) consider or propose one or more of the actions described in subparagraphs (a) - (j) of Item 4 of Schedule 13D.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Proposed Transaction is consummated, it would result in, among other things, (i) the acquisition by the Reporting Person of additional securities of the Company, (ii) a change of control of the Company, (iii) a change in the board of directors or management of the Company, (iv) the de-listing of the Common Shares from the Nasdaq Stock Market, and (v) the de-registration of the Common Shares under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8"/>
        <w:spacing w:after="0" w:line="258"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percentages used herein are calculated based on an aggregate of 398,587,000 Common Shares reported by the Company to be outstanding as of May 14, 2024 in its Management’s Discussion and Analysis for the three months ended March 31, 2024, filed as Exhibit 99.2 to the Company’s Report of Foreign Private Issuer filed on Form 6-K on May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0"/>
          <w:szCs w:val="20"/>
          <w:color w:val="auto"/>
        </w:rPr>
      </w:pPr>
    </w:p>
    <w:p>
      <w:pPr>
        <w:ind w:firstLine="8"/>
        <w:spacing w:after="0" w:line="282" w:lineRule="auto"/>
        <w:tabs>
          <w:tab w:leader="none" w:pos="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concerning the Common Shares purchased by (or on behalf of) the Reporting Person during the 60-day period prior to this filing is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is incorporated herein by reference.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 is known to have the right to receive or the power to direct the receipt of dividends from, or the proceeds from the sale of, the Common Shares beneficially owned by the Reporting Person.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6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April 22, 2024 Letter to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 May 28, 2024 Letter to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3: Press Release of the Reporting Person,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7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May 28,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the Reporting Person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directors and executive officers of the Reporting Person. Unless otherwise specified below, the business address and address of the organization of principal occupation or employment of each director and executive officer of the Reporting Person is 3855 Ambrosia Street, Suite 301 Castle Rock, CO, USA 80109.</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Benjamin Yi</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55"/>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Jason Les</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Hubert Marleau</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0"/>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Hannah Cho</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5"/>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Lance D’Ambrosio</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7"/>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Colin Yee</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7"/>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Jackman</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55"/>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Jason Chung</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Head of Corporate Development &amp; Strategy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3"/>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Ryan Werner</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672"/>
        </w:trPr>
        <w:tc>
          <w:tcPr>
            <w:tcW w:w="25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Transactions in Common Shares by the Reporting Person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purchased by (or on behalf of) the Reporting Person during the 60-day period prior to this filing, all of which were purchased in the open market. The Common Shares were purchased in multiple transactions at prices within the ranges indicated in the Price Range column. The Reporting Person undertakes to provide to the staff of the Securities and Exchange Commission, upon request, full information regarding the number of Common Shares purchased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2680" w:type="dxa"/>
            <w:vAlign w:val="bottom"/>
          </w:tcPr>
          <w:p>
            <w:pPr>
              <w:spacing w:after="0"/>
              <w:rPr>
                <w:sz w:val="18"/>
                <w:szCs w:val="18"/>
                <w:color w:val="auto"/>
              </w:rPr>
            </w:pPr>
          </w:p>
        </w:tc>
      </w:tr>
      <w:tr>
        <w:trPr>
          <w:trHeight w:val="238"/>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7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 Share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153,692</w:t>
            </w:r>
          </w:p>
        </w:tc>
        <w:tc>
          <w:tcPr>
            <w:tcW w:w="2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2.24</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2.23 – 2.25</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825,000</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2.23 – 2.32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2,100,000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2.17</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 – 2.19</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4/03/2024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1,462,848</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2.23</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 – 2.25</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1.73</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1.72 – 1.75</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1,750,000</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1.76</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 – 1.82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4/18/2024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2,207,398</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 – 1.96</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2,200,000</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1.92</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 – 1.97</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4/22/2024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2,600,000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1.91 – 2.07</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268,946</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2.10</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2.06 – 2.12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120,824</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1.95</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1.94 – 1.96</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879,176</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1.92</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 – 1.95</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1,438,529</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1.77</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1.66 – 1.86</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5/16/2024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1,200,000</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1.80</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 – 1.84</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767,490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1.79</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 – 1.85</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5/21/2024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6,229,769</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1.87</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1.82 – 1.92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5/22/2024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6,505,000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2.03</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1.86 – 2.11</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5/23/2024</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3,997,678</w:t>
            </w: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1.95 – 2.10</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5/24/2024</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2.05</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 – 2.11</w:t>
            </w:r>
          </w:p>
        </w:tc>
      </w:tr>
      <w:tr>
        <w:trPr>
          <w:trHeight w:val="675"/>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ind w:left="10540"/>
        <w:spacing w:after="0"/>
        <w:rPr>
          <w:sz w:val="20"/>
          <w:szCs w:val="20"/>
          <w:color w:val="auto"/>
        </w:rPr>
      </w:pPr>
      <w:r>
        <w:rPr>
          <w:rFonts w:ascii="Times New Roman" w:cs="Times New Roman" w:eastAsia="Times New Roman" w:hAnsi="Times New Roman"/>
          <w:sz w:val="17"/>
          <w:szCs w:val="17"/>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91335"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13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Howlett, Lead Independent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Nicolas and Brian: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at Riot Platforms Inc. (“Riot”) have long known and admired Bitfarms Ltd. (“Bitfarms”) and your successful development of a vertically-integrated platform comprised of geographically diverse sites predominantly powered by environmentally-friendly hydroelectric energy. As we have discussed in the past, we firmly believe that a combination of Bitfarms and Riot would create the premier, and largest, publicly-listed Bitcoin miner globally, with 52 EH/s of self-mining capacity by the end of 2024 and geographically diversified operations well positioned for long-term growth. We are confident that a combination of our two companies would generate significant benefits for stockholders of both Bitfarms and Riot, and are pleased to deliver this confidential non-binding proposal affirming our interest in a potential transaction (a “Transaction”).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Riot’s vision is to be the world’s leading Bitcoin-driven infrastructure platform. Our industry leading vertically-integrated approach to mining is demonstrated by the 700 MW of operating capacity at our Rockdale Facility, believed to be the largest Bitcoin mining facility in North America, and our recently energized Corsicana Facility which will have one gigawatt of total capacity when fully developed. We are strong believers in the vertically-integrated business model for Bitcoin mining and believe that Bitfarms’s strategy aligns well with ours.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Therefore, we are pleased to submit this non-binding proposal to acquire 100% of the equity interests of Bitfarms at a price of US$2.30 for each outstanding Bitfarms common share. This represents a premium of 20% to the closing share price of Bitfarms on April 19, 2024. The consideration delivered to Bitfarms shareholders will be a mix of cash and Riot common stock that would result in Bitfarms shareholders owning no more than 17% of the outstanding common stock of the combined company upon consummation of a Transaction. A Transaction will not require Riot stockholder approval and there will be no financing contingency for the cash portion of the purchase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proposal offers compelling value for Bitfarms shareholders, with a significant premium above Bitfarms’s current share price and the opportunity to receive Riot common stock and participate in the success of what will become the largest publicly-listed Bitcoin miner. Given our successful experience in executing strategic transactions, particularly evidenced by our acquisition of Whinstone US, Inc. in 2021, we are extremely confident that a Transaction with Riot will maximize speed and certainty of a successful closing for Bitfarms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plan is for Bitfarms to operate as Riot’s international expansion arm and for our respective management teams to work together to aggressively pursue expansion and increase economies of scale across our combined sites. Bitfarms would also benefit from Riot’s unmatched balance sheet strength, with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corporate debt, US$685 million in cash on hand and 8,490 unencumbered Bitcoin as of March 31, 2024, and significant access to public equity markets, all of which will enable Riot to fully finance Bitfarms’s current and future growth plans.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proposed Transaction is our highest strategic priority and has the full support of our entire Board of Directors. Together with our advisors at Citi and Paul Weiss, we have invested considerable time in the preparation of this proposal based on publicly available information. We would, however, expect to have a limited period of customary due diligence with access to appropriate information and your management team to confirm our understanding of Bitfarms. We are prepared to sign a mutually agreeable non-disclosure agreement to enter into these diligence discussions expeditiously, in parallel with which we would also negotiate and finalize definitive transaction agreements.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letter contains a non-binding offer and is not intended to be legally binding, to constitute an offer capable of acceptance or to grant or impose any rights, obligations, or liability on any part. The final terms and conditions of a Transaction would be subject to the approval of our respective Boards of Directors and the finalization of mutually acceptable transaction agreements. The existence of this letter and its contents are to be held in the strictest confidence by each party and may not be disclosed to anyone other than to key representatives of each party that need to know such existence and contents in connection with a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behalf of our Board of Directors and management team, we would like to reiterate our commitment to the successful combination of our two organizations. We look forward to hearing your response to this proposal and look forward to working with you to create the world’s leading Bitcoin mining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Yours sincerely,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Benjamin Yi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Jason Les</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Benjamin Yi, Executive Chairman</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Les, Chief Executive Officer</w:t>
            </w:r>
          </w:p>
        </w:tc>
      </w:tr>
      <w:tr>
        <w:trPr>
          <w:trHeight w:val="68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91335"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13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12121"/>
        </w:rPr>
        <w:t>Riot Platforms, Inc.</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12121"/>
        </w:rPr>
        <w:t>3855 Ambrosia Street, Suite 301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12121"/>
        </w:rPr>
        <w:t>Castle Rock, CO 80109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May 28,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w:t>
      </w:r>
    </w:p>
    <w:p>
      <w:pPr>
        <w:spacing w:after="0" w:line="22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We were surprised by your swift rejection of our April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proposal without the benefit of a thorough and informed evaluation. Further, we are disappointed that we have not been able to engage with you in any meaningful way regarding the strategic and financial merits of combining our two companies given the historic opportunity this would afford Bitfarms’ shareholders. Based on the serious governance questions raised below, we believe that the confidentiality agreement that you demanded we execute – which originally included a standstill of more than three years – was designed to give the Bitfarms Board complete control over whether our proposal was properly considered irrespective of the best interests of Bitfarms’ shareholders.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you know, this is not the first time we have expressed an interest in discussing a potential combination with you, and after repeated attempts to do so have not progressed, we have decided to publicly disclose our proposal. Bitfarms’ shareholders should have the opportunity to decide if they prefer the substantial premium and high degree of certainty offered by our proposal, or if they would rather continue to accept the significant risk that Bitfarms can realize its full potential for shareholders through the execution of its strategic plan given Bitfarms’ problematic governance structure and the Board’s recent concerning actions.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as the single largest shareholder of Bitfarms, with ownership of 9.25% of Bitfarms’ common shares, we are deeply concerned that the founders on Bitfarms’ Board – Nicolas Bonta and Emiliano Grodzki – may be entrenching themselves rather than acting in the best interests of all Bitfarms’ shareholders. These concerns have only been heightened by the abrupt termination of the Bitfarms CEO without a transition plan in place during a critical period of execution for Bitfarms and the industry, as well as the allegations, if accurate, made against certain members of Bitfarms’ Board by the ex-CEO in his lawsuit. In light of our serious governance concerns, we currently intend to requisition a special meeting of Bitfarms’ shareholders, at which we would nominate several well-qualified and independent directors to join the Bitfarms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have transparently discussed in the past, we firmly believe that a combination of Bitfarms and Riot would create the premier and largest publicly listed Bitcoin miner globally, with a combined pro forma 19.6 EH/s of current self-mining capacity, 52 EH/s of self-mining capacity forecasted by year-end, a stronger financial position to support Bitfarms’ growth plans and unmatched geographically diversified operations. We are confident that a combination of our two companies would generate significant benefits for stakeholders of both Bitfarms and Riot.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reiterate our original proposal to acquire 100% of Bitfarms’ common shares at a price of US$2.30 per share. This represents a premium of 24% to Bitfarms’ one-month volume-weighted average share price as of May 24, 2024. The consideration offered to Bitfarms’ shareholders under the proposal will consist of a mix of cash and Riot common stock that would result in Bitfarms’ shareholders owning up to approximately 17% of the outstanding common stock of the combined company upon consummation of a merger between Bitfarms and Riot. The proposed transaction will not require Riot shareholder approval and there will be no financing contingency for the cash portion of the purchase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proposal offers compelling value for Bitfarms’ shareholders, with a significant premium above Bitfarms’ recent share price. The opportunity to receive Riot common stock will allow Bitfarms’ shareholders to participate in the significant upside potential of what will become the largest publicly listed Bitcoin miner. Given our successful experience in executing strategic transactions, particularly evidenced by our acquisition of Whinstone US, Inc. in 2021, we are extremely confident that a transaction with Riot will be in the best interests of all of Bitfarms’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jc w:val="right"/>
        <w:ind w:right="20"/>
        <w:spacing w:after="0"/>
        <w:rPr>
          <w:sz w:val="20"/>
          <w:szCs w:val="20"/>
          <w:color w:val="auto"/>
        </w:rPr>
      </w:pPr>
      <w:r>
        <w:rPr>
          <w:rFonts w:ascii="Times New Roman" w:cs="Times New Roman" w:eastAsia="Times New Roman" w:hAnsi="Times New Roman"/>
          <w:sz w:val="18"/>
          <w:szCs w:val="18"/>
          <w:color w:val="212121"/>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72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720090"/>
                    </a:xfrm>
                    <a:prstGeom prst="rect">
                      <a:avLst/>
                    </a:prstGeom>
                    <a:noFill/>
                  </pic:spPr>
                </pic:pic>
              </a:graphicData>
            </a:graphic>
          </wp:anchor>
        </w:drawing>
        <w:t>Riot Platforms, Inc.</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12121"/>
        </w:rPr>
        <w:t>3855 Ambrosia Street, Suite 301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12121"/>
        </w:rPr>
        <w:t>Castle Rock, CO 80109</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Riot’s vision is to be the world’s leading Bitcoin-driven infrastructure platform. Our industry-leading, vertically-integrated approach to mining is demonstrated by the 700 MW of operating capacity at our Rockdale Facility, believed to be the largest Bitcoin mining facility in North America, and our recently energized Corsicana Facility, which will have one gigawatt of total capacity when fully developed. We are strong believers in the vertically-integrated business model for Bitcoin mining and believe that Bitfarms’ strategy aligns well with ours.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plan is for Bitfarms to operate as Riot’s international expansion arm and for Bitfarms’ well-respected management team to stay on and work together with us to aggressively pursue expansion and increase economies of scale across our combined sites. Bitfarms would also benefit from Riot’s balance sheet strength, with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corporate debt, more than US$700 million in cash on hand and 8,872 unencumbered Bitcoin as of April 30, 2024, and significant access to public equity markets, all of which will enable Riot to fully finance Bitfarms’ growth plans.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proposed transaction is our highest strategic priority and has the full support of our entire Board of Directors. Together with our advisors, we have invested considerable time in the preparation of this proposal based on publicly available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constitutes a non-binding proposal and is not intended to be legally binding, to constitute an offer capable of acceptance or to grant or impose any rights, obligations, or liability on any part. The final terms and conditions of a transaction would be subject to the approval of our respective Boards of Directors and the finalization of mutually acceptable arrangement and support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and management team, we would like to reiterate our commitment to the successful combination of our two organizations. We look forward to hearing your response and to working with your shareholders to create the world’s leading Bitcoin mining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Yours sincerely,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Benjamin Yi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Jason Les</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Benjamin Yi, Executive Chairman</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Jason Les, Chief Executive Officer</w:t>
            </w:r>
          </w:p>
        </w:tc>
      </w:tr>
      <w:tr>
        <w:trPr>
          <w:trHeight w:val="657"/>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9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Proposes to Acquire Bitfarms for US$2.30 Per Share to Create the World’s Largest Publicly Listed Bitcoin Miner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Would Deliver Shareholders Substantial Value, Reflecting a 24% Premium to Bitfarms’ One-Month Volume Weighted Average Price</w:t>
      </w:r>
    </w:p>
    <w:p>
      <w:pPr>
        <w:spacing w:after="0" w:line="225"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Combination Would Enhance Bitfarms’ Financial Profile, Enabling Investments in Future Growth and Providing a Compelling Opportunity to Participate in Significant Upside of the Combined Company</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Riot Has Acquired a 9.25% Stake to Become Bitfarms’ Largest Shareholder; Intends to Requisition a Special Meeting of Bitfarms’ Shareholders to Add New Independent Directors to Bitfarms’ Board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CASTLE ROCK, Colo., May 28, 2024 – Riot Platforms, Inc. (NASDAQ: RIOT) (“Riot” or the “Company”) today announced that it has made a proposal to the Bitfarms Board of Directors (the “Bitfarms Board”) to acquire all of the outstanding shares of Bitfarms Ltd. (NASDAQ/TSX: BITF) (“Bitfarms”) at a price of US$2.30 per Bitfarms common share (the “Proposal”). Riot also announced that it has accumulated a 9.25% stake in Bitfarms to become Bitfarms’ largest shareholder.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represents a 24% premium to Bitfarms’ one-month volume-weighted average share price as of May 24, 2024. Further, it represents a 20% premium to Bitfarms’ share price on April 19, 2024, the last day of trading prior to Riot’s initial proposal to the Bitfarms Board. The Proposal represents approximately US$950 million in total equity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offered to Bitfarms’ shareholders under the Proposal consists of cash and Riot common stock and would result in Bitfarms’ shareholders owning up to approximately 17% of the combined company. This cash and stock Proposal would provide Bitfarms’ shareholders with a substantial premium and immediate cash value, as well as significant potential for future value creation through participation in a financially and commercially stronger company with a well-defined strategy, led by an established and proven management team.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Proposal was originally delivered privately to the Bitfarms Board on April 22, 2024. However, the Bitfarms Board rejected it without engaging in substantive dialogue with Riot. Moreover, new allegations in a lawsuit brought by Bitfarms’ recently terminated CEO, if accurate, raise serious questions about whether certain directors are committed to acting in the best interests of all shareholders. As a result, Riot believes it is necessary to disclose its Proposal directly to Bitfarms’ shareholders. Following Bitfarms’ Annual General and Special Meeting, scheduled for May 31, 2024, Riot intends to requisition a Special Meeting of Bitfarms’ shareholders to add new, well-qualified and independent directors to the Bitfarms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Riot and Bitfarms Together: Compelling Strategic Rationale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combination is compelling for shareholders of both companies, as it would:</w:t>
      </w:r>
    </w:p>
    <w:p>
      <w:pPr>
        <w:spacing w:after="0" w:line="221" w:lineRule="exact"/>
        <w:rPr>
          <w:sz w:val="20"/>
          <w:szCs w:val="20"/>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 the premier and largest Bitcoin miner globally: </w:t>
      </w:r>
      <w:r>
        <w:rPr>
          <w:rFonts w:ascii="Times New Roman" w:cs="Times New Roman" w:eastAsia="Times New Roman" w:hAnsi="Times New Roman"/>
          <w:sz w:val="18"/>
          <w:szCs w:val="18"/>
          <w:color w:val="auto"/>
        </w:rPr>
        <w:t>The transaction would create a vertically-integrated Bitcoin mining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 GW of current power capacity and 19.6 EH/s of current self-mining capacity, with up to 1.5 GW of power capacity and 52 EH/s of self-mining capacity by year-end, a scale that Riot believes will be substantially larger than any other publicly listed Bitcoin mining company globally. Bitfarms’ vertically-integrated business model aligns well with Riot’s, and Riot is confident that a combined company will drive further strategic and financial benefits to both sets of shareholders.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 geographic diversification of sites well-positioned for expansion and long-term growth: </w:t>
      </w:r>
      <w:r>
        <w:rPr>
          <w:rFonts w:ascii="Times New Roman" w:cs="Times New Roman" w:eastAsia="Times New Roman" w:hAnsi="Times New Roman"/>
          <w:sz w:val="18"/>
          <w:szCs w:val="18"/>
          <w:color w:val="auto"/>
        </w:rPr>
        <w:t>The combined company would have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across the United States, Canada, Paraguay and Argentina, with up to 2.2 GW of total power capacity when fully developed. The global capabilities and geographic diversity of the combined sites will be highly differentiated and the Company believes this would allow for continued expansion into operating environments with favorable energy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Utilize Riot’s strong financial profile to drive future growth: </w:t>
      </w:r>
      <w:r>
        <w:rPr>
          <w:rFonts w:ascii="Times New Roman" w:cs="Times New Roman" w:eastAsia="Times New Roman" w:hAnsi="Times New Roman"/>
          <w:sz w:val="18"/>
          <w:szCs w:val="18"/>
          <w:color w:val="auto"/>
        </w:rPr>
        <w:t>Bitfarms will benefit from Riot’s strong balance sheet,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more than US$700 million in cash on hand and 8,872 unencumbered Bitcoin as of April 30, 2024 – both approximately 10 times greater than that held by Bitfarms, enabling Riot to fully finance Bitfarms’ growth plans. Riot is also confident that the financial profile of the combined company will unlock for Bitfarms the access to public equity markets that Riot benefits from today.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Benjamin Yi, Executive Chairman of Riot, said, “A combination of Bitfarms and Riot would create the premier and largest publicly listed Bitcoin miner globally, with geographically diversified operations well-positioned for long-term growth. We were disappointed to learn that the Bitfarms Board rejected our compelling Proposal without engaging in substantive dialogue with us. While we have long respected Bitfarms’ business and management team, we are confident that Bitfarms’ shareholders will agree that this Proposal represents a significantly more attractive alternative for Bitfarms than its standalone trajectory.”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Jason Les, Chief Executive Officer of Riot, added, “We are deeply concerned that the founders on the Bitfarms Board – Nicolas Bonta and Emiliano Grodzki – may not be acting in the best interests of all Bitfarms shareholders. The abrupt termination of the Bitfarms CEO without a transition plan in place at a critical period of execution for Bitfarms and the industry, as well as the allegations, if accurate, regarding the actions of certain members of the Bitfarms Board set out in the lawsuit filed by that recently terminated CEO, raise serious governance questions. This is why we intend to call a Special Meeting to give shareholders a chance to bring needed change to the Bitfarms Board and make repairing Bitfarms’ broken corporate governance and maximizing value for all Bitfarms’ shareholders their top priorities.”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acquire Bitfarms has been unanimously approved by the Board of Directors of Riot. While the Proposal is non-binding and subject to customary conditions (including entering into a definitive transaction agreement), any transaction would not be subject to a financing condition nor require a Riot shareholder vote. There can be no assurance that a transaction between Riot and Bitfarms will be consummated.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is serving as financial advisor and Paul, Weiss, Rifkind, Wharton &amp; Garrison LLP and Davies Ward Phillips &amp; Vineberg LLP are serving as legal advisors to Riot in connection with the proposed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sent to Bitfarms’ Board today is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w:t>
      </w:r>
    </w:p>
    <w:p>
      <w:pPr>
        <w:spacing w:after="0" w:line="22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We were surprised by your swift rejection of our April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proposal without the benefit of a thorough and informed evaluation. Further, we are disappointed that we have not been able to engage with you in any meaningful way regarding the strategic and financial merits of combining our two companies given the historic opportunity this would afford Bitfarms’ shareholders. Based on the serious governance questions raised below, we believe that the confidentiality agreement that you demanded we execute – which originally included a standstill of more than three years – was designed to give the Bitfarms Board complete control over whether our proposal was properly considered irrespective of the best interests of Bitfarms’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you know, this is not the first time we have expressed an interest in discussing a potential combination with you, and after repeated attempts to do so have not progressed, we have decided to publicly disclose our proposal. Bitfarms’ shareholders should have the opportunity to decide if they prefer the substantial premium and high degree of certainty offered by our proposal, or if they would rather continue to accept the significant risk that Bitfarms can realize its full potential for shareholders through the execution of its strategic plan given Bitfarms’ problematic governance structure and the Board’s recent concerning actions.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as the single largest shareholder of Bitfarms, with ownership of 9.25% of Bitfarms’ common shares, we are deeply concerned that the founders on Bitfarms’ Board – Nicolas Bonta and Emiliano Grodzki – may be entrenching themselves rather than acting in the best interests of all Bitfarms’ shareholders. These concerns have only been heightened by the abrupt termination of the Bitfarms CEO without a transition plan in place during a critical period of execution for Bitfarms and the industry, as well as the allegations, if accurate, made against certain members of Bitfarms’ Board by the ex-CEO in his lawsuit. In light of our serious governance concerns, we currently intend to requisition a special meeting of Bitfarms’ shareholders, at which we would nominate several well-qualified and independent directors to join the Bitfarms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have transparently discussed in the past, we firmly believe that a combination of Bitfarms and Riot would create the premier and largest publicly listed Bitcoin miner globally, with a combined pro forma 19.6 EH/s of current self-mining capacity, 52 EH/s of self-mining capacity forecasted by year-end, a stronger financial position to support Bitfarms’ growth plans and unmatched geographically diversified operations. We are confident that a combination of our two companies would generate significant benefits for stakeholders of both Bitfarms and Riot.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reiterate our original proposal to acquire 100% of Bitfarms’ common shares at a price of US$2.30 per share. This represents a premium of 24% to Bitfarms’ one-month volume-weighted average share price as of May 24, 2024. The consideration offered to Bitfarms’ shareholders under the proposal will consist of a mix of cash and Riot common stock that would result in Bitfarms’ shareholders owning up to approximately 17% of the outstanding common stock of the combined company upon consummation of a merger between Bitfarms and Riot. The proposed transaction will not require Riot shareholder approval and there will be no financing contingency for the cash portion of the purchase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proposal offers compelling value for Bitfarms’ shareholders, with a significant premium above Bitfarms’ recent share price. The opportunity to receive Riot common stock will allow Bitfarms’ shareholders to participate in the significant upside potential of what will become the largest publicly listed Bitcoin miner. Given our successful experience in executing strategic transactions, particularly evidenced by our acquisition of Whinstone US, Inc. in 2021, we are extremely confident that a transaction with Riot will be in the best interests of all of Bitfarms’ shareholders.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Riot’s vision is to be the world’s leading Bitcoin-driven infrastructure platform. Our industry-leading, vertically-integrated approach to mining is demonstrated by the 700 MW of operating capacity at our Rockdale Facility, believed to be the largest Bitcoin mining facility in North America, and our recently energized Corsicana Facility, which will have one gigawatt of total capacity when fully developed. We are strong believers in the vertically-integrated business model for Bitcoin mining and believe that Bitfarms’ strategy aligns well with ours.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plan is for Bitfarms to operate as Riot’s international expansion arm and for Bitfarms’ well-respected management team to stay on and work together with us to aggressively pursue expansion and increase economies of scale across our combined sites. Bitfarms would also benefit from Riot’s balance sheet strength, with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corporate debt, more than US$700 million in cash on hand and 8,872 unencumbered Bitcoin as of April 30, 2024, and significant access to public equity markets, all of which will enable Riot to fully finance Bitfarms’ growth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proposed transaction is our highest strategic priority and has the full support of our entire Board of Directors. Together with our advisors, we have invested considerable time in the preparation of this proposal based on publicly available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constitutes a non-binding proposal and is not intended to be legally binding, to constitute an offer capable of acceptance or to grant or impose any rights, obligations, or liability on any part. The final terms and conditions of a transaction would be subject to the approval of our respective Boards of Directors and the finalization of mutually acceptable arrangement and support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and management team, we would like to reiterate our commitment to the successful combination of our two organizations. We look forward to hearing your response and to working with your shareholders to create the world’s leading Bitcoin mining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Benjamin Yi, Executive Chairman</w:t>
      </w:r>
      <w:r>
        <w:rPr>
          <w:sz w:val="20"/>
          <w:szCs w:val="20"/>
          <w:color w:val="auto"/>
        </w:rPr>
        <w:tab/>
      </w:r>
      <w:r>
        <w:rPr>
          <w:rFonts w:ascii="Times New Roman" w:cs="Times New Roman" w:eastAsia="Times New Roman" w:hAnsi="Times New Roman"/>
          <w:sz w:val="17"/>
          <w:szCs w:val="17"/>
          <w:color w:val="auto"/>
        </w:rPr>
        <w:t>Jason Les,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Riot is a Bitcoin mining and digital infrastructure company focused on a vertically integrated strategy. The Company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press release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press release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2024-05-28T10:54:34Z</dcterms:created>
  <dcterms:modified xsi:type="dcterms:W3CDTF">2024-05-28T10:54:34Z</dcterms:modified>
</cp:coreProperties>
</file>